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"Основные направления бюджетной, налоговой и таможенно-тарифной политики на 2024 год и на плановый период 2025 и 2026 годов"</w:t>
              <w:br/>
              <w:t xml:space="preserve">(утв. Минфином России)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09.10.2024</w:t>
            </w:r>
            <w:r>
              <w:rPr>
                <w:sz w:val="28"/>
              </w:rPr>
              <w:br/>
              <w:t xml:space="preserve"> </w:t>
            </w:r>
          </w:p>
        </w:tc>
      </w:tr>
    </w:tbl>
    <w:p>
      <w:pPr>
        <w:sectPr>
          <w:pgSz w:w="11906" w:h="16838"/>
          <w:pgMar w:top="841" w:right="595" w:bottom="841" w:left="595" w:header="0" w:footer="0" w:gutter="0"/>
          <w:titlePg/>
        </w:sectPr>
      </w:pPr>
    </w:p>
    <w:p>
      <w:pPr>
        <w:pStyle w:val="0"/>
        <w:outlineLvl w:val="0"/>
        <w:ind w:firstLine="540"/>
        <w:jc w:val="both"/>
      </w:pPr>
      <w:r>
        <w:rPr>
          <w:sz w:val="20"/>
        </w:rPr>
      </w:r>
    </w:p>
    <w:p>
      <w:pPr>
        <w:pStyle w:val="2"/>
        <w:outlineLvl w:val="0"/>
        <w:jc w:val="center"/>
      </w:pPr>
      <w:r>
        <w:rPr>
          <w:sz w:val="20"/>
        </w:rPr>
        <w:t xml:space="preserve">МИНИСТЕРСТВО ФИНАНСОВ РОССИЙСКОЙ ФЕДЕРАЦИИ</w:t>
      </w:r>
    </w:p>
    <w:p>
      <w:pPr>
        <w:pStyle w:val="2"/>
        <w:jc w:val="center"/>
      </w:pPr>
      <w:r>
        <w:rPr>
          <w:sz w:val="20"/>
        </w:rPr>
      </w:r>
    </w:p>
    <w:p>
      <w:pPr>
        <w:pStyle w:val="2"/>
        <w:jc w:val="center"/>
      </w:pPr>
      <w:r>
        <w:rPr>
          <w:sz w:val="20"/>
        </w:rPr>
        <w:t xml:space="preserve">ОСНОВНЫЕ НАПРАВЛЕНИЯ</w:t>
      </w:r>
    </w:p>
    <w:p>
      <w:pPr>
        <w:pStyle w:val="2"/>
        <w:jc w:val="center"/>
      </w:pPr>
      <w:r>
        <w:rPr>
          <w:sz w:val="20"/>
        </w:rPr>
        <w:t xml:space="preserve">БЮДЖЕТНОЙ, НАЛОГОВОЙ И ТАМОЖЕННО-ТАРИФНОЙ ПОЛИТИКИ</w:t>
      </w:r>
    </w:p>
    <w:p>
      <w:pPr>
        <w:pStyle w:val="2"/>
        <w:jc w:val="center"/>
      </w:pPr>
      <w:r>
        <w:rPr>
          <w:sz w:val="20"/>
        </w:rPr>
        <w:t xml:space="preserve">НА 2024 ГОД И НА ПЛАНОВЫЙ ПЕРИОД 2025 И 2026 ГОДОВ</w:t>
      </w:r>
    </w:p>
    <w:p>
      <w:pPr>
        <w:pStyle w:val="0"/>
        <w:jc w:val="center"/>
      </w:pPr>
      <w:r>
        <w:rPr>
          <w:sz w:val="20"/>
        </w:rPr>
      </w:r>
    </w:p>
    <w:p>
      <w:pPr>
        <w:pStyle w:val="0"/>
        <w:ind w:firstLine="540"/>
        <w:jc w:val="both"/>
      </w:pPr>
      <w:r>
        <w:rPr>
          <w:sz w:val="20"/>
        </w:rPr>
        <w:t xml:space="preserve">Основные направления бюджетной, налоговой и таможенно-тарифной политики на 2024 год и на плановый период 2025 и 2026 годов разработаны в соответствии со </w:t>
      </w:r>
      <w:hyperlink w:history="0" r:id="rId7"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статьей 165</w:t>
        </w:r>
      </w:hyperlink>
      <w:r>
        <w:rPr>
          <w:sz w:val="20"/>
        </w:rPr>
        <w:t xml:space="preserve"> Бюджетного кодекса РФ с учетом итогов реализации бюджетной, налоговой и таможенно-тарифной политики на период до 2023 - 2025 годов. При подготовке Основных направлений бюджетной, налоговой и таможенно-тарифной политики были учтены положения Указов Президента РФ от 7 мая 2018 года </w:t>
      </w:r>
      <w:hyperlink w:history="0" r:id="rId8"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N 204</w:t>
        </w:r>
      </w:hyperlink>
      <w:r>
        <w:rPr>
          <w:sz w:val="20"/>
        </w:rPr>
        <w:t xml:space="preserve"> "О национальных целях и стратегических задачах развития РФ на период до 2024 года" и от 21 июля 2020 года </w:t>
      </w:r>
      <w:hyperlink w:history="0" r:id="rId9"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Pr>
            <w:sz w:val="20"/>
            <w:color w:val="0000ff"/>
          </w:rPr>
          <w:t xml:space="preserve">N 474</w:t>
        </w:r>
      </w:hyperlink>
      <w:r>
        <w:rPr>
          <w:sz w:val="20"/>
        </w:rPr>
        <w:t xml:space="preserve"> "О национальных целях развития РФ на период до 2030 года", Посланий Президента РФ Федеральному Собранию РФ от </w:t>
      </w:r>
      <w:hyperlink w:history="0" r:id="rId10" w:tooltip="Послание Президента РФ Федеральному Собранию от 21.04.2021 &quot;Послание Президента Федеральному Собранию&quot; {КонсультантПлюс}">
        <w:r>
          <w:rPr>
            <w:sz w:val="20"/>
            <w:color w:val="0000ff"/>
          </w:rPr>
          <w:t xml:space="preserve">21 апреля 2021 года</w:t>
        </w:r>
      </w:hyperlink>
      <w:r>
        <w:rPr>
          <w:sz w:val="20"/>
        </w:rPr>
        <w:t xml:space="preserve"> и от 23 февраля 2023 года, </w:t>
      </w:r>
      <w:hyperlink w:history="0" r:id="rId11" w:tooltip="&quot;Единый план по достижению национальных целей развития Российской Федерации на период до 2024 года и на плановый период до 2030 года&quot; (утв. распоряжением Правительства РФ от 01.10.2021 N 2765-р) (с изм. от 24.12.2021) {КонсультантПлюс}">
        <w:r>
          <w:rPr>
            <w:sz w:val="20"/>
            <w:color w:val="0000ff"/>
          </w:rPr>
          <w:t xml:space="preserve">Единого плана</w:t>
        </w:r>
      </w:hyperlink>
      <w:r>
        <w:rPr>
          <w:sz w:val="20"/>
        </w:rPr>
        <w:t xml:space="preserve"> по достижению национальных целей развития РФ на период до 2024 года и на плановый период до 2030 года, перечня инициатив в сфере социально-экономического развития, планов первоочередных действий по обеспечению развития российской экономики в условиях внешнего санкционного давления.</w:t>
      </w:r>
    </w:p>
    <w:p>
      <w:pPr>
        <w:pStyle w:val="0"/>
        <w:spacing w:before="200" w:line-rule="auto"/>
        <w:ind w:firstLine="540"/>
        <w:jc w:val="both"/>
      </w:pPr>
      <w:r>
        <w:rPr>
          <w:sz w:val="20"/>
        </w:rPr>
        <w:t xml:space="preserve">Целью Основных направлений бюджетной, налоговой и таможенно-тарифной политики является определение условий, используемых при составлении проекта федерального бюджета на 2024 год и на плановый период 2025 и 2026 годов, подходов к его формированию, основных характеристик и прогнозируемых параметров федерального бюджета и других бюджетов бюджетной системы РФ на 2024 - 2026 годы.</w:t>
      </w:r>
    </w:p>
    <w:p>
      <w:pPr>
        <w:pStyle w:val="0"/>
        <w:ind w:firstLine="540"/>
        <w:jc w:val="both"/>
      </w:pPr>
      <w:r>
        <w:rPr>
          <w:sz w:val="20"/>
        </w:rPr>
      </w:r>
    </w:p>
    <w:p>
      <w:pPr>
        <w:pStyle w:val="2"/>
        <w:outlineLvl w:val="1"/>
        <w:ind w:firstLine="540"/>
        <w:jc w:val="both"/>
      </w:pPr>
      <w:r>
        <w:rPr>
          <w:sz w:val="20"/>
        </w:rPr>
        <w:t xml:space="preserve">1. ИТОГИ РЕАЛИЗАЦИИ БЮДЖЕТНОЙ И НАЛОГОВОЙ ПОЛИТИКИ В 2022 - 2023</w:t>
      </w:r>
    </w:p>
    <w:p>
      <w:pPr>
        <w:pStyle w:val="0"/>
        <w:jc w:val="both"/>
      </w:pPr>
      <w:r>
        <w:rPr>
          <w:sz w:val="20"/>
        </w:rPr>
      </w:r>
    </w:p>
    <w:p>
      <w:pPr>
        <w:pStyle w:val="0"/>
        <w:ind w:firstLine="540"/>
        <w:jc w:val="both"/>
      </w:pPr>
      <w:r>
        <w:rPr>
          <w:sz w:val="20"/>
        </w:rPr>
        <w:t xml:space="preserve">В 2022 - 2023 гг. экономическая политика в первую очередь была ориентирована на (1) обеспечение финансовой и ценовой стабилизации при поддержке доходов уязвимых категорий граждан и (2) содействие структурной трансформации экономики (в т.ч. перестройке хозяйственных связей) с минимальными потерями для потенциала развития и сохранением рабочих мест. В части бюджетной политики это обеспечивалось за счет:</w:t>
      </w:r>
    </w:p>
    <w:p>
      <w:pPr>
        <w:pStyle w:val="0"/>
        <w:spacing w:before="200" w:line-rule="auto"/>
        <w:ind w:firstLine="540"/>
        <w:jc w:val="both"/>
      </w:pPr>
      <w:r>
        <w:rPr>
          <w:sz w:val="20"/>
        </w:rPr>
        <w:t xml:space="preserve">1. Обеспечение финансовой устойчивости.</w:t>
      </w:r>
    </w:p>
    <w:p>
      <w:pPr>
        <w:pStyle w:val="0"/>
        <w:spacing w:before="200" w:line-rule="auto"/>
        <w:ind w:firstLine="540"/>
        <w:jc w:val="both"/>
      </w:pPr>
      <w:r>
        <w:rPr>
          <w:sz w:val="20"/>
        </w:rPr>
        <w:t xml:space="preserve">Этому способствовала систематическая приверженность институтам ответственной экономической политики ("бюджетные правила", сбалансированная ДКП), наряду с укреплением суверенной финансовой инфраструктуры (НСПК, СПФС, расчеты в национальных валютах) и реализацией оперативных мероприятий.</w:t>
      </w:r>
    </w:p>
    <w:p>
      <w:pPr>
        <w:pStyle w:val="0"/>
        <w:spacing w:before="200" w:line-rule="auto"/>
        <w:ind w:firstLine="540"/>
        <w:jc w:val="both"/>
      </w:pPr>
      <w:r>
        <w:rPr>
          <w:sz w:val="20"/>
        </w:rPr>
        <w:t xml:space="preserve">Обеспечение финансовой и ценовой стабилизации в результате создали условия для проведения эффективной контрциклической бюджетной политики - даже в условиях беспрецедентного внешнего давления.</w:t>
      </w:r>
    </w:p>
    <w:p>
      <w:pPr>
        <w:pStyle w:val="0"/>
        <w:spacing w:before="200" w:line-rule="auto"/>
        <w:ind w:firstLine="540"/>
        <w:jc w:val="both"/>
      </w:pPr>
      <w:r>
        <w:rPr>
          <w:sz w:val="20"/>
        </w:rPr>
        <w:t xml:space="preserve">2. Обеспечение экспансивной направленности бюджетной политики в целях минимизации влияния необходимой структурной трансформации на средне-(долго)срочный потенциал экономики. Размер бюджетного импульса в 2022 - 2023 гг. соответствует 10% годового ВВП, а акцент программ на содействии перестройке хозяйственных связей, поддержке базовых отраслей промышленности, МСП и наиболее уязвимых категорий граждан, наряду с их своевременностью повысил его действенность.</w:t>
      </w:r>
    </w:p>
    <w:p>
      <w:pPr>
        <w:pStyle w:val="0"/>
        <w:spacing w:before="200" w:line-rule="auto"/>
        <w:ind w:firstLine="540"/>
        <w:jc w:val="both"/>
      </w:pPr>
      <w:r>
        <w:rPr>
          <w:sz w:val="20"/>
        </w:rPr>
        <w:t xml:space="preserve">Это позволило не просто стабилизировать ситуацию, но и успешно и быстро адаптироваться к новым условиям, а также содействовало быстрому восстановлению деловой активности уже со второго полугодия 2022 года.</w:t>
      </w:r>
    </w:p>
    <w:p>
      <w:pPr>
        <w:pStyle w:val="0"/>
        <w:spacing w:before="200" w:line-rule="auto"/>
        <w:ind w:firstLine="540"/>
        <w:jc w:val="both"/>
      </w:pPr>
      <w:r>
        <w:rPr>
          <w:sz w:val="20"/>
        </w:rPr>
        <w:t xml:space="preserve">В 2024 году экспансивная направленность бюджетной политики сохранится с нормализацией к 2025 году. Вместе с тем акцент экономической политики постепенно смещается с антикризисной повестки к задачам содействия достижению национальных целей развития страны посредством обеспечения устойчивых темпов роста экономики и расширения потенциала сбалансированного развития.</w:t>
      </w:r>
    </w:p>
    <w:p>
      <w:pPr>
        <w:pStyle w:val="0"/>
        <w:spacing w:before="200" w:line-rule="auto"/>
        <w:ind w:firstLine="540"/>
        <w:jc w:val="both"/>
      </w:pPr>
      <w:r>
        <w:rPr>
          <w:sz w:val="20"/>
        </w:rPr>
        <w:t xml:space="preserve">Достижению этой цели будет содействовать постепенная нормализация бюджетной политики и реализуемые структурные изменения: как в налоговой политике, так и в структуре расходов - стратегическая концентрация финансовых ресурсов на достижении национальных целей развития с акцентом на: (1) социальную поддержку нуждающихся граждан, (2) укрепление обороноспособности страны, (3) интеграцию новых регионов и (4) технологическое развитие и поддержку инфраструктуры.</w:t>
      </w:r>
    </w:p>
    <w:p>
      <w:pPr>
        <w:pStyle w:val="0"/>
        <w:spacing w:before="200" w:line-rule="auto"/>
        <w:ind w:firstLine="540"/>
        <w:jc w:val="both"/>
      </w:pPr>
      <w:r>
        <w:rPr>
          <w:sz w:val="20"/>
        </w:rPr>
        <w:t xml:space="preserve">Такой подход, с одной стороны, позволит обеспечить поддержку экономики в период адаптации и перестройки хозяйственных связей, а с другой - позволит обеспечить доверие к экономической политике, устойчивость финансовой системы, доступность кредита как источника для экономического развития.</w:t>
      </w:r>
    </w:p>
    <w:p>
      <w:pPr>
        <w:pStyle w:val="0"/>
        <w:spacing w:before="200" w:line-rule="auto"/>
        <w:ind w:firstLine="540"/>
        <w:jc w:val="both"/>
      </w:pPr>
      <w:r>
        <w:rPr>
          <w:sz w:val="20"/>
        </w:rPr>
        <w:t xml:space="preserve">Далее в разделе представлены основные итоги реализации бюджетной, налоговой и таможенно-тарифной политики в 2022 - 2023 годах по отдельным целям и направлениям.</w:t>
      </w:r>
    </w:p>
    <w:p>
      <w:pPr>
        <w:pStyle w:val="0"/>
        <w:jc w:val="both"/>
      </w:pPr>
      <w:r>
        <w:rPr>
          <w:sz w:val="20"/>
        </w:rPr>
      </w:r>
    </w:p>
    <w:p>
      <w:pPr>
        <w:pStyle w:val="2"/>
        <w:outlineLvl w:val="2"/>
        <w:ind w:firstLine="540"/>
        <w:jc w:val="both"/>
      </w:pPr>
      <w:r>
        <w:rPr>
          <w:sz w:val="20"/>
        </w:rPr>
        <w:t xml:space="preserve">1.1. СОДЕЙСТВИЕ АДАПТАЦИИ ЭКОНОМИКИ</w:t>
      </w:r>
    </w:p>
    <w:p>
      <w:pPr>
        <w:pStyle w:val="0"/>
        <w:jc w:val="both"/>
      </w:pPr>
      <w:r>
        <w:rPr>
          <w:sz w:val="20"/>
        </w:rPr>
      </w:r>
    </w:p>
    <w:p>
      <w:pPr>
        <w:pStyle w:val="0"/>
        <w:ind w:firstLine="540"/>
        <w:jc w:val="both"/>
      </w:pPr>
      <w:r>
        <w:rPr>
          <w:sz w:val="20"/>
        </w:rPr>
        <w:t xml:space="preserve">В условиях резкого разрыва устоявшихся хозяйственных связей ключевыми задачами экономической политики стали:</w:t>
      </w:r>
    </w:p>
    <w:p>
      <w:pPr>
        <w:pStyle w:val="0"/>
        <w:spacing w:before="200" w:line-rule="auto"/>
        <w:ind w:firstLine="540"/>
        <w:jc w:val="both"/>
      </w:pPr>
      <w:r>
        <w:rPr>
          <w:sz w:val="20"/>
        </w:rPr>
        <w:t xml:space="preserve">- финансовая и ценовая стабилизация (в т.ч. предотвращение инфляционной спирали) при поддержке доходов уязвимых категорий граждан;</w:t>
      </w:r>
    </w:p>
    <w:p>
      <w:pPr>
        <w:pStyle w:val="0"/>
        <w:spacing w:before="200" w:line-rule="auto"/>
        <w:ind w:firstLine="540"/>
        <w:jc w:val="both"/>
      </w:pPr>
      <w:r>
        <w:rPr>
          <w:sz w:val="20"/>
        </w:rPr>
        <w:t xml:space="preserve">- содействие перестройке хозяйственных связей с минимальными потерями потенциала развития и сохранением рабочих мест.</w:t>
      </w:r>
    </w:p>
    <w:p>
      <w:pPr>
        <w:pStyle w:val="0"/>
        <w:jc w:val="both"/>
      </w:pPr>
      <w:r>
        <w:rPr>
          <w:sz w:val="20"/>
        </w:rPr>
      </w:r>
    </w:p>
    <w:p>
      <w:pPr>
        <w:pStyle w:val="2"/>
        <w:outlineLvl w:val="3"/>
        <w:ind w:firstLine="540"/>
        <w:jc w:val="both"/>
      </w:pPr>
      <w:r>
        <w:rPr>
          <w:sz w:val="20"/>
        </w:rPr>
        <w:t xml:space="preserve">Программы финансовой поддержки</w:t>
      </w:r>
    </w:p>
    <w:p>
      <w:pPr>
        <w:pStyle w:val="0"/>
        <w:spacing w:before="200" w:line-rule="auto"/>
        <w:ind w:firstLine="540"/>
        <w:jc w:val="both"/>
      </w:pPr>
      <w:r>
        <w:rPr>
          <w:sz w:val="20"/>
        </w:rPr>
        <w:t xml:space="preserve">Соответственно, программы поддержки были ориентированы в первую очередь на решении этих задач с акцентом на: (1) обеспечении доступных финансовых ресурсов и оборотного капитала; (2) содействии обеспечению импортным оборудованием и комплектующими; (3) поддержке базовых отраслей промышленности и технологического сектора; (4) сохранении занятости и рабочих мест и (5) поддержке доходов наиболее уязвимых граждан.</w:t>
      </w:r>
    </w:p>
    <w:p>
      <w:pPr>
        <w:pStyle w:val="0"/>
        <w:jc w:val="both"/>
      </w:pPr>
      <w:r>
        <w:rPr>
          <w:sz w:val="20"/>
        </w:rPr>
      </w:r>
    </w:p>
    <w:p>
      <w:pPr>
        <w:pStyle w:val="0"/>
        <w:jc w:val="center"/>
      </w:pPr>
      <w:r>
        <w:rPr>
          <w:position w:val="-255"/>
        </w:rPr>
        <w:drawing>
          <wp:inline distT="0" distB="0" distL="0" distR="0">
            <wp:extent cx="5020945" cy="3373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5020945" cy="337312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целом программы поддержки оказались действенными и своевременными:</w:t>
      </w:r>
    </w:p>
    <w:p>
      <w:pPr>
        <w:pStyle w:val="0"/>
        <w:spacing w:before="200" w:line-rule="auto"/>
        <w:ind w:firstLine="540"/>
        <w:jc w:val="both"/>
      </w:pPr>
      <w:r>
        <w:rPr>
          <w:sz w:val="20"/>
        </w:rPr>
        <w:t xml:space="preserve">- Последствия "волн" внешних ограничений удается сглаживать: хозяйствующие субъекты быстро и эффективно выстраивают деловые связи с новыми поставщиками и выходят на новые рынки сбыта, а финансовая и логистическая инфраструктура гибко подстраиваются под изменение географии торговых и финансовых потоков.</w:t>
      </w:r>
    </w:p>
    <w:p>
      <w:pPr>
        <w:pStyle w:val="0"/>
        <w:spacing w:before="200" w:line-rule="auto"/>
        <w:ind w:firstLine="540"/>
        <w:jc w:val="both"/>
      </w:pPr>
      <w:r>
        <w:rPr>
          <w:sz w:val="20"/>
        </w:rPr>
        <w:t xml:space="preserve">- Быстрое восстановление деловой активности. Своевременная поддержка базовых отраслей промышленности, технологического сектора и МСП, наряду с поддержкой доходов наиболее уязвимых граждан (в т.ч. семей с детьми) содействовали сохранению рабочих мест, продолжению реализации инвестиционных проектов и быстрому восстановлению деловой активности по мере выстраивания новых хозяйственных связей.</w:t>
      </w:r>
    </w:p>
    <w:p>
      <w:pPr>
        <w:pStyle w:val="0"/>
        <w:spacing w:before="200" w:line-rule="auto"/>
        <w:ind w:firstLine="540"/>
        <w:jc w:val="both"/>
      </w:pPr>
      <w:r>
        <w:rPr>
          <w:sz w:val="20"/>
        </w:rPr>
        <w:t xml:space="preserve">В результате сокращение ВВП в 2022 году оказалось более сдержанным, чем предполагал масштаб внешнего шока (-2,1% против оценок начала 2022 года о снижении ВВП на 8 - 20%), а к 3 кварталу текущего года экономика преодолела докризисный порог.</w:t>
      </w:r>
    </w:p>
    <w:p>
      <w:pPr>
        <w:pStyle w:val="0"/>
        <w:jc w:val="both"/>
      </w:pPr>
      <w:r>
        <w:rPr>
          <w:sz w:val="20"/>
        </w:rPr>
      </w:r>
    </w:p>
    <w:p>
      <w:pPr>
        <w:pStyle w:val="2"/>
        <w:outlineLvl w:val="2"/>
        <w:ind w:firstLine="540"/>
        <w:jc w:val="both"/>
      </w:pPr>
      <w:r>
        <w:rPr>
          <w:sz w:val="20"/>
        </w:rPr>
        <w:t xml:space="preserve">1.2. СТРУКТУРНАЯ ТРАНСФОРМАЦИЯ ЭКОНОМИКИ</w:t>
      </w:r>
    </w:p>
    <w:p>
      <w:pPr>
        <w:pStyle w:val="0"/>
        <w:jc w:val="both"/>
      </w:pPr>
      <w:r>
        <w:rPr>
          <w:sz w:val="20"/>
        </w:rPr>
      </w:r>
    </w:p>
    <w:p>
      <w:pPr>
        <w:pStyle w:val="0"/>
        <w:ind w:firstLine="540"/>
        <w:jc w:val="both"/>
      </w:pPr>
      <w:r>
        <w:rPr>
          <w:sz w:val="20"/>
        </w:rPr>
        <w:t xml:space="preserve">Обострение геополитических противоречий в 2022 году запустило процесс масштабной структурной трансформации отечественной экономики в связи с:</w:t>
      </w:r>
    </w:p>
    <w:p>
      <w:pPr>
        <w:pStyle w:val="0"/>
        <w:spacing w:before="200" w:line-rule="auto"/>
        <w:ind w:firstLine="540"/>
        <w:jc w:val="both"/>
      </w:pPr>
      <w:r>
        <w:rPr>
          <w:sz w:val="20"/>
        </w:rPr>
        <w:t xml:space="preserve">- вынужденной перестройкой устоявшихся хозяйственных связей вследствие введения внешних торговых и финансовых ограничений со стороны ряда стран;</w:t>
      </w:r>
    </w:p>
    <w:p>
      <w:pPr>
        <w:pStyle w:val="0"/>
        <w:spacing w:before="200" w:line-rule="auto"/>
        <w:ind w:firstLine="540"/>
        <w:jc w:val="both"/>
      </w:pPr>
      <w:r>
        <w:rPr>
          <w:sz w:val="20"/>
        </w:rPr>
        <w:t xml:space="preserve">- увеличением направления ресурсов на новые приоритеты: укрепление обороноспособности страны, восстановление и интеграцию новых регионов.</w:t>
      </w:r>
    </w:p>
    <w:p>
      <w:pPr>
        <w:pStyle w:val="0"/>
        <w:spacing w:before="200" w:line-rule="auto"/>
        <w:ind w:firstLine="540"/>
        <w:jc w:val="both"/>
      </w:pPr>
      <w:r>
        <w:rPr>
          <w:sz w:val="20"/>
        </w:rPr>
        <w:t xml:space="preserve">Учитывая масштаб последствий вынужденной перестройки хозяйственных связей и требуемого направления ресурсов на новые приоритеты, обеспечение соразмерной бюджетной поддержки потребовало выхода за рамки встроенных контрциклических механизмов. С учетом "забалансовых" мер поддержки совокупный размер фискального импульса в 2022 - 2023 гг. составляет порядка 10,0°% годового ВВП.</w:t>
      </w:r>
    </w:p>
    <w:p>
      <w:pPr>
        <w:pStyle w:val="0"/>
        <w:spacing w:before="200" w:line-rule="auto"/>
        <w:ind w:firstLine="540"/>
        <w:jc w:val="both"/>
      </w:pPr>
      <w:r>
        <w:rPr>
          <w:sz w:val="20"/>
        </w:rPr>
        <w:t xml:space="preserve">При этом фискальный импульс преимущественно профинансирован за счет дополнительных нефтегазовых доходов - как текущего года, так и предшествующих лет (ликвидные активы ФНБ). Это содействовало скорейшей стабилизации на финансовых рынках и помогло смягчить адаптацию в период перестройки хозяйственных связей.</w:t>
      </w:r>
    </w:p>
    <w:p>
      <w:pPr>
        <w:pStyle w:val="0"/>
        <w:spacing w:before="200" w:line-rule="auto"/>
        <w:ind w:firstLine="540"/>
        <w:jc w:val="both"/>
      </w:pPr>
      <w:r>
        <w:rPr>
          <w:sz w:val="20"/>
        </w:rPr>
        <w:t xml:space="preserve">Обратной стороной временного использования рентных сверхдоходов в период благоприятной ценовой конъюнктуры стало повышение уязвимости экономики к резким колебаниям природной ренты, что в среднесрочной перспективе создает угрозу для устойчивости макроэкономических условий и финансовой стабильности.</w:t>
      </w:r>
    </w:p>
    <w:p>
      <w:pPr>
        <w:pStyle w:val="0"/>
        <w:spacing w:before="200" w:line-rule="auto"/>
        <w:ind w:firstLine="540"/>
        <w:jc w:val="both"/>
      </w:pPr>
      <w:r>
        <w:rPr>
          <w:sz w:val="20"/>
        </w:rPr>
        <w:t xml:space="preserve">В этой связи с 2023 года возобновилось действие "бюджетного правила" с некоторой модификацией его ключевых параметров (базовые нефтегазовые доходы в размере 8 трлн рублей и структурный первичный баланс с поправкой на квази-бюджетные операции под чертой) и допущением временного превышения предельного размера расходов в период адаптации экономики к новым условиям в 2023 и 2024 гг. (на 2,9 и 1,6 трлн рублей, соответственно).</w:t>
      </w:r>
    </w:p>
    <w:p>
      <w:pPr>
        <w:pStyle w:val="0"/>
        <w:jc w:val="both"/>
      </w:pPr>
      <w:r>
        <w:rPr>
          <w:sz w:val="20"/>
        </w:rPr>
      </w:r>
    </w:p>
    <w:p>
      <w:pPr>
        <w:pStyle w:val="2"/>
        <w:outlineLvl w:val="3"/>
        <w:ind w:firstLine="540"/>
        <w:jc w:val="both"/>
      </w:pPr>
      <w:r>
        <w:rPr>
          <w:sz w:val="20"/>
        </w:rPr>
        <w:t xml:space="preserve">Структурные меры бюджетной политики</w:t>
      </w:r>
    </w:p>
    <w:p>
      <w:pPr>
        <w:pStyle w:val="0"/>
        <w:spacing w:before="200" w:line-rule="auto"/>
        <w:ind w:firstLine="540"/>
        <w:jc w:val="both"/>
      </w:pPr>
      <w:r>
        <w:rPr>
          <w:sz w:val="20"/>
        </w:rPr>
        <w:t xml:space="preserve">На содействие структурной трансформации ориентирован весь инструментарий бюджетной политики - как в части налоговой политики, так и в части структуры и результативности бюджетных расходов:</w:t>
      </w:r>
    </w:p>
    <w:p>
      <w:pPr>
        <w:pStyle w:val="0"/>
        <w:spacing w:before="200" w:line-rule="auto"/>
        <w:ind w:firstLine="540"/>
        <w:jc w:val="both"/>
      </w:pPr>
      <w:r>
        <w:rPr>
          <w:sz w:val="20"/>
        </w:rPr>
        <w:t xml:space="preserve">- Повышение справедливости распределения природной ренты в отраслях с устойчивой избыточной рентабельностью капитала вследствие благоприятной ценовой конъюнктуры: (1) газовый сектор (НДПИ на природный газ и налог на прибыль экспортеров СПГ); (2) нефтяной сектор (в т.ч. предельный ценовой дисконт для целей налогообложения) и (3) сектор ГМК (единовременное повышение НДПИ на уголь и экспертная пошлина на удобрения).</w:t>
      </w:r>
    </w:p>
    <w:p>
      <w:pPr>
        <w:pStyle w:val="0"/>
        <w:spacing w:before="200" w:line-rule="auto"/>
        <w:ind w:firstLine="540"/>
        <w:jc w:val="both"/>
      </w:pPr>
      <w:r>
        <w:rPr>
          <w:sz w:val="20"/>
        </w:rPr>
        <w:t xml:space="preserve">- Стратегическая концентрация финансовых ресурсов бюджетов публичной власти на достижении национальных целей развития с акцентом на: (1) социальной поддержке наиболее уязвимых категорий граждан; (2) укреплении обороноспособности страны; (3) интеграции новых регионов; (4) технологическом развитии и расширении инфраструктуры.</w:t>
      </w:r>
    </w:p>
    <w:p>
      <w:pPr>
        <w:pStyle w:val="0"/>
        <w:jc w:val="both"/>
      </w:pPr>
      <w:r>
        <w:rPr>
          <w:sz w:val="20"/>
        </w:rPr>
      </w:r>
    </w:p>
    <w:p>
      <w:pPr>
        <w:pStyle w:val="2"/>
        <w:outlineLvl w:val="3"/>
        <w:ind w:firstLine="540"/>
        <w:jc w:val="both"/>
      </w:pPr>
      <w:r>
        <w:rPr>
          <w:sz w:val="20"/>
        </w:rPr>
        <w:t xml:space="preserve">Стимулирование экономической и инвестиционной активности</w:t>
      </w:r>
    </w:p>
    <w:p>
      <w:pPr>
        <w:pStyle w:val="0"/>
        <w:spacing w:before="200" w:line-rule="auto"/>
        <w:ind w:firstLine="540"/>
        <w:jc w:val="both"/>
      </w:pPr>
      <w:r>
        <w:rPr>
          <w:sz w:val="20"/>
        </w:rPr>
        <w:t xml:space="preserve">В 2022 году и начале 2023 года был принят ряд изменений в налоговое законодательство, направленных на стимулирование экономической и инвестиционной активности, а также иные меры экономического стимулирования.</w:t>
      </w:r>
    </w:p>
    <w:p>
      <w:pPr>
        <w:pStyle w:val="0"/>
        <w:jc w:val="both"/>
      </w:pPr>
      <w:r>
        <w:rPr>
          <w:sz w:val="20"/>
        </w:rPr>
      </w:r>
    </w:p>
    <w:p>
      <w:pPr>
        <w:pStyle w:val="2"/>
        <w:outlineLvl w:val="4"/>
        <w:ind w:firstLine="540"/>
        <w:jc w:val="both"/>
      </w:pPr>
      <w:r>
        <w:rPr>
          <w:sz w:val="20"/>
        </w:rPr>
        <w:t xml:space="preserve">1. Стимулирующие меры в сфере нефтедобычи и нефтегазопереработки:</w:t>
      </w:r>
    </w:p>
    <w:p>
      <w:pPr>
        <w:pStyle w:val="0"/>
        <w:spacing w:before="200" w:line-rule="auto"/>
        <w:ind w:firstLine="540"/>
        <w:jc w:val="both"/>
      </w:pPr>
      <w:r>
        <w:rPr>
          <w:sz w:val="20"/>
        </w:rPr>
        <w:t xml:space="preserve">- введение налоговых вычетов по НДПИ в целях развития транспортной инфраструктуры и создания нефтехимических производств (дополнительная прибыль получателей льгот (выпадающие доходы бюджета) в период действия ожидается в размере 230 млрд рублей) (с учетом его возврата в федеральный бюджет);</w:t>
      </w:r>
    </w:p>
    <w:p>
      <w:pPr>
        <w:pStyle w:val="0"/>
        <w:spacing w:before="200" w:line-rule="auto"/>
        <w:ind w:firstLine="540"/>
        <w:jc w:val="both"/>
      </w:pPr>
      <w:r>
        <w:rPr>
          <w:sz w:val="20"/>
        </w:rPr>
        <w:t xml:space="preserve">- расширение периметра применения НДД (третья и четвертая группы участков недр);</w:t>
      </w:r>
    </w:p>
    <w:p>
      <w:pPr>
        <w:pStyle w:val="0"/>
        <w:spacing w:before="200" w:line-rule="auto"/>
        <w:ind w:firstLine="540"/>
        <w:jc w:val="both"/>
      </w:pPr>
      <w:r>
        <w:rPr>
          <w:sz w:val="20"/>
        </w:rPr>
        <w:t xml:space="preserve">- создание равных стимулирующих условий в части применения налоговой ставки по НДПИ в размере 0 рублей при добыче трудноизвлекаемых запасов природного газа из залежей березовской свиты и гуронских залежей;</w:t>
      </w:r>
    </w:p>
    <w:p>
      <w:pPr>
        <w:pStyle w:val="0"/>
        <w:jc w:val="both"/>
      </w:pPr>
      <w:r>
        <w:rPr>
          <w:sz w:val="20"/>
        </w:rPr>
      </w:r>
    </w:p>
    <w:p>
      <w:pPr>
        <w:pStyle w:val="2"/>
        <w:outlineLvl w:val="4"/>
        <w:ind w:firstLine="540"/>
        <w:jc w:val="both"/>
      </w:pPr>
      <w:r>
        <w:rPr>
          <w:sz w:val="20"/>
        </w:rPr>
        <w:t xml:space="preserve">2. Стимулирующие меры в отдельных приоритетных отраслях:</w:t>
      </w:r>
    </w:p>
    <w:p>
      <w:pPr>
        <w:pStyle w:val="0"/>
        <w:spacing w:before="200" w:line-rule="auto"/>
        <w:ind w:firstLine="540"/>
        <w:jc w:val="both"/>
      </w:pPr>
      <w:r>
        <w:rPr>
          <w:sz w:val="20"/>
        </w:rPr>
        <w:t xml:space="preserve">- предоставление отсрочки по уплате страховых взносов за II и III кварталы 2022 года предприятиям и индивидуальным предпринимателям в наиболее пострадавших отраслях экономики (данная мера поддержки позволила отсрочить выплаты в объеме более 772 млрд рублей). В 2023 году плательщикам предоставлена возможность дополнительно продлить срок еще на 12 месяцев;</w:t>
      </w:r>
    </w:p>
    <w:p>
      <w:pPr>
        <w:pStyle w:val="0"/>
        <w:spacing w:before="200" w:line-rule="auto"/>
        <w:ind w:firstLine="540"/>
        <w:jc w:val="both"/>
      </w:pPr>
      <w:r>
        <w:rPr>
          <w:sz w:val="20"/>
        </w:rPr>
        <w:t xml:space="preserve">- продление срока уплаты налога по УСН в 2022 году за 2021 год и за I квартал 2022 года (авансовый платеж) на 6 месяцев с последующей полугодовой рассрочкой для представителей наиболее пострадавших отраслей экономики;</w:t>
      </w:r>
    </w:p>
    <w:p>
      <w:pPr>
        <w:pStyle w:val="0"/>
        <w:spacing w:before="200" w:line-rule="auto"/>
        <w:ind w:firstLine="540"/>
        <w:jc w:val="both"/>
      </w:pPr>
      <w:r>
        <w:rPr>
          <w:sz w:val="20"/>
        </w:rPr>
        <w:t xml:space="preserve">- обнуление на 2022 - 2024 гг. ставки по налогу на прибыль организаций сферы информационных технологий и электроники (дополнительная прибыль получателей льгот (общий размер льготы составит порядка 100 млрд рублей (с учетом ранее введенного снижения ставки до 3%);</w:t>
      </w:r>
    </w:p>
    <w:p>
      <w:pPr>
        <w:pStyle w:val="0"/>
        <w:spacing w:before="200" w:line-rule="auto"/>
        <w:ind w:firstLine="540"/>
        <w:jc w:val="both"/>
      </w:pPr>
      <w:r>
        <w:rPr>
          <w:sz w:val="20"/>
        </w:rPr>
        <w:t xml:space="preserve">- приведение условий применения пониженной налоговой ставки по налогу на прибыль для организаций радиоэлектронной промышленности в соответствие с условиями применения пониженной налоговой ставки по налогу на прибыль организаций, осуществляющих деятельность в сфере информационных технологий;</w:t>
      </w:r>
    </w:p>
    <w:p>
      <w:pPr>
        <w:pStyle w:val="0"/>
        <w:spacing w:before="200" w:line-rule="auto"/>
        <w:ind w:firstLine="540"/>
        <w:jc w:val="both"/>
      </w:pPr>
      <w:r>
        <w:rPr>
          <w:sz w:val="20"/>
        </w:rPr>
        <w:t xml:space="preserve">- установление повышающих коэффициентов амортизации с 1 января 2023 года для российского радиоэлектронного оборудования и российских программ для ЭВМ (баз данных), повышающий коэффициент на расходы, связанные с приобретением технологий искусственного интеллекта, а также инвестиционный налоговый вычет по налогу на прибыль организаций в отношении затрат на их внедрение;</w:t>
      </w:r>
    </w:p>
    <w:p>
      <w:pPr>
        <w:pStyle w:val="0"/>
        <w:spacing w:before="200" w:line-rule="auto"/>
        <w:ind w:firstLine="540"/>
        <w:jc w:val="both"/>
      </w:pPr>
      <w:r>
        <w:rPr>
          <w:sz w:val="20"/>
        </w:rPr>
        <w:t xml:space="preserve">- расширение периметра применения пониженных налоговых ставок по налогу на прибыль организаций и пониженных тарифов страховых взносов (в размере 7,6%) для организаций в области информационных технологий и радиоэлектроники;</w:t>
      </w:r>
    </w:p>
    <w:p>
      <w:pPr>
        <w:pStyle w:val="0"/>
        <w:spacing w:before="200" w:line-rule="auto"/>
        <w:ind w:firstLine="540"/>
        <w:jc w:val="both"/>
      </w:pPr>
      <w:r>
        <w:rPr>
          <w:sz w:val="20"/>
        </w:rPr>
        <w:t xml:space="preserve">- предоставление возможности (по решению регионов) учета расходов на НИОКР, а также расходов по установке, тестированию, адаптации, модификации, обучению использованию работников программам для ЭВМ и баз данных, включенных в реестр ЭВМ, для уменьшения налога на прибыль организаций через механизм инвестиционного налогового вычета (тем самым полностью компенсируются расходы налогоплательщику за счет средств бюджета);</w:t>
      </w:r>
    </w:p>
    <w:p>
      <w:pPr>
        <w:pStyle w:val="0"/>
        <w:spacing w:before="200" w:line-rule="auto"/>
        <w:ind w:firstLine="540"/>
        <w:jc w:val="both"/>
      </w:pPr>
      <w:r>
        <w:rPr>
          <w:sz w:val="20"/>
        </w:rPr>
        <w:t xml:space="preserve">- установление повышающего коэффициента к расходам на приобретение основных средств, включенных в перечень российского высокотехнологичного оборудования, а также при формировании первоначальной стоимости основного средства и стоимости нематериальных активов в виде исключительных прав, относящихся к сфере искусственного интеллекта, учитываемых при расчете налога на прибыль организаций;</w:t>
      </w:r>
    </w:p>
    <w:p>
      <w:pPr>
        <w:pStyle w:val="0"/>
        <w:spacing w:before="200" w:line-rule="auto"/>
        <w:ind w:firstLine="540"/>
        <w:jc w:val="both"/>
      </w:pPr>
      <w:r>
        <w:rPr>
          <w:sz w:val="20"/>
        </w:rPr>
        <w:t xml:space="preserve">- продление до 2028 года освобождения от уплаты НДФЛ доходов от реализации ценных бумаг высокотехнологичного сектора экономики (принадлежавших налогоплательщику более одного года);</w:t>
      </w:r>
    </w:p>
    <w:p>
      <w:pPr>
        <w:pStyle w:val="0"/>
        <w:spacing w:before="200" w:line-rule="auto"/>
        <w:ind w:firstLine="540"/>
        <w:jc w:val="both"/>
      </w:pPr>
      <w:r>
        <w:rPr>
          <w:sz w:val="20"/>
        </w:rPr>
        <w:t xml:space="preserve">- предоставление права на налоговый вычет с 1 января 2023 года по ряду налогов в размере затрат на создание объектов инфраструктуры при реализации СЗПК. расширение периметра использования СЗПК (заключено 60 соглашений на 2,3 трлн рублей);</w:t>
      </w:r>
    </w:p>
    <w:p>
      <w:pPr>
        <w:pStyle w:val="0"/>
        <w:spacing w:before="200" w:line-rule="auto"/>
        <w:ind w:firstLine="540"/>
        <w:jc w:val="both"/>
      </w:pPr>
      <w:r>
        <w:rPr>
          <w:sz w:val="20"/>
        </w:rPr>
        <w:t xml:space="preserve">- установление единого пониженного тарифа страховых взносов в размере 7,6% на срок не более 7 лет для участников промышленных кластеров, являющихся одновременно сторонами СПИК, внедрение возможности распространения контракта на ранее освоенные инвестиции;</w:t>
      </w:r>
    </w:p>
    <w:p>
      <w:pPr>
        <w:pStyle w:val="0"/>
        <w:spacing w:before="200" w:line-rule="auto"/>
        <w:ind w:firstLine="540"/>
        <w:jc w:val="both"/>
      </w:pPr>
      <w:r>
        <w:rPr>
          <w:sz w:val="20"/>
        </w:rPr>
        <w:t xml:space="preserve">- установление нулевой ставки НДС по судоремонтным работам при условии заключения предприятиями инвестиционных соглашений, а также в отношении услуг по предоставлению мест для временного проживания в гостиницах и иных средствах размещения;</w:t>
      </w:r>
    </w:p>
    <w:p>
      <w:pPr>
        <w:pStyle w:val="0"/>
        <w:spacing w:before="200" w:line-rule="auto"/>
        <w:ind w:firstLine="540"/>
        <w:jc w:val="both"/>
      </w:pPr>
      <w:r>
        <w:rPr>
          <w:sz w:val="20"/>
        </w:rPr>
        <w:t xml:space="preserve">- освобождение туроператоров от уплаты НДС при реализации турпродукта в сфере внутреннего туризма и (или) въездного туризма, а также операций по продаже физлицам токенов на драгметаллы (одновременно устанавливается нулевая ставка НДС при реализации такого цифрового финансового актива его производителем, при условии, что такой актив предоставляет право на получение слитка при его погашении);</w:t>
      </w:r>
    </w:p>
    <w:p>
      <w:pPr>
        <w:pStyle w:val="0"/>
        <w:spacing w:before="200" w:line-rule="auto"/>
        <w:ind w:firstLine="540"/>
        <w:jc w:val="both"/>
      </w:pPr>
      <w:r>
        <w:rPr>
          <w:sz w:val="20"/>
        </w:rPr>
        <w:t xml:space="preserve">- снижение требования о доле доходов от реализации произведенных подакцизных винограда и винной продукции в общем доходе от реализации продукции со 100% до 70% для применения единого сельскохозяйственного налога;</w:t>
      </w:r>
    </w:p>
    <w:p>
      <w:pPr>
        <w:pStyle w:val="0"/>
        <w:jc w:val="both"/>
      </w:pPr>
      <w:r>
        <w:rPr>
          <w:sz w:val="20"/>
        </w:rPr>
      </w:r>
    </w:p>
    <w:p>
      <w:pPr>
        <w:pStyle w:val="2"/>
        <w:outlineLvl w:val="4"/>
        <w:ind w:firstLine="540"/>
        <w:jc w:val="both"/>
      </w:pPr>
      <w:r>
        <w:rPr>
          <w:sz w:val="20"/>
        </w:rPr>
        <w:t xml:space="preserve">3. Сохранение сбережений населения:</w:t>
      </w:r>
    </w:p>
    <w:p>
      <w:pPr>
        <w:pStyle w:val="0"/>
        <w:spacing w:before="200" w:line-rule="auto"/>
        <w:ind w:firstLine="540"/>
        <w:jc w:val="both"/>
      </w:pPr>
      <w:r>
        <w:rPr>
          <w:sz w:val="20"/>
        </w:rPr>
        <w:t xml:space="preserve">- предоставление права на получение стандартного налогового вычета по НДФЛ родителям, чьи дети или подопечные признаны недееспособными, независимо от их возраста;</w:t>
      </w:r>
    </w:p>
    <w:p>
      <w:pPr>
        <w:pStyle w:val="0"/>
        <w:spacing w:before="200" w:line-rule="auto"/>
        <w:ind w:firstLine="540"/>
        <w:jc w:val="both"/>
      </w:pPr>
      <w:r>
        <w:rPr>
          <w:sz w:val="20"/>
        </w:rPr>
        <w:t xml:space="preserve">- увеличение предельного возраста детей налогоплательщика до 24 лет (если они обучаются по очной форме в образовательных организациях) для предоставления социального налогового вычета (на оплату медицинских услуг и лекарственных препаратов);</w:t>
      </w:r>
    </w:p>
    <w:p>
      <w:pPr>
        <w:pStyle w:val="0"/>
        <w:spacing w:before="200" w:line-rule="auto"/>
        <w:ind w:firstLine="540"/>
        <w:jc w:val="both"/>
      </w:pPr>
      <w:r>
        <w:rPr>
          <w:sz w:val="20"/>
        </w:rPr>
        <w:t xml:space="preserve">- увеличение предельного размера социального налогового вычета на обучение детей - до 110 тыс. рублей, иным расходам - до 150 тыс. рублей;</w:t>
      </w:r>
    </w:p>
    <w:p>
      <w:pPr>
        <w:pStyle w:val="0"/>
        <w:spacing w:before="200" w:line-rule="auto"/>
        <w:ind w:firstLine="540"/>
        <w:jc w:val="both"/>
      </w:pPr>
      <w:r>
        <w:rPr>
          <w:sz w:val="20"/>
        </w:rPr>
        <w:t xml:space="preserve">- освобождение от уплаты НДФЛ доходов по банковским вкладам в 2021 - 2022 гг., от реализации золота (в слитках) полученных в 2022 - 2023 гг., а также доходов в виде материальной выгоды, полученных в 2021 - 2023 гг.;</w:t>
      </w:r>
    </w:p>
    <w:p>
      <w:pPr>
        <w:pStyle w:val="0"/>
        <w:jc w:val="both"/>
      </w:pPr>
      <w:r>
        <w:rPr>
          <w:sz w:val="20"/>
        </w:rPr>
      </w:r>
    </w:p>
    <w:p>
      <w:pPr>
        <w:pStyle w:val="2"/>
        <w:outlineLvl w:val="4"/>
        <w:ind w:firstLine="540"/>
        <w:jc w:val="both"/>
      </w:pPr>
      <w:r>
        <w:rPr>
          <w:sz w:val="20"/>
        </w:rPr>
        <w:t xml:space="preserve">4. Создание новых финансовых инструментов для формирования долгосрочных сбережений граждан:</w:t>
      </w:r>
    </w:p>
    <w:p>
      <w:pPr>
        <w:pStyle w:val="0"/>
        <w:spacing w:before="200" w:line-rule="auto"/>
        <w:ind w:firstLine="540"/>
        <w:jc w:val="both"/>
      </w:pPr>
      <w:r>
        <w:rPr>
          <w:sz w:val="20"/>
        </w:rPr>
        <w:t xml:space="preserve">- запуск программы долгосрочных сбережений, которая начнет действовать с 1 января 2024 года и позволит в будущем гражданам сформировать долгосрочный финансовый ресурс. На уплаченные взносы в программу до 400 тысяч рублей в год возможно будет получить единый налоговый вычет, защита сбережений составит 2,8 млн рублей, а сами взносы будут софинансироваться со стороны государства;</w:t>
      </w:r>
    </w:p>
    <w:p>
      <w:pPr>
        <w:pStyle w:val="0"/>
        <w:spacing w:before="200" w:line-rule="auto"/>
        <w:ind w:firstLine="540"/>
        <w:jc w:val="both"/>
      </w:pPr>
      <w:r>
        <w:rPr>
          <w:sz w:val="20"/>
        </w:rPr>
        <w:t xml:space="preserve">- реформирование института индивидуальных инвестиционных счетов (ИИС) - возможность открытия физическими лицами с января 2024 года новых ИИС третьего типа без ограничения по сумме внесенных денежных средств с возможностью получения налогового вычета;</w:t>
      </w:r>
    </w:p>
    <w:p>
      <w:pPr>
        <w:pStyle w:val="0"/>
        <w:spacing w:before="200" w:line-rule="auto"/>
        <w:ind w:firstLine="540"/>
        <w:jc w:val="both"/>
      </w:pPr>
      <w:r>
        <w:rPr>
          <w:sz w:val="20"/>
        </w:rPr>
        <w:t xml:space="preserve">- создание модели Долгосрочного страхования жизни - долевое страхование жизни, в соответствии с которой страхователю (застрахованному) одновременно предоставляется страховая защита, а также возможность инвестирования части уплаченных средств и получения инвестиционного дохода не ниже уровня процентных ставок по депозитам;</w:t>
      </w:r>
    </w:p>
    <w:p>
      <w:pPr>
        <w:pStyle w:val="0"/>
        <w:jc w:val="both"/>
      </w:pPr>
      <w:r>
        <w:rPr>
          <w:sz w:val="20"/>
        </w:rPr>
      </w:r>
    </w:p>
    <w:p>
      <w:pPr>
        <w:pStyle w:val="2"/>
        <w:outlineLvl w:val="4"/>
        <w:ind w:firstLine="540"/>
        <w:jc w:val="both"/>
      </w:pPr>
      <w:r>
        <w:rPr>
          <w:sz w:val="20"/>
        </w:rPr>
        <w:t xml:space="preserve">5. Повышение привлекательности развития бизнеса на отдельных территориях:</w:t>
      </w:r>
    </w:p>
    <w:p>
      <w:pPr>
        <w:pStyle w:val="0"/>
        <w:spacing w:before="200" w:line-rule="auto"/>
        <w:ind w:firstLine="540"/>
        <w:jc w:val="both"/>
      </w:pPr>
      <w:r>
        <w:rPr>
          <w:sz w:val="20"/>
        </w:rPr>
        <w:t xml:space="preserve">- установление льготного режима по уплате страховых взносов на территориях новых субъектов Российской Федерации: (1) единый тариф в размере 7,6% для участников СЭЗ и (2) сниженный совокупный фиксированный размер страховых взносов на период 2023 - 2025 гг. для плательщиков страховых взносов, осуществляющих предпринимательскую или профессиональную деятельность;</w:t>
      </w:r>
    </w:p>
    <w:p>
      <w:pPr>
        <w:pStyle w:val="0"/>
        <w:spacing w:before="200" w:line-rule="auto"/>
        <w:ind w:firstLine="540"/>
        <w:jc w:val="both"/>
      </w:pPr>
      <w:r>
        <w:rPr>
          <w:sz w:val="20"/>
        </w:rPr>
        <w:t xml:space="preserve">- предоставление права применять единый пониженный тариф страховых взносов в размере 7,6% в течение 10 лет плательщикам страховых взносов, получившим статус резидента ТОР в ДФО или резидента СПВ начиная с 2023 года (после направления ими в налоговый орган уведомления об использовании такого права);</w:t>
      </w:r>
    </w:p>
    <w:p>
      <w:pPr>
        <w:pStyle w:val="0"/>
        <w:spacing w:before="200" w:line-rule="auto"/>
        <w:ind w:firstLine="540"/>
        <w:jc w:val="both"/>
      </w:pPr>
      <w:r>
        <w:rPr>
          <w:sz w:val="20"/>
        </w:rPr>
        <w:t xml:space="preserve">- продление права применять пониженные тарифы страховых взносов в размере 7,6% с 10 до 20 лет со дня получения статуса резидента ТОР, расположенной за пределами ДФО;</w:t>
      </w:r>
    </w:p>
    <w:p>
      <w:pPr>
        <w:pStyle w:val="0"/>
        <w:spacing w:before="200" w:line-rule="auto"/>
        <w:ind w:firstLine="540"/>
        <w:jc w:val="both"/>
      </w:pPr>
      <w:r>
        <w:rPr>
          <w:sz w:val="20"/>
        </w:rPr>
        <w:t xml:space="preserve">- предоставление налогового вычета по НДПИ при добыче железных руд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период 2023 - 2026 гг. на модернизацию объектов размещения отходов горнодобывающего и перерабатывающих производств;</w:t>
      </w:r>
    </w:p>
    <w:p>
      <w:pPr>
        <w:pStyle w:val="0"/>
        <w:spacing w:before="200" w:line-rule="auto"/>
        <w:ind w:firstLine="540"/>
        <w:jc w:val="both"/>
      </w:pPr>
      <w:r>
        <w:rPr>
          <w:sz w:val="20"/>
        </w:rPr>
        <w:t xml:space="preserve">- введение налогового вычета по НДПИ при добыче многокомпонентной комплексной руды, содержащей молибден и медь, на территории Хакасии в объеме расходов на приобретение горнодобывающего оборудования и горной техники по установленному перечню;</w:t>
      </w:r>
    </w:p>
    <w:p>
      <w:pPr>
        <w:pStyle w:val="0"/>
        <w:spacing w:before="200" w:line-rule="auto"/>
        <w:ind w:firstLine="540"/>
        <w:jc w:val="both"/>
      </w:pPr>
      <w:r>
        <w:rPr>
          <w:sz w:val="20"/>
        </w:rPr>
        <w:t xml:space="preserve">- освобождение от НДПИ на 12 лет (с 2026 по 2038 гг.) при добыче многокомпонентных комплексных руд с низким содержанием металлов платиновой группы на 1 тонну руды на новых участках недр, расположенных полностью или частично на территории Красноярского края;</w:t>
      </w:r>
    </w:p>
    <w:p>
      <w:pPr>
        <w:pStyle w:val="0"/>
        <w:spacing w:before="200" w:line-rule="auto"/>
        <w:ind w:firstLine="540"/>
        <w:jc w:val="both"/>
      </w:pPr>
      <w:r>
        <w:rPr>
          <w:sz w:val="20"/>
        </w:rPr>
        <w:t xml:space="preserve">- предоставление права на применение налогового вычета по НДПИ при добыче олова на участках недр, расположенных полностью или частично на территории Дальневосточного федерального округа, на период с 1 января 2023 года по 31 декабря 2032 года (дополнительная прибыль получателей льгот (выпадающие доходы бюджета) в 2023 - 2026 гг. ожидается в размере 3 млрд рублей);</w:t>
      </w:r>
    </w:p>
    <w:p>
      <w:pPr>
        <w:pStyle w:val="0"/>
        <w:spacing w:before="200" w:line-rule="auto"/>
        <w:ind w:firstLine="540"/>
        <w:jc w:val="both"/>
      </w:pPr>
      <w:r>
        <w:rPr>
          <w:sz w:val="20"/>
        </w:rPr>
        <w:t xml:space="preserve">- донастройка режима ОЭЗ (инвесторы, помимо налогового иммунитета, получили защиту от ухудшений условий отраслевого регулирования и роста тарифов);</w:t>
      </w:r>
    </w:p>
    <w:p>
      <w:pPr>
        <w:pStyle w:val="0"/>
        <w:jc w:val="both"/>
      </w:pPr>
      <w:r>
        <w:rPr>
          <w:sz w:val="20"/>
        </w:rPr>
      </w:r>
    </w:p>
    <w:p>
      <w:pPr>
        <w:pStyle w:val="2"/>
        <w:outlineLvl w:val="4"/>
        <w:ind w:firstLine="540"/>
        <w:jc w:val="both"/>
      </w:pPr>
      <w:r>
        <w:rPr>
          <w:sz w:val="20"/>
        </w:rPr>
        <w:t xml:space="preserve">6. Меры по деофшоризации российской экономики:</w:t>
      </w:r>
    </w:p>
    <w:p>
      <w:pPr>
        <w:pStyle w:val="0"/>
        <w:spacing w:before="200" w:line-rule="auto"/>
        <w:ind w:firstLine="540"/>
        <w:jc w:val="both"/>
      </w:pPr>
      <w:r>
        <w:rPr>
          <w:sz w:val="20"/>
        </w:rPr>
        <w:t xml:space="preserve">- обеспечено проведение очередного (четвертого) этапа амнистии капитала, в ходе которого физическим лицам предоставлена возможность задекларировать свое имущество с гарантированным освобождением от ответственности за совершение отдельных правонарушений, связанных с задекларированным имуществом;</w:t>
      </w:r>
    </w:p>
    <w:p>
      <w:pPr>
        <w:pStyle w:val="0"/>
        <w:spacing w:before="200" w:line-rule="auto"/>
        <w:ind w:firstLine="540"/>
        <w:jc w:val="both"/>
      </w:pPr>
      <w:r>
        <w:rPr>
          <w:sz w:val="20"/>
        </w:rPr>
        <w:t xml:space="preserve">- созданы дополнительные стимулы перевода холдинговых компаний в специальные административные районы (САР) (расширение круга компаний, имеющих возможность перевода; оптимизация требований, предъявляемых при переводе и получении статуса международной холдинговой компании; разрешение применять пониженные ставки по налогу на прибыль организаций (в т.ч. к доходам в виде дивидендов, процентов и роялти);</w:t>
      </w:r>
    </w:p>
    <w:p>
      <w:pPr>
        <w:pStyle w:val="0"/>
        <w:spacing w:before="200" w:line-rule="auto"/>
        <w:ind w:firstLine="540"/>
        <w:jc w:val="both"/>
      </w:pPr>
      <w:r>
        <w:rPr>
          <w:sz w:val="20"/>
        </w:rPr>
        <w:t xml:space="preserve">- с 1 января 2023 года введен запрет на предоставление субсидий и бюджетных инвестиций иностранным юрлицам, а также российским юрлицам, в уставном капитале которых доля прямого или косвенного участия офшорных компаний в совокупности превышает 25% (за исключением мероприятий, связанных с предотвращением влияния ухудшения геополитической и экономической ситуации на развитие отраслей экономики);</w:t>
      </w:r>
    </w:p>
    <w:p>
      <w:pPr>
        <w:pStyle w:val="0"/>
        <w:jc w:val="both"/>
      </w:pPr>
      <w:r>
        <w:rPr>
          <w:sz w:val="20"/>
        </w:rPr>
      </w:r>
    </w:p>
    <w:p>
      <w:pPr>
        <w:pStyle w:val="2"/>
        <w:outlineLvl w:val="4"/>
        <w:ind w:firstLine="540"/>
        <w:jc w:val="both"/>
      </w:pPr>
      <w:r>
        <w:rPr>
          <w:sz w:val="20"/>
        </w:rPr>
        <w:t xml:space="preserve">7. Меры в сфере международного налогообложения</w:t>
      </w:r>
    </w:p>
    <w:p>
      <w:pPr>
        <w:pStyle w:val="0"/>
        <w:spacing w:before="200" w:line-rule="auto"/>
        <w:ind w:firstLine="540"/>
        <w:jc w:val="both"/>
      </w:pPr>
      <w:r>
        <w:rPr>
          <w:sz w:val="20"/>
        </w:rPr>
        <w:t xml:space="preserve">- приостановлено действие отдельных положений 38 международных договоров Российской Федерации по вопросам налогообложения с иностранными государствами, совершающими в отношении Российской Федерации недружественные действия;</w:t>
      </w:r>
    </w:p>
    <w:p>
      <w:pPr>
        <w:pStyle w:val="0"/>
        <w:spacing w:before="200" w:line-rule="auto"/>
        <w:ind w:firstLine="540"/>
        <w:jc w:val="both"/>
      </w:pPr>
      <w:r>
        <w:rPr>
          <w:sz w:val="20"/>
        </w:rPr>
        <w:t xml:space="preserve">- ограничение на применение нулевой ставки по дивидендам для компаний, государство постоянного местонахождения которых совершает в отношении Российской Федерации, российских юридических и физических лиц недружественные действия.</w:t>
      </w:r>
    </w:p>
    <w:p>
      <w:pPr>
        <w:pStyle w:val="0"/>
        <w:jc w:val="both"/>
      </w:pPr>
      <w:r>
        <w:rPr>
          <w:sz w:val="20"/>
        </w:rPr>
      </w:r>
    </w:p>
    <w:p>
      <w:pPr>
        <w:pStyle w:val="2"/>
        <w:outlineLvl w:val="3"/>
        <w:ind w:firstLine="540"/>
        <w:jc w:val="both"/>
      </w:pPr>
      <w:r>
        <w:rPr>
          <w:sz w:val="20"/>
        </w:rPr>
        <w:t xml:space="preserve">Справедливая конкурентная среда и сокращение теневого сектора</w:t>
      </w:r>
    </w:p>
    <w:p>
      <w:pPr>
        <w:pStyle w:val="0"/>
        <w:spacing w:before="200" w:line-rule="auto"/>
        <w:ind w:firstLine="540"/>
        <w:jc w:val="both"/>
      </w:pPr>
      <w:r>
        <w:rPr>
          <w:sz w:val="20"/>
        </w:rPr>
        <w:t xml:space="preserve">Для содействия обелению экономики и созданию справедливых конкурентных условий проводилась работа по улучшению администрирования доходов.</w:t>
      </w:r>
    </w:p>
    <w:p>
      <w:pPr>
        <w:pStyle w:val="0"/>
        <w:spacing w:before="200" w:line-rule="auto"/>
        <w:ind w:firstLine="540"/>
        <w:jc w:val="both"/>
      </w:pPr>
      <w:r>
        <w:rPr>
          <w:sz w:val="20"/>
        </w:rPr>
        <w:t xml:space="preserve">Из ключевых результатов по указанному направлению можно отметить следующие:</w:t>
      </w:r>
    </w:p>
    <w:p>
      <w:pPr>
        <w:pStyle w:val="0"/>
        <w:spacing w:before="200" w:line-rule="auto"/>
        <w:ind w:firstLine="540"/>
        <w:jc w:val="both"/>
      </w:pPr>
      <w:r>
        <w:rPr>
          <w:sz w:val="20"/>
        </w:rPr>
        <w:t xml:space="preserve">- запущен в 4 пилотных регионах новый налоговый режим Автоматизированная упрощенная система налогообложения (с фиксированным тарифом страховых взносов) для микропредприятий до 5 сотрудников и доходами, не более 60 млн рублей (специальным режимом воспользовались уже более 7 тысяч налогоплательщиков). Система использует данные контрольно-кассовой техники и банковских счетов в рамках личного кабинета налогоплательщика и делает возможным администрирование налога в бездекларационном формате;</w:t>
      </w:r>
    </w:p>
    <w:p>
      <w:pPr>
        <w:pStyle w:val="0"/>
        <w:spacing w:before="200" w:line-rule="auto"/>
        <w:ind w:firstLine="540"/>
        <w:jc w:val="both"/>
      </w:pPr>
      <w:r>
        <w:rPr>
          <w:sz w:val="20"/>
        </w:rPr>
        <w:t xml:space="preserve">- распространен (с 2023 года) на всех налогоплательщиков инструмент единого налогового платежа, предполагающего уплату налоговых платежей одним платежным поручением (без уточнения реквизитов и др. параметров) с последующим зачетом в счет имеющихся у плательщика обязательств, проводится мониторинг результатов внедрения данного инструмента с целью его совершенствования и донастройки;</w:t>
      </w:r>
    </w:p>
    <w:p>
      <w:pPr>
        <w:pStyle w:val="0"/>
        <w:spacing w:before="200" w:line-rule="auto"/>
        <w:ind w:firstLine="540"/>
        <w:jc w:val="both"/>
      </w:pPr>
      <w:r>
        <w:rPr>
          <w:sz w:val="20"/>
        </w:rPr>
        <w:t xml:space="preserve">- расширен периметр системы налогового и таможенного мониторинга (до 445 компаний (из 18 отраслей, обеспечивающих 1/3 налоговых доходов федерального бюджета).</w:t>
      </w:r>
    </w:p>
    <w:p>
      <w:pPr>
        <w:pStyle w:val="0"/>
        <w:spacing w:before="200" w:line-rule="auto"/>
        <w:ind w:firstLine="540"/>
        <w:jc w:val="both"/>
      </w:pPr>
      <w:r>
        <w:rPr>
          <w:sz w:val="20"/>
        </w:rPr>
        <w:t xml:space="preserve">Благодаря снижению "пороговых" требований данной формой налогового контроля может воспользоваться средний бизнес.</w:t>
      </w:r>
    </w:p>
    <w:p>
      <w:pPr>
        <w:pStyle w:val="0"/>
        <w:spacing w:before="200" w:line-rule="auto"/>
        <w:ind w:firstLine="540"/>
        <w:jc w:val="both"/>
      </w:pPr>
      <w:r>
        <w:rPr>
          <w:sz w:val="20"/>
        </w:rPr>
        <w:t xml:space="preserve">- созданы комфортные условия для добровольной и своевременной уплаты налогов, а также других платежей, сокращены издержки по уплате:</w:t>
      </w:r>
    </w:p>
    <w:p>
      <w:pPr>
        <w:pStyle w:val="0"/>
        <w:spacing w:before="200" w:line-rule="auto"/>
        <w:ind w:firstLine="540"/>
        <w:jc w:val="both"/>
      </w:pPr>
      <w:r>
        <w:rPr>
          <w:sz w:val="20"/>
        </w:rPr>
        <w:t xml:space="preserve">- создана универсальная система исчисления и уплаты страховых взносов, включающая введение единого тарифа страховых взносов на все виды обязательного социального страхования и единой предельной величины базы, возможность уплаты взносов одним платежом;</w:t>
      </w:r>
    </w:p>
    <w:p>
      <w:pPr>
        <w:pStyle w:val="0"/>
        <w:spacing w:before="200" w:line-rule="auto"/>
        <w:ind w:firstLine="540"/>
        <w:jc w:val="both"/>
      </w:pPr>
      <w:r>
        <w:rPr>
          <w:sz w:val="20"/>
        </w:rPr>
        <w:t xml:space="preserve">- установлено право налогоплательщиков по налогу на прибыль организаций перейти в течение 2022 года на уплату ежемесячных авансовых платежей исходя из фактической прибыли;</w:t>
      </w:r>
    </w:p>
    <w:p>
      <w:pPr>
        <w:pStyle w:val="0"/>
        <w:spacing w:before="200" w:line-rule="auto"/>
        <w:ind w:firstLine="540"/>
        <w:jc w:val="both"/>
      </w:pPr>
      <w:r>
        <w:rPr>
          <w:sz w:val="20"/>
        </w:rPr>
        <w:t xml:space="preserve">- введена единая ставка НДФЛ (13/15%) для сотрудников, работающих на российские организации дистанционно как в России, так и за ее пределами;</w:t>
      </w:r>
    </w:p>
    <w:p>
      <w:pPr>
        <w:pStyle w:val="0"/>
        <w:spacing w:before="200" w:line-rule="auto"/>
        <w:ind w:firstLine="540"/>
        <w:jc w:val="both"/>
      </w:pPr>
      <w:r>
        <w:rPr>
          <w:sz w:val="20"/>
        </w:rPr>
        <w:t xml:space="preserve">- продлен до конца 2023 года срок, в течение которого не начисляются пени на сумму недоимки, размер которой равен положительному сальдо единого налогового счета налогоплательщика.</w:t>
      </w:r>
    </w:p>
    <w:p>
      <w:pPr>
        <w:pStyle w:val="0"/>
        <w:spacing w:before="200" w:line-rule="auto"/>
        <w:ind w:firstLine="540"/>
        <w:jc w:val="both"/>
      </w:pPr>
      <w:r>
        <w:rPr>
          <w:sz w:val="20"/>
        </w:rPr>
        <w:t xml:space="preserve">- приняты меры валютного контроля и регулирования в целях снижения административной нагрузки и повышения конкурентоспособности национальных товаров на зарубежных рынках, а также нивелирования санкционных ограничений:</w:t>
      </w:r>
    </w:p>
    <w:p>
      <w:pPr>
        <w:pStyle w:val="0"/>
        <w:spacing w:before="200" w:line-rule="auto"/>
        <w:ind w:firstLine="540"/>
        <w:jc w:val="both"/>
      </w:pPr>
      <w:r>
        <w:rPr>
          <w:sz w:val="20"/>
        </w:rPr>
        <w:t xml:space="preserve">- смягчены условия валютного контроля (сокращено количество внешнеторговых сделок, подпадающих под данное требование, приостановлено его действие при применении инвестиционного налогового вычета, оптимизировано количество выездных проверок, введен мораторий до 31 декабря 2023 года на применение мер административной ответственности за неисполнение требований валютного законодательства);</w:t>
      </w:r>
    </w:p>
    <w:p>
      <w:pPr>
        <w:pStyle w:val="0"/>
        <w:spacing w:before="200" w:line-rule="auto"/>
        <w:ind w:firstLine="540"/>
        <w:jc w:val="both"/>
      </w:pPr>
      <w:r>
        <w:rPr>
          <w:sz w:val="20"/>
        </w:rPr>
        <w:t xml:space="preserve">- внесены изменения в нормативное регулирование для нейтрализации санкционных ограничений и совершенствования режимов торговли с внешнеэкономическими партнерами (разрешено проведение валютных операций без использования банковских счетов резидентам-участникам внешнеэкономической деятельности, снято ограничение на осуществление валютных операций между резидентами по договорам импортного факторинга, расширен перечень разрешенных валютных операций, связанных с финансированием участия в кредите (займе), установлен механизм (с 1 января 2024 года) осуществления валютного контроля Федеральным казначейством за валютными операциями бюджетных организаций).</w:t>
      </w:r>
    </w:p>
    <w:p>
      <w:pPr>
        <w:pStyle w:val="0"/>
        <w:spacing w:before="200" w:line-rule="auto"/>
        <w:ind w:firstLine="540"/>
        <w:jc w:val="both"/>
      </w:pPr>
      <w:r>
        <w:rPr>
          <w:sz w:val="20"/>
        </w:rPr>
        <w:t xml:space="preserve">Данные меры направлены на реализацию основной задачи бюджетной и налоговой политики - повышение благосостояния и улучшение качества жизни граждан посредством обеспечения устойчивых темпов роста экономики и расширения потенциала сбалансированного развития.</w:t>
      </w:r>
    </w:p>
    <w:p>
      <w:pPr>
        <w:pStyle w:val="0"/>
        <w:jc w:val="both"/>
      </w:pPr>
      <w:r>
        <w:rPr>
          <w:sz w:val="20"/>
        </w:rPr>
      </w:r>
    </w:p>
    <w:p>
      <w:pPr>
        <w:pStyle w:val="2"/>
        <w:outlineLvl w:val="2"/>
        <w:ind w:firstLine="540"/>
        <w:jc w:val="both"/>
      </w:pPr>
      <w:r>
        <w:rPr>
          <w:sz w:val="20"/>
        </w:rPr>
        <w:t xml:space="preserve">1.3. ОПЕРАЦИОННАЯ ЭФФЕКТИВНОСТЬ</w:t>
      </w:r>
    </w:p>
    <w:p>
      <w:pPr>
        <w:pStyle w:val="0"/>
        <w:jc w:val="both"/>
      </w:pPr>
      <w:r>
        <w:rPr>
          <w:sz w:val="20"/>
        </w:rPr>
      </w:r>
    </w:p>
    <w:p>
      <w:pPr>
        <w:pStyle w:val="2"/>
        <w:outlineLvl w:val="3"/>
        <w:ind w:firstLine="540"/>
        <w:jc w:val="both"/>
      </w:pPr>
      <w:r>
        <w:rPr>
          <w:sz w:val="20"/>
        </w:rPr>
        <w:t xml:space="preserve">Развитие института госпрограмм и проектных принципов управления</w:t>
      </w:r>
    </w:p>
    <w:p>
      <w:pPr>
        <w:pStyle w:val="0"/>
        <w:spacing w:before="200" w:line-rule="auto"/>
        <w:ind w:firstLine="540"/>
        <w:jc w:val="both"/>
      </w:pPr>
      <w:r>
        <w:rPr>
          <w:sz w:val="20"/>
        </w:rPr>
        <w:t xml:space="preserve">В 2022 году был обеспечен переход на новую систему управления государственными программами, предусматривающую перевод на единые проектные принципы управления, совершенствование механизма целеполагания с ориентацией на достижение национальных целей развития.</w:t>
      </w:r>
    </w:p>
    <w:p>
      <w:pPr>
        <w:pStyle w:val="0"/>
        <w:spacing w:before="200" w:line-rule="auto"/>
        <w:ind w:firstLine="540"/>
        <w:jc w:val="both"/>
      </w:pPr>
      <w:r>
        <w:rPr>
          <w:sz w:val="20"/>
        </w:rPr>
        <w:t xml:space="preserve">Упрощение структуры и формата, перевод в цифровой формат, обеспечение координации с государственными программами субъектов РФ посредством внедрения инструмента "нефинансовых" соглашений.</w:t>
      </w:r>
    </w:p>
    <w:p>
      <w:pPr>
        <w:pStyle w:val="0"/>
        <w:spacing w:before="200" w:line-rule="auto"/>
        <w:ind w:firstLine="540"/>
        <w:jc w:val="both"/>
      </w:pPr>
      <w:r>
        <w:rPr>
          <w:sz w:val="20"/>
        </w:rPr>
        <w:t xml:space="preserve">В 2023 году приняты Правила формирования сводного доклада о ходе реализации и оценке эффективности государственных программ, предусматривающие порядок определения интегральной оценки, систему рейтингования государственных программ, критерии определения эффективности реализации.</w:t>
      </w:r>
    </w:p>
    <w:p>
      <w:pPr>
        <w:pStyle w:val="0"/>
        <w:spacing w:before="200" w:line-rule="auto"/>
        <w:ind w:firstLine="540"/>
        <w:jc w:val="both"/>
      </w:pPr>
      <w:r>
        <w:rPr>
          <w:sz w:val="20"/>
        </w:rPr>
        <w:t xml:space="preserve">С учетом изменившихся геополитических и экономических условий были упрощены отдельные процедуры управления государственными программами и национальными проектами (делегированы полномочия по принятию решений о корректировке параметров программ и проектов их кураторам и руководителям, упрощен порядок перераспределения бюджетных ассигнований федерального бюджета, без внесения изменений в федеральный закон о федеральном бюджете).</w:t>
      </w:r>
    </w:p>
    <w:p>
      <w:pPr>
        <w:pStyle w:val="0"/>
        <w:jc w:val="both"/>
      </w:pPr>
      <w:r>
        <w:rPr>
          <w:sz w:val="20"/>
        </w:rPr>
      </w:r>
    </w:p>
    <w:p>
      <w:pPr>
        <w:pStyle w:val="2"/>
        <w:outlineLvl w:val="3"/>
        <w:ind w:firstLine="540"/>
        <w:jc w:val="both"/>
      </w:pPr>
      <w:r>
        <w:rPr>
          <w:sz w:val="20"/>
        </w:rPr>
        <w:t xml:space="preserve">Обзоры бюджетных расходов</w:t>
      </w:r>
    </w:p>
    <w:p>
      <w:pPr>
        <w:pStyle w:val="0"/>
        <w:spacing w:before="200" w:line-rule="auto"/>
        <w:ind w:firstLine="540"/>
        <w:jc w:val="both"/>
      </w:pPr>
      <w:r>
        <w:rPr>
          <w:sz w:val="20"/>
        </w:rPr>
        <w:t xml:space="preserve">В 2022 - 2023 гг. концептуально пересмотрен подход к проведению обзоров бюджетных расходов.</w:t>
      </w:r>
    </w:p>
    <w:p>
      <w:pPr>
        <w:pStyle w:val="0"/>
        <w:spacing w:before="200" w:line-rule="auto"/>
        <w:ind w:firstLine="540"/>
        <w:jc w:val="both"/>
      </w:pPr>
      <w:r>
        <w:rPr>
          <w:sz w:val="20"/>
        </w:rPr>
        <w:t xml:space="preserve">С учетом передового зарубежного опыта предполагается применение модели, предусматривающей проведение обзоров бюджетных расходов силами финансового органа с привлечением при необходимости отраслевых экспертов и одобрением выработанных решений Правительством РФ (либо специальным совещательным или консультативным органом Правительства РФ).</w:t>
      </w:r>
    </w:p>
    <w:p>
      <w:pPr>
        <w:pStyle w:val="0"/>
        <w:spacing w:before="200" w:line-rule="auto"/>
        <w:ind w:firstLine="540"/>
        <w:jc w:val="both"/>
      </w:pPr>
      <w:r>
        <w:rPr>
          <w:sz w:val="20"/>
        </w:rPr>
        <w:t xml:space="preserve">Кроме того, предполагается, что помимо стратегических обзоров, проводимых на ежегодной основе и предполагающих детальный анализ расходов вплоть до изучения первичной документации (обоснования бюджетных ассигнований, контракты и т.п.), при необходимости в оперативном режиме будут проводиться быстрые обзоры бюджетных расходов.</w:t>
      </w:r>
    </w:p>
    <w:p>
      <w:pPr>
        <w:pStyle w:val="0"/>
        <w:jc w:val="both"/>
      </w:pPr>
      <w:r>
        <w:rPr>
          <w:sz w:val="20"/>
        </w:rPr>
      </w:r>
    </w:p>
    <w:p>
      <w:pPr>
        <w:pStyle w:val="2"/>
        <w:outlineLvl w:val="3"/>
        <w:ind w:firstLine="540"/>
        <w:jc w:val="both"/>
      </w:pPr>
      <w:r>
        <w:rPr>
          <w:sz w:val="20"/>
        </w:rPr>
        <w:t xml:space="preserve">Развитие системы учета, контроля и оценки налоговых расходов</w:t>
      </w:r>
    </w:p>
    <w:p>
      <w:pPr>
        <w:pStyle w:val="0"/>
        <w:spacing w:before="200" w:line-rule="auto"/>
        <w:ind w:firstLine="540"/>
        <w:jc w:val="both"/>
      </w:pPr>
      <w:r>
        <w:rPr>
          <w:sz w:val="20"/>
        </w:rPr>
        <w:t xml:space="preserve">В 2022 - 2023 гг. продолжена работа по совершенствованию нормативно-правовой базы и методологии оценки эффективности налоговых расходов.</w:t>
      </w:r>
    </w:p>
    <w:p>
      <w:pPr>
        <w:pStyle w:val="0"/>
        <w:spacing w:before="200" w:line-rule="auto"/>
        <w:ind w:firstLine="540"/>
        <w:jc w:val="both"/>
      </w:pPr>
      <w:r>
        <w:rPr>
          <w:sz w:val="20"/>
        </w:rPr>
        <w:t xml:space="preserve">В Правила формирования перечня налоговых расходов РФ и их оценки внесены изменения, предусматривающие:</w:t>
      </w:r>
    </w:p>
    <w:p>
      <w:pPr>
        <w:pStyle w:val="0"/>
        <w:spacing w:before="200" w:line-rule="auto"/>
        <w:ind w:firstLine="540"/>
        <w:jc w:val="both"/>
      </w:pPr>
      <w:r>
        <w:rPr>
          <w:sz w:val="20"/>
        </w:rPr>
        <w:t xml:space="preserve">- установление общих принципов предварительной оценки налоговых расходов на стадии разработки проекта нормативного правового акта в упрощенном формате, включающих информацию о соответствии проектируемых налоговых льгот (преференций) целям госпрограмм и (или) целям социально-экономической политики, потенциальном уровне востребованности, оценку вклада в изменение показателей госпрограмм и (или) целевых показателей социально-экономической политики и оценку совокупного бюджетного эффекта (самоокупаемости) проектируемых налоговых льгот (преференций);</w:t>
      </w:r>
    </w:p>
    <w:p>
      <w:pPr>
        <w:pStyle w:val="0"/>
        <w:spacing w:before="200" w:line-rule="auto"/>
        <w:ind w:firstLine="540"/>
        <w:jc w:val="both"/>
      </w:pPr>
      <w:r>
        <w:rPr>
          <w:sz w:val="20"/>
        </w:rPr>
        <w:t xml:space="preserve">- закрепление возможности проведения упрощенной оценки в отношении налоговых расходов, по которым отсутствуют фискальные характеристики либо срок их действия составляет менее одного года.</w:t>
      </w:r>
    </w:p>
    <w:p>
      <w:pPr>
        <w:pStyle w:val="0"/>
        <w:spacing w:before="200" w:line-rule="auto"/>
        <w:ind w:firstLine="540"/>
        <w:jc w:val="both"/>
      </w:pPr>
      <w:r>
        <w:rPr>
          <w:sz w:val="20"/>
        </w:rPr>
        <w:t xml:space="preserve">Проведена оценка востребованности всех налоговых льгот (преференций), а также оценка совокупного бюджетного эффекта стимулирующих налоговых расходов в отношении 100% налоговых расходов. Охват налоговых расходов, по которым проводится оценка их эффективности с учетом согласованных/утвержденных методик, составляет около 4,3 трлн рублей (более чем 50% от общего объема).</w:t>
      </w:r>
    </w:p>
    <w:p>
      <w:pPr>
        <w:pStyle w:val="0"/>
        <w:jc w:val="both"/>
      </w:pPr>
      <w:r>
        <w:rPr>
          <w:sz w:val="20"/>
        </w:rPr>
      </w:r>
    </w:p>
    <w:p>
      <w:pPr>
        <w:pStyle w:val="0"/>
        <w:ind w:firstLine="540"/>
        <w:jc w:val="both"/>
      </w:pPr>
      <w:r>
        <w:rPr>
          <w:sz w:val="20"/>
        </w:rPr>
        <w:t xml:space="preserve">Таблица 1.3.1. Объем налоговых расходов Российской Федерации в 2020 - 2026 гг. (по видам налогов и сборов)</w:t>
      </w:r>
    </w:p>
    <w:p>
      <w:pPr>
        <w:pStyle w:val="0"/>
        <w:jc w:val="both"/>
      </w:pPr>
      <w:r>
        <w:rPr>
          <w:sz w:val="20"/>
        </w:rPr>
      </w:r>
    </w:p>
    <w:p>
      <w:pPr>
        <w:pStyle w:val="0"/>
        <w:jc w:val="right"/>
      </w:pPr>
      <w:r>
        <w:rPr>
          <w:sz w:val="20"/>
        </w:rPr>
        <w:t xml:space="preserve">млрд рублей</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2551"/>
        <w:gridCol w:w="793"/>
        <w:gridCol w:w="907"/>
        <w:gridCol w:w="963"/>
        <w:gridCol w:w="963"/>
        <w:gridCol w:w="963"/>
        <w:gridCol w:w="963"/>
        <w:gridCol w:w="963"/>
      </w:tblGrid>
      <w:tr>
        <w:tblPrEx>
          <w:tblBorders>
            <w:insideH w:val="single" w:sz="4"/>
          </w:tblBorders>
        </w:tblPrEx>
        <w:tc>
          <w:tcPr>
            <w:tcW w:w="2551" w:type="dxa"/>
            <w:tcBorders>
              <w:top w:val="single" w:sz="4"/>
              <w:left w:val="nil"/>
              <w:bottom w:val="single" w:sz="4"/>
              <w:right w:val="nil"/>
            </w:tcBorders>
          </w:tcPr>
          <w:p>
            <w:pPr>
              <w:pStyle w:val="0"/>
            </w:pPr>
            <w:r>
              <w:rPr>
                <w:sz w:val="20"/>
              </w:rPr>
            </w:r>
          </w:p>
        </w:tc>
        <w:tc>
          <w:tcPr>
            <w:tcW w:w="793" w:type="dxa"/>
            <w:tcBorders>
              <w:top w:val="single" w:sz="4"/>
              <w:left w:val="nil"/>
              <w:bottom w:val="single" w:sz="4"/>
              <w:right w:val="nil"/>
            </w:tcBorders>
          </w:tcPr>
          <w:p>
            <w:pPr>
              <w:pStyle w:val="0"/>
              <w:jc w:val="center"/>
            </w:pPr>
            <w:r>
              <w:rPr>
                <w:sz w:val="20"/>
              </w:rPr>
              <w:t xml:space="preserve">2020</w:t>
            </w:r>
          </w:p>
        </w:tc>
        <w:tc>
          <w:tcPr>
            <w:tcW w:w="907" w:type="dxa"/>
            <w:tcBorders>
              <w:top w:val="single" w:sz="4"/>
              <w:left w:val="nil"/>
              <w:bottom w:val="single" w:sz="4"/>
              <w:right w:val="nil"/>
            </w:tcBorders>
          </w:tcPr>
          <w:p>
            <w:pPr>
              <w:pStyle w:val="0"/>
              <w:jc w:val="center"/>
            </w:pPr>
            <w:r>
              <w:rPr>
                <w:sz w:val="20"/>
              </w:rPr>
              <w:t xml:space="preserve">2021</w:t>
            </w:r>
          </w:p>
        </w:tc>
        <w:tc>
          <w:tcPr>
            <w:tcW w:w="963" w:type="dxa"/>
            <w:tcBorders>
              <w:top w:val="single" w:sz="4"/>
              <w:left w:val="nil"/>
              <w:bottom w:val="single" w:sz="4"/>
              <w:right w:val="nil"/>
            </w:tcBorders>
          </w:tcPr>
          <w:p>
            <w:pPr>
              <w:pStyle w:val="0"/>
              <w:jc w:val="center"/>
            </w:pPr>
            <w:r>
              <w:rPr>
                <w:sz w:val="20"/>
              </w:rPr>
              <w:t xml:space="preserve">2022</w:t>
            </w:r>
          </w:p>
        </w:tc>
        <w:tc>
          <w:tcPr>
            <w:tcW w:w="963" w:type="dxa"/>
            <w:tcBorders>
              <w:top w:val="single" w:sz="4"/>
              <w:left w:val="nil"/>
              <w:bottom w:val="single" w:sz="4"/>
              <w:right w:val="nil"/>
            </w:tcBorders>
          </w:tcPr>
          <w:p>
            <w:pPr>
              <w:pStyle w:val="0"/>
              <w:jc w:val="center"/>
            </w:pPr>
            <w:r>
              <w:rPr>
                <w:sz w:val="20"/>
              </w:rPr>
              <w:t xml:space="preserve">2023 </w:t>
            </w:r>
            <w:hyperlink w:history="0" w:anchor="P270" w:tooltip="&lt;1&gt; оценка Минфина России">
              <w:r>
                <w:rPr>
                  <w:sz w:val="20"/>
                  <w:color w:val="0000ff"/>
                </w:rPr>
                <w:t xml:space="preserve">&lt;1&gt;</w:t>
              </w:r>
            </w:hyperlink>
          </w:p>
        </w:tc>
        <w:tc>
          <w:tcPr>
            <w:tcW w:w="963" w:type="dxa"/>
            <w:tcBorders>
              <w:top w:val="single" w:sz="4"/>
              <w:left w:val="nil"/>
              <w:bottom w:val="single" w:sz="4"/>
              <w:right w:val="nil"/>
            </w:tcBorders>
          </w:tcPr>
          <w:p>
            <w:pPr>
              <w:pStyle w:val="0"/>
              <w:jc w:val="center"/>
            </w:pPr>
            <w:r>
              <w:rPr>
                <w:sz w:val="20"/>
              </w:rPr>
              <w:t xml:space="preserve">2024 </w:t>
            </w:r>
            <w:hyperlink w:history="0" w:anchor="P270" w:tooltip="&lt;1&gt; оценка Минфина России">
              <w:r>
                <w:rPr>
                  <w:sz w:val="20"/>
                  <w:color w:val="0000ff"/>
                </w:rPr>
                <w:t xml:space="preserve">&lt;1&gt;</w:t>
              </w:r>
            </w:hyperlink>
          </w:p>
        </w:tc>
        <w:tc>
          <w:tcPr>
            <w:tcW w:w="963" w:type="dxa"/>
            <w:tcBorders>
              <w:top w:val="single" w:sz="4"/>
              <w:left w:val="nil"/>
              <w:bottom w:val="single" w:sz="4"/>
              <w:right w:val="nil"/>
            </w:tcBorders>
          </w:tcPr>
          <w:p>
            <w:pPr>
              <w:pStyle w:val="0"/>
              <w:jc w:val="center"/>
            </w:pPr>
            <w:r>
              <w:rPr>
                <w:sz w:val="20"/>
              </w:rPr>
              <w:t xml:space="preserve">2025 </w:t>
            </w:r>
            <w:hyperlink w:history="0" w:anchor="P270" w:tooltip="&lt;1&gt; оценка Минфина России">
              <w:r>
                <w:rPr>
                  <w:sz w:val="20"/>
                  <w:color w:val="0000ff"/>
                </w:rPr>
                <w:t xml:space="preserve">&lt;1&gt;</w:t>
              </w:r>
            </w:hyperlink>
          </w:p>
        </w:tc>
        <w:tc>
          <w:tcPr>
            <w:tcW w:w="963" w:type="dxa"/>
            <w:tcBorders>
              <w:top w:val="single" w:sz="4"/>
              <w:left w:val="nil"/>
              <w:bottom w:val="single" w:sz="4"/>
              <w:right w:val="nil"/>
            </w:tcBorders>
          </w:tcPr>
          <w:p>
            <w:pPr>
              <w:pStyle w:val="0"/>
              <w:jc w:val="center"/>
            </w:pPr>
            <w:r>
              <w:rPr>
                <w:sz w:val="20"/>
              </w:rPr>
              <w:t xml:space="preserve">2026 </w:t>
            </w:r>
            <w:hyperlink w:history="0" w:anchor="P270" w:tooltip="&lt;1&gt; оценка Минфина России">
              <w:r>
                <w:rPr>
                  <w:sz w:val="20"/>
                  <w:color w:val="0000ff"/>
                </w:rPr>
                <w:t xml:space="preserve">&lt;1&gt;</w:t>
              </w:r>
            </w:hyperlink>
          </w:p>
        </w:tc>
      </w:tr>
      <w:tr>
        <w:tc>
          <w:tcPr>
            <w:tcW w:w="2551" w:type="dxa"/>
            <w:vAlign w:val="center"/>
            <w:tcBorders>
              <w:top w:val="single" w:sz="4"/>
              <w:left w:val="nil"/>
              <w:bottom w:val="nil"/>
              <w:right w:val="nil"/>
            </w:tcBorders>
          </w:tcPr>
          <w:p>
            <w:pPr>
              <w:pStyle w:val="0"/>
            </w:pPr>
            <w:r>
              <w:rPr>
                <w:sz w:val="20"/>
              </w:rPr>
              <w:t xml:space="preserve">НАЛОГОВЫЕ РАСХОДЫ </w:t>
            </w:r>
            <w:hyperlink w:history="0" w:anchor="P271" w:tooltip="&lt;2&gt; без учета информации по выпадающим доходам по отдельным налоговым расходам в связи с отсутствием исходных данных (например, налоговые расходы, связанные с применением ускоренной амортизации), но с учетом налоговых льгот, освобождений и иных преференций с датой начала действия начиная с 1 января 2024 года, предлагаемые Министерством финансов Российской Федерации к включению в Перечень налоговых расходов Российской Федерации.">
              <w:r>
                <w:rPr>
                  <w:sz w:val="20"/>
                  <w:color w:val="0000ff"/>
                </w:rPr>
                <w:t xml:space="preserve">&lt;2&gt;</w:t>
              </w:r>
            </w:hyperlink>
          </w:p>
        </w:tc>
        <w:tc>
          <w:tcPr>
            <w:tcW w:w="793" w:type="dxa"/>
            <w:vAlign w:val="center"/>
            <w:tcBorders>
              <w:top w:val="single" w:sz="4"/>
              <w:left w:val="nil"/>
              <w:bottom w:val="nil"/>
              <w:right w:val="nil"/>
            </w:tcBorders>
          </w:tcPr>
          <w:p>
            <w:pPr>
              <w:pStyle w:val="0"/>
              <w:jc w:val="center"/>
            </w:pPr>
            <w:r>
              <w:rPr>
                <w:sz w:val="20"/>
              </w:rPr>
              <w:t xml:space="preserve">5 493,3</w:t>
            </w:r>
          </w:p>
        </w:tc>
        <w:tc>
          <w:tcPr>
            <w:tcW w:w="907" w:type="dxa"/>
            <w:vAlign w:val="center"/>
            <w:tcBorders>
              <w:top w:val="single" w:sz="4"/>
              <w:left w:val="nil"/>
              <w:bottom w:val="nil"/>
              <w:right w:val="nil"/>
            </w:tcBorders>
          </w:tcPr>
          <w:p>
            <w:pPr>
              <w:pStyle w:val="0"/>
              <w:jc w:val="center"/>
            </w:pPr>
            <w:r>
              <w:rPr>
                <w:sz w:val="20"/>
              </w:rPr>
              <w:t xml:space="preserve">7 711,7</w:t>
            </w:r>
          </w:p>
        </w:tc>
        <w:tc>
          <w:tcPr>
            <w:tcW w:w="963" w:type="dxa"/>
            <w:vAlign w:val="center"/>
            <w:tcBorders>
              <w:top w:val="single" w:sz="4"/>
              <w:left w:val="nil"/>
              <w:bottom w:val="nil"/>
              <w:right w:val="nil"/>
            </w:tcBorders>
          </w:tcPr>
          <w:p>
            <w:pPr>
              <w:pStyle w:val="0"/>
              <w:jc w:val="center"/>
            </w:pPr>
            <w:r>
              <w:rPr>
                <w:sz w:val="20"/>
              </w:rPr>
              <w:t xml:space="preserve">8 734,2</w:t>
            </w:r>
          </w:p>
        </w:tc>
        <w:tc>
          <w:tcPr>
            <w:tcW w:w="963" w:type="dxa"/>
            <w:vAlign w:val="center"/>
            <w:tcBorders>
              <w:top w:val="single" w:sz="4"/>
              <w:left w:val="nil"/>
              <w:bottom w:val="nil"/>
              <w:right w:val="nil"/>
            </w:tcBorders>
          </w:tcPr>
          <w:p>
            <w:pPr>
              <w:pStyle w:val="0"/>
              <w:jc w:val="center"/>
            </w:pPr>
            <w:r>
              <w:rPr>
                <w:sz w:val="20"/>
              </w:rPr>
              <w:t xml:space="preserve">9 084,3</w:t>
            </w:r>
          </w:p>
        </w:tc>
        <w:tc>
          <w:tcPr>
            <w:tcW w:w="963" w:type="dxa"/>
            <w:vAlign w:val="center"/>
            <w:tcBorders>
              <w:top w:val="single" w:sz="4"/>
              <w:left w:val="nil"/>
              <w:bottom w:val="nil"/>
              <w:right w:val="nil"/>
            </w:tcBorders>
          </w:tcPr>
          <w:p>
            <w:pPr>
              <w:pStyle w:val="0"/>
              <w:jc w:val="center"/>
            </w:pPr>
            <w:r>
              <w:rPr>
                <w:sz w:val="20"/>
              </w:rPr>
              <w:t xml:space="preserve">9 769,6</w:t>
            </w:r>
          </w:p>
        </w:tc>
        <w:tc>
          <w:tcPr>
            <w:tcW w:w="963" w:type="dxa"/>
            <w:vAlign w:val="center"/>
            <w:tcBorders>
              <w:top w:val="single" w:sz="4"/>
              <w:left w:val="nil"/>
              <w:bottom w:val="nil"/>
              <w:right w:val="nil"/>
            </w:tcBorders>
          </w:tcPr>
          <w:p>
            <w:pPr>
              <w:pStyle w:val="0"/>
              <w:jc w:val="center"/>
            </w:pPr>
            <w:r>
              <w:rPr>
                <w:sz w:val="20"/>
              </w:rPr>
              <w:t xml:space="preserve">10 840,5</w:t>
            </w:r>
          </w:p>
        </w:tc>
        <w:tc>
          <w:tcPr>
            <w:tcW w:w="963" w:type="dxa"/>
            <w:vAlign w:val="center"/>
            <w:tcBorders>
              <w:top w:val="single" w:sz="4"/>
              <w:left w:val="nil"/>
              <w:bottom w:val="nil"/>
              <w:right w:val="nil"/>
            </w:tcBorders>
          </w:tcPr>
          <w:p>
            <w:pPr>
              <w:pStyle w:val="0"/>
              <w:jc w:val="center"/>
            </w:pPr>
            <w:r>
              <w:rPr>
                <w:sz w:val="20"/>
              </w:rPr>
              <w:t xml:space="preserve">11 771,8</w:t>
            </w:r>
          </w:p>
        </w:tc>
      </w:tr>
      <w:tr>
        <w:tc>
          <w:tcPr>
            <w:tcW w:w="2551" w:type="dxa"/>
            <w:vAlign w:val="center"/>
            <w:tcBorders>
              <w:top w:val="nil"/>
              <w:left w:val="nil"/>
              <w:bottom w:val="nil"/>
              <w:right w:val="nil"/>
            </w:tcBorders>
          </w:tcPr>
          <w:p>
            <w:pPr>
              <w:pStyle w:val="0"/>
            </w:pPr>
            <w:r>
              <w:rPr>
                <w:sz w:val="20"/>
              </w:rPr>
              <w:t xml:space="preserve">1. НЕФТЕГАЗОВЫЕ</w:t>
            </w:r>
          </w:p>
        </w:tc>
        <w:tc>
          <w:tcPr>
            <w:tcW w:w="793" w:type="dxa"/>
            <w:vAlign w:val="center"/>
            <w:tcBorders>
              <w:top w:val="nil"/>
              <w:left w:val="nil"/>
              <w:bottom w:val="nil"/>
              <w:right w:val="nil"/>
            </w:tcBorders>
          </w:tcPr>
          <w:p>
            <w:pPr>
              <w:pStyle w:val="0"/>
              <w:jc w:val="center"/>
            </w:pPr>
            <w:r>
              <w:rPr>
                <w:sz w:val="20"/>
              </w:rPr>
              <w:t xml:space="preserve">1 826,3</w:t>
            </w:r>
          </w:p>
        </w:tc>
        <w:tc>
          <w:tcPr>
            <w:tcW w:w="907" w:type="dxa"/>
            <w:vAlign w:val="center"/>
            <w:tcBorders>
              <w:top w:val="nil"/>
              <w:left w:val="nil"/>
              <w:bottom w:val="nil"/>
              <w:right w:val="nil"/>
            </w:tcBorders>
          </w:tcPr>
          <w:p>
            <w:pPr>
              <w:pStyle w:val="0"/>
              <w:jc w:val="center"/>
            </w:pPr>
            <w:r>
              <w:rPr>
                <w:sz w:val="20"/>
              </w:rPr>
              <w:t xml:space="preserve">2 976,1</w:t>
            </w:r>
          </w:p>
        </w:tc>
        <w:tc>
          <w:tcPr>
            <w:tcW w:w="963" w:type="dxa"/>
            <w:vAlign w:val="center"/>
            <w:tcBorders>
              <w:top w:val="nil"/>
              <w:left w:val="nil"/>
              <w:bottom w:val="nil"/>
              <w:right w:val="nil"/>
            </w:tcBorders>
          </w:tcPr>
          <w:p>
            <w:pPr>
              <w:pStyle w:val="0"/>
              <w:jc w:val="center"/>
            </w:pPr>
            <w:r>
              <w:rPr>
                <w:sz w:val="20"/>
              </w:rPr>
              <w:t xml:space="preserve">3 320,5</w:t>
            </w:r>
          </w:p>
        </w:tc>
        <w:tc>
          <w:tcPr>
            <w:tcW w:w="963" w:type="dxa"/>
            <w:vAlign w:val="center"/>
            <w:tcBorders>
              <w:top w:val="nil"/>
              <w:left w:val="nil"/>
              <w:bottom w:val="nil"/>
              <w:right w:val="nil"/>
            </w:tcBorders>
          </w:tcPr>
          <w:p>
            <w:pPr>
              <w:pStyle w:val="0"/>
              <w:jc w:val="center"/>
            </w:pPr>
            <w:r>
              <w:rPr>
                <w:sz w:val="20"/>
              </w:rPr>
              <w:t xml:space="preserve">3 437,6</w:t>
            </w:r>
          </w:p>
        </w:tc>
        <w:tc>
          <w:tcPr>
            <w:tcW w:w="963" w:type="dxa"/>
            <w:vAlign w:val="center"/>
            <w:tcBorders>
              <w:top w:val="nil"/>
              <w:left w:val="nil"/>
              <w:bottom w:val="nil"/>
              <w:right w:val="nil"/>
            </w:tcBorders>
          </w:tcPr>
          <w:p>
            <w:pPr>
              <w:pStyle w:val="0"/>
              <w:jc w:val="center"/>
            </w:pPr>
            <w:r>
              <w:rPr>
                <w:sz w:val="20"/>
              </w:rPr>
              <w:t xml:space="preserve">3 655,5</w:t>
            </w:r>
          </w:p>
        </w:tc>
        <w:tc>
          <w:tcPr>
            <w:tcW w:w="963" w:type="dxa"/>
            <w:vAlign w:val="center"/>
            <w:tcBorders>
              <w:top w:val="nil"/>
              <w:left w:val="nil"/>
              <w:bottom w:val="nil"/>
              <w:right w:val="nil"/>
            </w:tcBorders>
          </w:tcPr>
          <w:p>
            <w:pPr>
              <w:pStyle w:val="0"/>
              <w:jc w:val="center"/>
            </w:pPr>
            <w:r>
              <w:rPr>
                <w:sz w:val="20"/>
              </w:rPr>
              <w:t xml:space="preserve">4 273,9</w:t>
            </w:r>
          </w:p>
        </w:tc>
        <w:tc>
          <w:tcPr>
            <w:tcW w:w="963" w:type="dxa"/>
            <w:vAlign w:val="center"/>
            <w:tcBorders>
              <w:top w:val="nil"/>
              <w:left w:val="nil"/>
              <w:bottom w:val="nil"/>
              <w:right w:val="nil"/>
            </w:tcBorders>
          </w:tcPr>
          <w:p>
            <w:pPr>
              <w:pStyle w:val="0"/>
              <w:jc w:val="center"/>
            </w:pPr>
            <w:r>
              <w:rPr>
                <w:sz w:val="20"/>
              </w:rPr>
              <w:t xml:space="preserve">4 750,8</w:t>
            </w:r>
          </w:p>
        </w:tc>
      </w:tr>
      <w:tr>
        <w:tc>
          <w:tcPr>
            <w:tcW w:w="2551" w:type="dxa"/>
            <w:vAlign w:val="center"/>
            <w:tcBorders>
              <w:top w:val="nil"/>
              <w:left w:val="nil"/>
              <w:bottom w:val="nil"/>
              <w:right w:val="nil"/>
            </w:tcBorders>
          </w:tcPr>
          <w:p>
            <w:pPr>
              <w:pStyle w:val="0"/>
              <w:ind w:left="283"/>
            </w:pPr>
            <w:r>
              <w:rPr>
                <w:sz w:val="20"/>
              </w:rPr>
              <w:t xml:space="preserve">в т.ч. базовые НГД</w:t>
            </w:r>
          </w:p>
        </w:tc>
        <w:tc>
          <w:tcPr>
            <w:tcW w:w="793" w:type="dxa"/>
            <w:vAlign w:val="center"/>
            <w:tcBorders>
              <w:top w:val="nil"/>
              <w:left w:val="nil"/>
              <w:bottom w:val="nil"/>
              <w:right w:val="nil"/>
            </w:tcBorders>
          </w:tcPr>
          <w:p>
            <w:pPr>
              <w:pStyle w:val="0"/>
              <w:jc w:val="center"/>
            </w:pPr>
            <w:r>
              <w:rPr>
                <w:sz w:val="20"/>
              </w:rPr>
              <w:t xml:space="preserve">1 847,4</w:t>
            </w:r>
          </w:p>
        </w:tc>
        <w:tc>
          <w:tcPr>
            <w:tcW w:w="907" w:type="dxa"/>
            <w:vAlign w:val="center"/>
            <w:tcBorders>
              <w:top w:val="nil"/>
              <w:left w:val="nil"/>
              <w:bottom w:val="nil"/>
              <w:right w:val="nil"/>
            </w:tcBorders>
          </w:tcPr>
          <w:p>
            <w:pPr>
              <w:pStyle w:val="0"/>
              <w:jc w:val="center"/>
            </w:pPr>
            <w:r>
              <w:rPr>
                <w:sz w:val="20"/>
              </w:rPr>
              <w:t xml:space="preserve">1 822,7</w:t>
            </w:r>
          </w:p>
        </w:tc>
        <w:tc>
          <w:tcPr>
            <w:tcW w:w="963" w:type="dxa"/>
            <w:vAlign w:val="center"/>
            <w:tcBorders>
              <w:top w:val="nil"/>
              <w:left w:val="nil"/>
              <w:bottom w:val="nil"/>
              <w:right w:val="nil"/>
            </w:tcBorders>
          </w:tcPr>
          <w:p>
            <w:pPr>
              <w:pStyle w:val="0"/>
              <w:jc w:val="center"/>
            </w:pPr>
            <w:r>
              <w:rPr>
                <w:sz w:val="20"/>
              </w:rPr>
              <w:t xml:space="preserve">1 930,0</w:t>
            </w:r>
          </w:p>
        </w:tc>
        <w:tc>
          <w:tcPr>
            <w:tcW w:w="963" w:type="dxa"/>
            <w:vAlign w:val="center"/>
            <w:tcBorders>
              <w:top w:val="nil"/>
              <w:left w:val="nil"/>
              <w:bottom w:val="nil"/>
              <w:right w:val="nil"/>
            </w:tcBorders>
          </w:tcPr>
          <w:p>
            <w:pPr>
              <w:pStyle w:val="0"/>
              <w:jc w:val="center"/>
            </w:pPr>
            <w:r>
              <w:rPr>
                <w:sz w:val="20"/>
              </w:rPr>
              <w:t xml:space="preserve">3 124,2</w:t>
            </w:r>
          </w:p>
        </w:tc>
        <w:tc>
          <w:tcPr>
            <w:tcW w:w="963" w:type="dxa"/>
            <w:vAlign w:val="center"/>
            <w:tcBorders>
              <w:top w:val="nil"/>
              <w:left w:val="nil"/>
              <w:bottom w:val="nil"/>
              <w:right w:val="nil"/>
            </w:tcBorders>
          </w:tcPr>
          <w:p>
            <w:pPr>
              <w:pStyle w:val="0"/>
              <w:jc w:val="center"/>
            </w:pPr>
            <w:r>
              <w:rPr>
                <w:sz w:val="20"/>
              </w:rPr>
              <w:t xml:space="preserve">3 092,1</w:t>
            </w:r>
          </w:p>
        </w:tc>
        <w:tc>
          <w:tcPr>
            <w:tcW w:w="963" w:type="dxa"/>
            <w:vAlign w:val="center"/>
            <w:tcBorders>
              <w:top w:val="nil"/>
              <w:left w:val="nil"/>
              <w:bottom w:val="nil"/>
              <w:right w:val="nil"/>
            </w:tcBorders>
          </w:tcPr>
          <w:p>
            <w:pPr>
              <w:pStyle w:val="0"/>
              <w:jc w:val="center"/>
            </w:pPr>
            <w:r>
              <w:rPr>
                <w:sz w:val="20"/>
              </w:rPr>
              <w:t xml:space="preserve">3 611,6</w:t>
            </w:r>
          </w:p>
        </w:tc>
        <w:tc>
          <w:tcPr>
            <w:tcW w:w="963" w:type="dxa"/>
            <w:vAlign w:val="center"/>
            <w:tcBorders>
              <w:top w:val="nil"/>
              <w:left w:val="nil"/>
              <w:bottom w:val="nil"/>
              <w:right w:val="nil"/>
            </w:tcBorders>
          </w:tcPr>
          <w:p>
            <w:pPr>
              <w:pStyle w:val="0"/>
              <w:jc w:val="center"/>
            </w:pPr>
            <w:r>
              <w:rPr>
                <w:sz w:val="20"/>
              </w:rPr>
              <w:t xml:space="preserve">4 013,3</w:t>
            </w:r>
          </w:p>
        </w:tc>
      </w:tr>
      <w:tr>
        <w:tc>
          <w:tcPr>
            <w:tcW w:w="2551" w:type="dxa"/>
            <w:vAlign w:val="center"/>
            <w:tcBorders>
              <w:top w:val="nil"/>
              <w:left w:val="nil"/>
              <w:bottom w:val="nil"/>
              <w:right w:val="nil"/>
            </w:tcBorders>
          </w:tcPr>
          <w:p>
            <w:pPr>
              <w:pStyle w:val="0"/>
            </w:pPr>
            <w:r>
              <w:rPr>
                <w:sz w:val="20"/>
              </w:rPr>
              <w:t xml:space="preserve">1.1. Нефть</w:t>
            </w:r>
          </w:p>
        </w:tc>
        <w:tc>
          <w:tcPr>
            <w:tcW w:w="793" w:type="dxa"/>
            <w:vAlign w:val="center"/>
            <w:tcBorders>
              <w:top w:val="nil"/>
              <w:left w:val="nil"/>
              <w:bottom w:val="nil"/>
              <w:right w:val="nil"/>
            </w:tcBorders>
          </w:tcPr>
          <w:p>
            <w:pPr>
              <w:pStyle w:val="0"/>
              <w:jc w:val="center"/>
            </w:pPr>
            <w:r>
              <w:rPr>
                <w:sz w:val="20"/>
              </w:rPr>
              <w:t xml:space="preserve">1 132,0</w:t>
            </w:r>
          </w:p>
        </w:tc>
        <w:tc>
          <w:tcPr>
            <w:tcW w:w="907" w:type="dxa"/>
            <w:vAlign w:val="center"/>
            <w:tcBorders>
              <w:top w:val="nil"/>
              <w:left w:val="nil"/>
              <w:bottom w:val="nil"/>
              <w:right w:val="nil"/>
            </w:tcBorders>
          </w:tcPr>
          <w:p>
            <w:pPr>
              <w:pStyle w:val="0"/>
              <w:jc w:val="center"/>
            </w:pPr>
            <w:r>
              <w:rPr>
                <w:sz w:val="20"/>
              </w:rPr>
              <w:t xml:space="preserve">1 564,7</w:t>
            </w:r>
          </w:p>
        </w:tc>
        <w:tc>
          <w:tcPr>
            <w:tcW w:w="963" w:type="dxa"/>
            <w:vAlign w:val="center"/>
            <w:tcBorders>
              <w:top w:val="nil"/>
              <w:left w:val="nil"/>
              <w:bottom w:val="nil"/>
              <w:right w:val="nil"/>
            </w:tcBorders>
          </w:tcPr>
          <w:p>
            <w:pPr>
              <w:pStyle w:val="0"/>
              <w:jc w:val="center"/>
            </w:pPr>
            <w:r>
              <w:rPr>
                <w:sz w:val="20"/>
              </w:rPr>
              <w:t xml:space="preserve">1 873,2</w:t>
            </w:r>
          </w:p>
        </w:tc>
        <w:tc>
          <w:tcPr>
            <w:tcW w:w="963" w:type="dxa"/>
            <w:vAlign w:val="center"/>
            <w:tcBorders>
              <w:top w:val="nil"/>
              <w:left w:val="nil"/>
              <w:bottom w:val="nil"/>
              <w:right w:val="nil"/>
            </w:tcBorders>
          </w:tcPr>
          <w:p>
            <w:pPr>
              <w:pStyle w:val="0"/>
              <w:jc w:val="center"/>
            </w:pPr>
            <w:r>
              <w:rPr>
                <w:sz w:val="20"/>
              </w:rPr>
              <w:t xml:space="preserve">1 909,1</w:t>
            </w:r>
          </w:p>
        </w:tc>
        <w:tc>
          <w:tcPr>
            <w:tcW w:w="963" w:type="dxa"/>
            <w:vAlign w:val="center"/>
            <w:tcBorders>
              <w:top w:val="nil"/>
              <w:left w:val="nil"/>
              <w:bottom w:val="nil"/>
              <w:right w:val="nil"/>
            </w:tcBorders>
          </w:tcPr>
          <w:p>
            <w:pPr>
              <w:pStyle w:val="0"/>
              <w:jc w:val="center"/>
            </w:pPr>
            <w:r>
              <w:rPr>
                <w:sz w:val="20"/>
              </w:rPr>
              <w:t xml:space="preserve">2 134,9</w:t>
            </w:r>
          </w:p>
        </w:tc>
        <w:tc>
          <w:tcPr>
            <w:tcW w:w="963" w:type="dxa"/>
            <w:vAlign w:val="center"/>
            <w:tcBorders>
              <w:top w:val="nil"/>
              <w:left w:val="nil"/>
              <w:bottom w:val="nil"/>
              <w:right w:val="nil"/>
            </w:tcBorders>
          </w:tcPr>
          <w:p>
            <w:pPr>
              <w:pStyle w:val="0"/>
              <w:jc w:val="center"/>
            </w:pPr>
            <w:r>
              <w:rPr>
                <w:sz w:val="20"/>
              </w:rPr>
              <w:t xml:space="preserve">2 597,1</w:t>
            </w:r>
          </w:p>
        </w:tc>
        <w:tc>
          <w:tcPr>
            <w:tcW w:w="963" w:type="dxa"/>
            <w:vAlign w:val="center"/>
            <w:tcBorders>
              <w:top w:val="nil"/>
              <w:left w:val="nil"/>
              <w:bottom w:val="nil"/>
              <w:right w:val="nil"/>
            </w:tcBorders>
          </w:tcPr>
          <w:p>
            <w:pPr>
              <w:pStyle w:val="0"/>
              <w:jc w:val="center"/>
            </w:pPr>
            <w:r>
              <w:rPr>
                <w:sz w:val="20"/>
              </w:rPr>
              <w:t xml:space="preserve">3 039,0</w:t>
            </w:r>
          </w:p>
        </w:tc>
      </w:tr>
      <w:tr>
        <w:tc>
          <w:tcPr>
            <w:tcW w:w="2551" w:type="dxa"/>
            <w:vAlign w:val="center"/>
            <w:tcBorders>
              <w:top w:val="nil"/>
              <w:left w:val="nil"/>
              <w:bottom w:val="nil"/>
              <w:right w:val="nil"/>
            </w:tcBorders>
          </w:tcPr>
          <w:p>
            <w:pPr>
              <w:pStyle w:val="0"/>
            </w:pPr>
            <w:r>
              <w:rPr>
                <w:sz w:val="20"/>
              </w:rPr>
              <w:t xml:space="preserve">1.2. Газ</w:t>
            </w:r>
          </w:p>
        </w:tc>
        <w:tc>
          <w:tcPr>
            <w:tcW w:w="793" w:type="dxa"/>
            <w:vAlign w:val="center"/>
            <w:tcBorders>
              <w:top w:val="nil"/>
              <w:left w:val="nil"/>
              <w:bottom w:val="nil"/>
              <w:right w:val="nil"/>
            </w:tcBorders>
          </w:tcPr>
          <w:p>
            <w:pPr>
              <w:pStyle w:val="0"/>
              <w:jc w:val="center"/>
            </w:pPr>
            <w:r>
              <w:rPr>
                <w:sz w:val="20"/>
              </w:rPr>
              <w:t xml:space="preserve">608,1</w:t>
            </w:r>
          </w:p>
        </w:tc>
        <w:tc>
          <w:tcPr>
            <w:tcW w:w="907" w:type="dxa"/>
            <w:vAlign w:val="center"/>
            <w:tcBorders>
              <w:top w:val="nil"/>
              <w:left w:val="nil"/>
              <w:bottom w:val="nil"/>
              <w:right w:val="nil"/>
            </w:tcBorders>
          </w:tcPr>
          <w:p>
            <w:pPr>
              <w:pStyle w:val="0"/>
              <w:jc w:val="center"/>
            </w:pPr>
            <w:r>
              <w:rPr>
                <w:sz w:val="20"/>
              </w:rPr>
              <w:t xml:space="preserve">1 133,2</w:t>
            </w:r>
          </w:p>
        </w:tc>
        <w:tc>
          <w:tcPr>
            <w:tcW w:w="963" w:type="dxa"/>
            <w:vAlign w:val="center"/>
            <w:tcBorders>
              <w:top w:val="nil"/>
              <w:left w:val="nil"/>
              <w:bottom w:val="nil"/>
              <w:right w:val="nil"/>
            </w:tcBorders>
          </w:tcPr>
          <w:p>
            <w:pPr>
              <w:pStyle w:val="0"/>
              <w:jc w:val="center"/>
            </w:pPr>
            <w:r>
              <w:rPr>
                <w:sz w:val="20"/>
              </w:rPr>
              <w:t xml:space="preserve">1 336,6</w:t>
            </w:r>
          </w:p>
        </w:tc>
        <w:tc>
          <w:tcPr>
            <w:tcW w:w="963" w:type="dxa"/>
            <w:vAlign w:val="center"/>
            <w:tcBorders>
              <w:top w:val="nil"/>
              <w:left w:val="nil"/>
              <w:bottom w:val="nil"/>
              <w:right w:val="nil"/>
            </w:tcBorders>
          </w:tcPr>
          <w:p>
            <w:pPr>
              <w:pStyle w:val="0"/>
              <w:jc w:val="center"/>
            </w:pPr>
            <w:r>
              <w:rPr>
                <w:sz w:val="20"/>
              </w:rPr>
              <w:t xml:space="preserve">1 349,3</w:t>
            </w:r>
          </w:p>
        </w:tc>
        <w:tc>
          <w:tcPr>
            <w:tcW w:w="963" w:type="dxa"/>
            <w:vAlign w:val="center"/>
            <w:tcBorders>
              <w:top w:val="nil"/>
              <w:left w:val="nil"/>
              <w:bottom w:val="nil"/>
              <w:right w:val="nil"/>
            </w:tcBorders>
          </w:tcPr>
          <w:p>
            <w:pPr>
              <w:pStyle w:val="0"/>
              <w:jc w:val="center"/>
            </w:pPr>
            <w:r>
              <w:rPr>
                <w:sz w:val="20"/>
              </w:rPr>
              <w:t xml:space="preserve">1 289,1</w:t>
            </w:r>
          </w:p>
        </w:tc>
        <w:tc>
          <w:tcPr>
            <w:tcW w:w="963" w:type="dxa"/>
            <w:vAlign w:val="center"/>
            <w:tcBorders>
              <w:top w:val="nil"/>
              <w:left w:val="nil"/>
              <w:bottom w:val="nil"/>
              <w:right w:val="nil"/>
            </w:tcBorders>
          </w:tcPr>
          <w:p>
            <w:pPr>
              <w:pStyle w:val="0"/>
              <w:jc w:val="center"/>
            </w:pPr>
            <w:r>
              <w:rPr>
                <w:sz w:val="20"/>
              </w:rPr>
              <w:t xml:space="preserve">1 457,9</w:t>
            </w:r>
          </w:p>
        </w:tc>
        <w:tc>
          <w:tcPr>
            <w:tcW w:w="963" w:type="dxa"/>
            <w:vAlign w:val="center"/>
            <w:tcBorders>
              <w:top w:val="nil"/>
              <w:left w:val="nil"/>
              <w:bottom w:val="nil"/>
              <w:right w:val="nil"/>
            </w:tcBorders>
          </w:tcPr>
          <w:p>
            <w:pPr>
              <w:pStyle w:val="0"/>
              <w:jc w:val="center"/>
            </w:pPr>
            <w:r>
              <w:rPr>
                <w:sz w:val="20"/>
              </w:rPr>
              <w:t xml:space="preserve">1 505,7</w:t>
            </w:r>
          </w:p>
        </w:tc>
      </w:tr>
      <w:tr>
        <w:tc>
          <w:tcPr>
            <w:tcW w:w="2551" w:type="dxa"/>
            <w:vAlign w:val="center"/>
            <w:tcBorders>
              <w:top w:val="nil"/>
              <w:left w:val="nil"/>
              <w:bottom w:val="nil"/>
              <w:right w:val="nil"/>
            </w:tcBorders>
          </w:tcPr>
          <w:p>
            <w:pPr>
              <w:pStyle w:val="0"/>
              <w:ind w:left="283"/>
            </w:pPr>
            <w:r>
              <w:rPr>
                <w:sz w:val="20"/>
              </w:rPr>
              <w:t xml:space="preserve">в т.ч. СПГ</w:t>
            </w:r>
          </w:p>
        </w:tc>
        <w:tc>
          <w:tcPr>
            <w:tcW w:w="793" w:type="dxa"/>
            <w:vAlign w:val="center"/>
            <w:tcBorders>
              <w:top w:val="nil"/>
              <w:left w:val="nil"/>
              <w:bottom w:val="nil"/>
              <w:right w:val="nil"/>
            </w:tcBorders>
          </w:tcPr>
          <w:p>
            <w:pPr>
              <w:pStyle w:val="0"/>
              <w:jc w:val="center"/>
            </w:pPr>
            <w:r>
              <w:rPr>
                <w:sz w:val="20"/>
              </w:rPr>
              <w:t xml:space="preserve">225,0</w:t>
            </w:r>
          </w:p>
        </w:tc>
        <w:tc>
          <w:tcPr>
            <w:tcW w:w="907" w:type="dxa"/>
            <w:vAlign w:val="center"/>
            <w:tcBorders>
              <w:top w:val="nil"/>
              <w:left w:val="nil"/>
              <w:bottom w:val="nil"/>
              <w:right w:val="nil"/>
            </w:tcBorders>
          </w:tcPr>
          <w:p>
            <w:pPr>
              <w:pStyle w:val="0"/>
              <w:jc w:val="center"/>
            </w:pPr>
            <w:r>
              <w:rPr>
                <w:sz w:val="20"/>
              </w:rPr>
              <w:t xml:space="preserve">235,6</w:t>
            </w:r>
          </w:p>
        </w:tc>
        <w:tc>
          <w:tcPr>
            <w:tcW w:w="963" w:type="dxa"/>
            <w:vAlign w:val="center"/>
            <w:tcBorders>
              <w:top w:val="nil"/>
              <w:left w:val="nil"/>
              <w:bottom w:val="nil"/>
              <w:right w:val="nil"/>
            </w:tcBorders>
          </w:tcPr>
          <w:p>
            <w:pPr>
              <w:pStyle w:val="0"/>
              <w:jc w:val="center"/>
            </w:pPr>
            <w:r>
              <w:rPr>
                <w:sz w:val="20"/>
              </w:rPr>
              <w:t xml:space="preserve">273,0</w:t>
            </w:r>
          </w:p>
        </w:tc>
        <w:tc>
          <w:tcPr>
            <w:tcW w:w="963" w:type="dxa"/>
            <w:vAlign w:val="center"/>
            <w:tcBorders>
              <w:top w:val="nil"/>
              <w:left w:val="nil"/>
              <w:bottom w:val="nil"/>
              <w:right w:val="nil"/>
            </w:tcBorders>
          </w:tcPr>
          <w:p>
            <w:pPr>
              <w:pStyle w:val="0"/>
              <w:jc w:val="center"/>
            </w:pPr>
            <w:r>
              <w:rPr>
                <w:sz w:val="20"/>
              </w:rPr>
              <w:t xml:space="preserve">256,1</w:t>
            </w:r>
          </w:p>
        </w:tc>
        <w:tc>
          <w:tcPr>
            <w:tcW w:w="963" w:type="dxa"/>
            <w:vAlign w:val="center"/>
            <w:tcBorders>
              <w:top w:val="nil"/>
              <w:left w:val="nil"/>
              <w:bottom w:val="nil"/>
              <w:right w:val="nil"/>
            </w:tcBorders>
          </w:tcPr>
          <w:p>
            <w:pPr>
              <w:pStyle w:val="0"/>
              <w:jc w:val="center"/>
            </w:pPr>
            <w:r>
              <w:rPr>
                <w:sz w:val="20"/>
              </w:rPr>
              <w:t xml:space="preserve">218,4</w:t>
            </w:r>
          </w:p>
        </w:tc>
        <w:tc>
          <w:tcPr>
            <w:tcW w:w="963" w:type="dxa"/>
            <w:vAlign w:val="center"/>
            <w:tcBorders>
              <w:top w:val="nil"/>
              <w:left w:val="nil"/>
              <w:bottom w:val="nil"/>
              <w:right w:val="nil"/>
            </w:tcBorders>
          </w:tcPr>
          <w:p>
            <w:pPr>
              <w:pStyle w:val="0"/>
              <w:jc w:val="center"/>
            </w:pPr>
            <w:r>
              <w:rPr>
                <w:sz w:val="20"/>
              </w:rPr>
              <w:t xml:space="preserve">237,1</w:t>
            </w:r>
          </w:p>
        </w:tc>
        <w:tc>
          <w:tcPr>
            <w:tcW w:w="963" w:type="dxa"/>
            <w:vAlign w:val="center"/>
            <w:tcBorders>
              <w:top w:val="nil"/>
              <w:left w:val="nil"/>
              <w:bottom w:val="nil"/>
              <w:right w:val="nil"/>
            </w:tcBorders>
          </w:tcPr>
          <w:p>
            <w:pPr>
              <w:pStyle w:val="0"/>
              <w:jc w:val="center"/>
            </w:pPr>
            <w:r>
              <w:rPr>
                <w:sz w:val="20"/>
              </w:rPr>
              <w:t xml:space="preserve">264,7</w:t>
            </w:r>
          </w:p>
        </w:tc>
      </w:tr>
      <w:tr>
        <w:tc>
          <w:tcPr>
            <w:tcW w:w="2551" w:type="dxa"/>
            <w:vAlign w:val="center"/>
            <w:tcBorders>
              <w:top w:val="nil"/>
              <w:left w:val="nil"/>
              <w:bottom w:val="nil"/>
              <w:right w:val="nil"/>
            </w:tcBorders>
          </w:tcPr>
          <w:p>
            <w:pPr>
              <w:pStyle w:val="0"/>
            </w:pPr>
            <w:r>
              <w:rPr>
                <w:sz w:val="20"/>
              </w:rPr>
              <w:t xml:space="preserve">1.3. СРП </w:t>
            </w:r>
            <w:hyperlink w:history="0" w:anchor="P272" w:tooltip="&lt;3&gt; учитываются поступления от уплаты налогов (в налоге на прибыль поступления сверх общеустановленной ставки налога) и сборов, применяемых в рамках указанного специального режима, а также выпадающие доходы, связанные с применением льготных ставок в рамках режима СРП.">
              <w:r>
                <w:rPr>
                  <w:sz w:val="20"/>
                  <w:color w:val="0000ff"/>
                </w:rPr>
                <w:t xml:space="preserve">&lt;3&gt;</w:t>
              </w:r>
            </w:hyperlink>
          </w:p>
        </w:tc>
        <w:tc>
          <w:tcPr>
            <w:tcW w:w="793" w:type="dxa"/>
            <w:vAlign w:val="center"/>
            <w:tcBorders>
              <w:top w:val="nil"/>
              <w:left w:val="nil"/>
              <w:bottom w:val="nil"/>
              <w:right w:val="nil"/>
            </w:tcBorders>
          </w:tcPr>
          <w:p>
            <w:pPr>
              <w:pStyle w:val="0"/>
              <w:jc w:val="center"/>
            </w:pPr>
            <w:r>
              <w:rPr>
                <w:sz w:val="20"/>
              </w:rPr>
              <w:t xml:space="preserve">86,2</w:t>
            </w:r>
          </w:p>
        </w:tc>
        <w:tc>
          <w:tcPr>
            <w:tcW w:w="907" w:type="dxa"/>
            <w:vAlign w:val="center"/>
            <w:tcBorders>
              <w:top w:val="nil"/>
              <w:left w:val="nil"/>
              <w:bottom w:val="nil"/>
              <w:right w:val="nil"/>
            </w:tcBorders>
          </w:tcPr>
          <w:p>
            <w:pPr>
              <w:pStyle w:val="0"/>
              <w:jc w:val="center"/>
            </w:pPr>
            <w:r>
              <w:rPr>
                <w:sz w:val="20"/>
              </w:rPr>
              <w:t xml:space="preserve">278,2</w:t>
            </w:r>
          </w:p>
        </w:tc>
        <w:tc>
          <w:tcPr>
            <w:tcW w:w="963" w:type="dxa"/>
            <w:vAlign w:val="center"/>
            <w:tcBorders>
              <w:top w:val="nil"/>
              <w:left w:val="nil"/>
              <w:bottom w:val="nil"/>
              <w:right w:val="nil"/>
            </w:tcBorders>
          </w:tcPr>
          <w:p>
            <w:pPr>
              <w:pStyle w:val="0"/>
              <w:jc w:val="center"/>
            </w:pPr>
            <w:r>
              <w:rPr>
                <w:sz w:val="20"/>
              </w:rPr>
              <w:t xml:space="preserve">110,7</w:t>
            </w:r>
          </w:p>
        </w:tc>
        <w:tc>
          <w:tcPr>
            <w:tcW w:w="963" w:type="dxa"/>
            <w:vAlign w:val="center"/>
            <w:tcBorders>
              <w:top w:val="nil"/>
              <w:left w:val="nil"/>
              <w:bottom w:val="nil"/>
              <w:right w:val="nil"/>
            </w:tcBorders>
          </w:tcPr>
          <w:p>
            <w:pPr>
              <w:pStyle w:val="0"/>
              <w:jc w:val="center"/>
            </w:pPr>
            <w:r>
              <w:rPr>
                <w:sz w:val="20"/>
              </w:rPr>
              <w:t xml:space="preserve">179,2</w:t>
            </w:r>
          </w:p>
        </w:tc>
        <w:tc>
          <w:tcPr>
            <w:tcW w:w="963" w:type="dxa"/>
            <w:vAlign w:val="center"/>
            <w:tcBorders>
              <w:top w:val="nil"/>
              <w:left w:val="nil"/>
              <w:bottom w:val="nil"/>
              <w:right w:val="nil"/>
            </w:tcBorders>
          </w:tcPr>
          <w:p>
            <w:pPr>
              <w:pStyle w:val="0"/>
              <w:jc w:val="center"/>
            </w:pPr>
            <w:r>
              <w:rPr>
                <w:sz w:val="20"/>
              </w:rPr>
              <w:t xml:space="preserve">231,5</w:t>
            </w:r>
          </w:p>
        </w:tc>
        <w:tc>
          <w:tcPr>
            <w:tcW w:w="963" w:type="dxa"/>
            <w:vAlign w:val="center"/>
            <w:tcBorders>
              <w:top w:val="nil"/>
              <w:left w:val="nil"/>
              <w:bottom w:val="nil"/>
              <w:right w:val="nil"/>
            </w:tcBorders>
          </w:tcPr>
          <w:p>
            <w:pPr>
              <w:pStyle w:val="0"/>
              <w:jc w:val="center"/>
            </w:pPr>
            <w:r>
              <w:rPr>
                <w:sz w:val="20"/>
              </w:rPr>
              <w:t xml:space="preserve">218,8</w:t>
            </w:r>
          </w:p>
        </w:tc>
        <w:tc>
          <w:tcPr>
            <w:tcW w:w="963" w:type="dxa"/>
            <w:vAlign w:val="center"/>
            <w:tcBorders>
              <w:top w:val="nil"/>
              <w:left w:val="nil"/>
              <w:bottom w:val="nil"/>
              <w:right w:val="nil"/>
            </w:tcBorders>
          </w:tcPr>
          <w:p>
            <w:pPr>
              <w:pStyle w:val="0"/>
              <w:jc w:val="center"/>
            </w:pPr>
            <w:r>
              <w:rPr>
                <w:sz w:val="20"/>
              </w:rPr>
              <w:t xml:space="preserve">206,1</w:t>
            </w:r>
          </w:p>
        </w:tc>
      </w:tr>
      <w:tr>
        <w:tc>
          <w:tcPr>
            <w:tcW w:w="2551" w:type="dxa"/>
            <w:vAlign w:val="center"/>
            <w:tcBorders>
              <w:top w:val="nil"/>
              <w:left w:val="nil"/>
              <w:bottom w:val="nil"/>
              <w:right w:val="nil"/>
            </w:tcBorders>
          </w:tcPr>
          <w:p>
            <w:pPr>
              <w:pStyle w:val="0"/>
            </w:pPr>
            <w:r>
              <w:rPr>
                <w:sz w:val="20"/>
              </w:rPr>
              <w:t xml:space="preserve">2. НЕНЕФТЕГАЗОВЫЕ</w:t>
            </w:r>
          </w:p>
        </w:tc>
        <w:tc>
          <w:tcPr>
            <w:tcW w:w="793" w:type="dxa"/>
            <w:vAlign w:val="center"/>
            <w:tcBorders>
              <w:top w:val="nil"/>
              <w:left w:val="nil"/>
              <w:bottom w:val="nil"/>
              <w:right w:val="nil"/>
            </w:tcBorders>
          </w:tcPr>
          <w:p>
            <w:pPr>
              <w:pStyle w:val="0"/>
              <w:jc w:val="center"/>
            </w:pPr>
            <w:r>
              <w:rPr>
                <w:sz w:val="20"/>
              </w:rPr>
              <w:t xml:space="preserve">3 666,9</w:t>
            </w:r>
          </w:p>
        </w:tc>
        <w:tc>
          <w:tcPr>
            <w:tcW w:w="907" w:type="dxa"/>
            <w:vAlign w:val="center"/>
            <w:tcBorders>
              <w:top w:val="nil"/>
              <w:left w:val="nil"/>
              <w:bottom w:val="nil"/>
              <w:right w:val="nil"/>
            </w:tcBorders>
          </w:tcPr>
          <w:p>
            <w:pPr>
              <w:pStyle w:val="0"/>
              <w:jc w:val="center"/>
            </w:pPr>
            <w:r>
              <w:rPr>
                <w:sz w:val="20"/>
              </w:rPr>
              <w:t xml:space="preserve">4 735,6</w:t>
            </w:r>
          </w:p>
        </w:tc>
        <w:tc>
          <w:tcPr>
            <w:tcW w:w="963" w:type="dxa"/>
            <w:vAlign w:val="center"/>
            <w:tcBorders>
              <w:top w:val="nil"/>
              <w:left w:val="nil"/>
              <w:bottom w:val="nil"/>
              <w:right w:val="nil"/>
            </w:tcBorders>
          </w:tcPr>
          <w:p>
            <w:pPr>
              <w:pStyle w:val="0"/>
              <w:jc w:val="center"/>
            </w:pPr>
            <w:r>
              <w:rPr>
                <w:sz w:val="20"/>
              </w:rPr>
              <w:t xml:space="preserve">5 413,6</w:t>
            </w:r>
          </w:p>
        </w:tc>
        <w:tc>
          <w:tcPr>
            <w:tcW w:w="963" w:type="dxa"/>
            <w:vAlign w:val="center"/>
            <w:tcBorders>
              <w:top w:val="nil"/>
              <w:left w:val="nil"/>
              <w:bottom w:val="nil"/>
              <w:right w:val="nil"/>
            </w:tcBorders>
          </w:tcPr>
          <w:p>
            <w:pPr>
              <w:pStyle w:val="0"/>
              <w:jc w:val="center"/>
            </w:pPr>
            <w:r>
              <w:rPr>
                <w:sz w:val="20"/>
              </w:rPr>
              <w:t xml:space="preserve">5 646,7</w:t>
            </w:r>
          </w:p>
        </w:tc>
        <w:tc>
          <w:tcPr>
            <w:tcW w:w="963" w:type="dxa"/>
            <w:vAlign w:val="center"/>
            <w:tcBorders>
              <w:top w:val="nil"/>
              <w:left w:val="nil"/>
              <w:bottom w:val="nil"/>
              <w:right w:val="nil"/>
            </w:tcBorders>
          </w:tcPr>
          <w:p>
            <w:pPr>
              <w:pStyle w:val="0"/>
              <w:jc w:val="center"/>
            </w:pPr>
            <w:r>
              <w:rPr>
                <w:sz w:val="20"/>
              </w:rPr>
              <w:t xml:space="preserve">6 114,1</w:t>
            </w:r>
          </w:p>
        </w:tc>
        <w:tc>
          <w:tcPr>
            <w:tcW w:w="963" w:type="dxa"/>
            <w:vAlign w:val="center"/>
            <w:tcBorders>
              <w:top w:val="nil"/>
              <w:left w:val="nil"/>
              <w:bottom w:val="nil"/>
              <w:right w:val="nil"/>
            </w:tcBorders>
          </w:tcPr>
          <w:p>
            <w:pPr>
              <w:pStyle w:val="0"/>
              <w:jc w:val="center"/>
            </w:pPr>
            <w:r>
              <w:rPr>
                <w:sz w:val="20"/>
              </w:rPr>
              <w:t xml:space="preserve">6 566,6</w:t>
            </w:r>
          </w:p>
        </w:tc>
        <w:tc>
          <w:tcPr>
            <w:tcW w:w="963" w:type="dxa"/>
            <w:vAlign w:val="center"/>
            <w:tcBorders>
              <w:top w:val="nil"/>
              <w:left w:val="nil"/>
              <w:bottom w:val="nil"/>
              <w:right w:val="nil"/>
            </w:tcBorders>
          </w:tcPr>
          <w:p>
            <w:pPr>
              <w:pStyle w:val="0"/>
              <w:jc w:val="center"/>
            </w:pPr>
            <w:r>
              <w:rPr>
                <w:sz w:val="20"/>
              </w:rPr>
              <w:t xml:space="preserve">7 020,9</w:t>
            </w:r>
          </w:p>
        </w:tc>
      </w:tr>
      <w:tr>
        <w:tc>
          <w:tcPr>
            <w:tcW w:w="2551" w:type="dxa"/>
            <w:vAlign w:val="center"/>
            <w:tcBorders>
              <w:top w:val="nil"/>
              <w:left w:val="nil"/>
              <w:bottom w:val="nil"/>
              <w:right w:val="nil"/>
            </w:tcBorders>
          </w:tcPr>
          <w:p>
            <w:pPr>
              <w:pStyle w:val="0"/>
            </w:pPr>
            <w:r>
              <w:rPr>
                <w:sz w:val="20"/>
              </w:rPr>
              <w:t xml:space="preserve">НДС</w:t>
            </w:r>
          </w:p>
        </w:tc>
        <w:tc>
          <w:tcPr>
            <w:tcW w:w="793" w:type="dxa"/>
            <w:vAlign w:val="center"/>
            <w:tcBorders>
              <w:top w:val="nil"/>
              <w:left w:val="nil"/>
              <w:bottom w:val="nil"/>
              <w:right w:val="nil"/>
            </w:tcBorders>
          </w:tcPr>
          <w:p>
            <w:pPr>
              <w:pStyle w:val="0"/>
              <w:jc w:val="center"/>
            </w:pPr>
            <w:r>
              <w:rPr>
                <w:sz w:val="20"/>
              </w:rPr>
              <w:t xml:space="preserve">1 962,6</w:t>
            </w:r>
          </w:p>
        </w:tc>
        <w:tc>
          <w:tcPr>
            <w:tcW w:w="907" w:type="dxa"/>
            <w:vAlign w:val="center"/>
            <w:tcBorders>
              <w:top w:val="nil"/>
              <w:left w:val="nil"/>
              <w:bottom w:val="nil"/>
              <w:right w:val="nil"/>
            </w:tcBorders>
          </w:tcPr>
          <w:p>
            <w:pPr>
              <w:pStyle w:val="0"/>
              <w:jc w:val="center"/>
            </w:pPr>
            <w:r>
              <w:rPr>
                <w:sz w:val="20"/>
              </w:rPr>
              <w:t xml:space="preserve">2 257,6</w:t>
            </w:r>
          </w:p>
        </w:tc>
        <w:tc>
          <w:tcPr>
            <w:tcW w:w="963" w:type="dxa"/>
            <w:vAlign w:val="center"/>
            <w:tcBorders>
              <w:top w:val="nil"/>
              <w:left w:val="nil"/>
              <w:bottom w:val="nil"/>
              <w:right w:val="nil"/>
            </w:tcBorders>
          </w:tcPr>
          <w:p>
            <w:pPr>
              <w:pStyle w:val="0"/>
              <w:jc w:val="center"/>
            </w:pPr>
            <w:r>
              <w:rPr>
                <w:sz w:val="20"/>
              </w:rPr>
              <w:t xml:space="preserve">2 512,9</w:t>
            </w:r>
          </w:p>
        </w:tc>
        <w:tc>
          <w:tcPr>
            <w:tcW w:w="963" w:type="dxa"/>
            <w:vAlign w:val="center"/>
            <w:tcBorders>
              <w:top w:val="nil"/>
              <w:left w:val="nil"/>
              <w:bottom w:val="nil"/>
              <w:right w:val="nil"/>
            </w:tcBorders>
          </w:tcPr>
          <w:p>
            <w:pPr>
              <w:pStyle w:val="0"/>
              <w:jc w:val="center"/>
            </w:pPr>
            <w:r>
              <w:rPr>
                <w:sz w:val="20"/>
              </w:rPr>
              <w:t xml:space="preserve">2 639,1</w:t>
            </w:r>
          </w:p>
        </w:tc>
        <w:tc>
          <w:tcPr>
            <w:tcW w:w="963" w:type="dxa"/>
            <w:vAlign w:val="center"/>
            <w:tcBorders>
              <w:top w:val="nil"/>
              <w:left w:val="nil"/>
              <w:bottom w:val="nil"/>
              <w:right w:val="nil"/>
            </w:tcBorders>
          </w:tcPr>
          <w:p>
            <w:pPr>
              <w:pStyle w:val="0"/>
              <w:jc w:val="center"/>
            </w:pPr>
            <w:r>
              <w:rPr>
                <w:sz w:val="20"/>
              </w:rPr>
              <w:t xml:space="preserve">2 923,6</w:t>
            </w:r>
          </w:p>
        </w:tc>
        <w:tc>
          <w:tcPr>
            <w:tcW w:w="963" w:type="dxa"/>
            <w:vAlign w:val="center"/>
            <w:tcBorders>
              <w:top w:val="nil"/>
              <w:left w:val="nil"/>
              <w:bottom w:val="nil"/>
              <w:right w:val="nil"/>
            </w:tcBorders>
          </w:tcPr>
          <w:p>
            <w:pPr>
              <w:pStyle w:val="0"/>
              <w:jc w:val="center"/>
            </w:pPr>
            <w:r>
              <w:rPr>
                <w:sz w:val="20"/>
              </w:rPr>
              <w:t xml:space="preserve">3 123,5</w:t>
            </w:r>
          </w:p>
        </w:tc>
        <w:tc>
          <w:tcPr>
            <w:tcW w:w="963" w:type="dxa"/>
            <w:vAlign w:val="center"/>
            <w:tcBorders>
              <w:top w:val="nil"/>
              <w:left w:val="nil"/>
              <w:bottom w:val="nil"/>
              <w:right w:val="nil"/>
            </w:tcBorders>
          </w:tcPr>
          <w:p>
            <w:pPr>
              <w:pStyle w:val="0"/>
              <w:jc w:val="center"/>
            </w:pPr>
            <w:r>
              <w:rPr>
                <w:sz w:val="20"/>
              </w:rPr>
              <w:t xml:space="preserve">3 329,3</w:t>
            </w:r>
          </w:p>
        </w:tc>
      </w:tr>
      <w:tr>
        <w:tc>
          <w:tcPr>
            <w:tcW w:w="2551" w:type="dxa"/>
            <w:vAlign w:val="center"/>
            <w:tcBorders>
              <w:top w:val="nil"/>
              <w:left w:val="nil"/>
              <w:bottom w:val="nil"/>
              <w:right w:val="nil"/>
            </w:tcBorders>
          </w:tcPr>
          <w:p>
            <w:pPr>
              <w:pStyle w:val="0"/>
            </w:pPr>
            <w:r>
              <w:rPr>
                <w:sz w:val="20"/>
              </w:rPr>
              <w:t xml:space="preserve">налог на прибыль </w:t>
            </w:r>
            <w:hyperlink w:history="0" w:anchor="P273" w:tooltip="&lt;4&gt; рост налоговых расходов по налогу на прибыль организаций в 2021 году связан с значительным ростом прибыли прибыльных организаций, а также введением новых льгот.">
              <w:r>
                <w:rPr>
                  <w:sz w:val="20"/>
                  <w:color w:val="0000ff"/>
                </w:rPr>
                <w:t xml:space="preserve">&lt;4&gt;</w:t>
              </w:r>
            </w:hyperlink>
          </w:p>
        </w:tc>
        <w:tc>
          <w:tcPr>
            <w:tcW w:w="793" w:type="dxa"/>
            <w:vAlign w:val="center"/>
            <w:tcBorders>
              <w:top w:val="nil"/>
              <w:left w:val="nil"/>
              <w:bottom w:val="nil"/>
              <w:right w:val="nil"/>
            </w:tcBorders>
          </w:tcPr>
          <w:p>
            <w:pPr>
              <w:pStyle w:val="0"/>
              <w:jc w:val="center"/>
            </w:pPr>
            <w:r>
              <w:rPr>
                <w:sz w:val="20"/>
              </w:rPr>
              <w:t xml:space="preserve">280,3</w:t>
            </w:r>
          </w:p>
        </w:tc>
        <w:tc>
          <w:tcPr>
            <w:tcW w:w="907" w:type="dxa"/>
            <w:vAlign w:val="center"/>
            <w:tcBorders>
              <w:top w:val="nil"/>
              <w:left w:val="nil"/>
              <w:bottom w:val="nil"/>
              <w:right w:val="nil"/>
            </w:tcBorders>
          </w:tcPr>
          <w:p>
            <w:pPr>
              <w:pStyle w:val="0"/>
              <w:jc w:val="center"/>
            </w:pPr>
            <w:r>
              <w:rPr>
                <w:sz w:val="20"/>
              </w:rPr>
              <w:t xml:space="preserve">515,6</w:t>
            </w:r>
          </w:p>
        </w:tc>
        <w:tc>
          <w:tcPr>
            <w:tcW w:w="963" w:type="dxa"/>
            <w:vAlign w:val="center"/>
            <w:tcBorders>
              <w:top w:val="nil"/>
              <w:left w:val="nil"/>
              <w:bottom w:val="nil"/>
              <w:right w:val="nil"/>
            </w:tcBorders>
          </w:tcPr>
          <w:p>
            <w:pPr>
              <w:pStyle w:val="0"/>
              <w:jc w:val="center"/>
            </w:pPr>
            <w:r>
              <w:rPr>
                <w:sz w:val="20"/>
              </w:rPr>
              <w:t xml:space="preserve">410,6</w:t>
            </w:r>
          </w:p>
        </w:tc>
        <w:tc>
          <w:tcPr>
            <w:tcW w:w="963" w:type="dxa"/>
            <w:vAlign w:val="center"/>
            <w:tcBorders>
              <w:top w:val="nil"/>
              <w:left w:val="nil"/>
              <w:bottom w:val="nil"/>
              <w:right w:val="nil"/>
            </w:tcBorders>
          </w:tcPr>
          <w:p>
            <w:pPr>
              <w:pStyle w:val="0"/>
              <w:jc w:val="center"/>
            </w:pPr>
            <w:r>
              <w:rPr>
                <w:sz w:val="20"/>
              </w:rPr>
              <w:t xml:space="preserve">417,0</w:t>
            </w:r>
          </w:p>
        </w:tc>
        <w:tc>
          <w:tcPr>
            <w:tcW w:w="963" w:type="dxa"/>
            <w:vAlign w:val="center"/>
            <w:tcBorders>
              <w:top w:val="nil"/>
              <w:left w:val="nil"/>
              <w:bottom w:val="nil"/>
              <w:right w:val="nil"/>
            </w:tcBorders>
          </w:tcPr>
          <w:p>
            <w:pPr>
              <w:pStyle w:val="0"/>
              <w:jc w:val="center"/>
            </w:pPr>
            <w:r>
              <w:rPr>
                <w:sz w:val="20"/>
              </w:rPr>
              <w:t xml:space="preserve">455,1</w:t>
            </w:r>
          </w:p>
        </w:tc>
        <w:tc>
          <w:tcPr>
            <w:tcW w:w="963" w:type="dxa"/>
            <w:vAlign w:val="center"/>
            <w:tcBorders>
              <w:top w:val="nil"/>
              <w:left w:val="nil"/>
              <w:bottom w:val="nil"/>
              <w:right w:val="nil"/>
            </w:tcBorders>
          </w:tcPr>
          <w:p>
            <w:pPr>
              <w:pStyle w:val="0"/>
              <w:jc w:val="center"/>
            </w:pPr>
            <w:r>
              <w:rPr>
                <w:sz w:val="20"/>
              </w:rPr>
              <w:t xml:space="preserve">479,1</w:t>
            </w:r>
          </w:p>
        </w:tc>
        <w:tc>
          <w:tcPr>
            <w:tcW w:w="963" w:type="dxa"/>
            <w:vAlign w:val="center"/>
            <w:tcBorders>
              <w:top w:val="nil"/>
              <w:left w:val="nil"/>
              <w:bottom w:val="nil"/>
              <w:right w:val="nil"/>
            </w:tcBorders>
          </w:tcPr>
          <w:p>
            <w:pPr>
              <w:pStyle w:val="0"/>
              <w:jc w:val="center"/>
            </w:pPr>
            <w:r>
              <w:rPr>
                <w:sz w:val="20"/>
              </w:rPr>
              <w:t xml:space="preserve">501,2</w:t>
            </w:r>
          </w:p>
        </w:tc>
      </w:tr>
      <w:tr>
        <w:tc>
          <w:tcPr>
            <w:tcW w:w="2551" w:type="dxa"/>
            <w:vAlign w:val="center"/>
            <w:tcBorders>
              <w:top w:val="nil"/>
              <w:left w:val="nil"/>
              <w:bottom w:val="nil"/>
              <w:right w:val="nil"/>
            </w:tcBorders>
          </w:tcPr>
          <w:p>
            <w:pPr>
              <w:pStyle w:val="0"/>
            </w:pPr>
            <w:r>
              <w:rPr>
                <w:sz w:val="20"/>
              </w:rPr>
              <w:t xml:space="preserve">страховые взносы</w:t>
            </w:r>
          </w:p>
        </w:tc>
        <w:tc>
          <w:tcPr>
            <w:tcW w:w="793" w:type="dxa"/>
            <w:vAlign w:val="center"/>
            <w:tcBorders>
              <w:top w:val="nil"/>
              <w:left w:val="nil"/>
              <w:bottom w:val="nil"/>
              <w:right w:val="nil"/>
            </w:tcBorders>
          </w:tcPr>
          <w:p>
            <w:pPr>
              <w:pStyle w:val="0"/>
              <w:jc w:val="center"/>
            </w:pPr>
            <w:r>
              <w:rPr>
                <w:sz w:val="20"/>
              </w:rPr>
              <w:t xml:space="preserve">341,2</w:t>
            </w:r>
          </w:p>
        </w:tc>
        <w:tc>
          <w:tcPr>
            <w:tcW w:w="907" w:type="dxa"/>
            <w:vAlign w:val="center"/>
            <w:tcBorders>
              <w:top w:val="nil"/>
              <w:left w:val="nil"/>
              <w:bottom w:val="nil"/>
              <w:right w:val="nil"/>
            </w:tcBorders>
          </w:tcPr>
          <w:p>
            <w:pPr>
              <w:pStyle w:val="0"/>
              <w:jc w:val="center"/>
            </w:pPr>
            <w:r>
              <w:rPr>
                <w:sz w:val="20"/>
              </w:rPr>
              <w:t xml:space="preserve">644,2</w:t>
            </w:r>
          </w:p>
        </w:tc>
        <w:tc>
          <w:tcPr>
            <w:tcW w:w="963" w:type="dxa"/>
            <w:vAlign w:val="center"/>
            <w:tcBorders>
              <w:top w:val="nil"/>
              <w:left w:val="nil"/>
              <w:bottom w:val="nil"/>
              <w:right w:val="nil"/>
            </w:tcBorders>
          </w:tcPr>
          <w:p>
            <w:pPr>
              <w:pStyle w:val="0"/>
              <w:jc w:val="center"/>
            </w:pPr>
            <w:r>
              <w:rPr>
                <w:sz w:val="20"/>
              </w:rPr>
              <w:t xml:space="preserve">826,2</w:t>
            </w:r>
          </w:p>
        </w:tc>
        <w:tc>
          <w:tcPr>
            <w:tcW w:w="963" w:type="dxa"/>
            <w:vAlign w:val="center"/>
            <w:tcBorders>
              <w:top w:val="nil"/>
              <w:left w:val="nil"/>
              <w:bottom w:val="nil"/>
              <w:right w:val="nil"/>
            </w:tcBorders>
          </w:tcPr>
          <w:p>
            <w:pPr>
              <w:pStyle w:val="0"/>
              <w:jc w:val="center"/>
            </w:pPr>
            <w:r>
              <w:rPr>
                <w:sz w:val="20"/>
              </w:rPr>
              <w:t xml:space="preserve">919,3</w:t>
            </w:r>
          </w:p>
        </w:tc>
        <w:tc>
          <w:tcPr>
            <w:tcW w:w="963" w:type="dxa"/>
            <w:vAlign w:val="center"/>
            <w:tcBorders>
              <w:top w:val="nil"/>
              <w:left w:val="nil"/>
              <w:bottom w:val="nil"/>
              <w:right w:val="nil"/>
            </w:tcBorders>
          </w:tcPr>
          <w:p>
            <w:pPr>
              <w:pStyle w:val="0"/>
              <w:jc w:val="center"/>
            </w:pPr>
            <w:r>
              <w:rPr>
                <w:sz w:val="20"/>
              </w:rPr>
              <w:t xml:space="preserve">1 052,5</w:t>
            </w:r>
          </w:p>
        </w:tc>
        <w:tc>
          <w:tcPr>
            <w:tcW w:w="963" w:type="dxa"/>
            <w:vAlign w:val="center"/>
            <w:tcBorders>
              <w:top w:val="nil"/>
              <w:left w:val="nil"/>
              <w:bottom w:val="nil"/>
              <w:right w:val="nil"/>
            </w:tcBorders>
          </w:tcPr>
          <w:p>
            <w:pPr>
              <w:pStyle w:val="0"/>
              <w:jc w:val="center"/>
            </w:pPr>
            <w:r>
              <w:rPr>
                <w:sz w:val="20"/>
              </w:rPr>
              <w:t xml:space="preserve">1 129,4</w:t>
            </w:r>
          </w:p>
        </w:tc>
        <w:tc>
          <w:tcPr>
            <w:tcW w:w="963" w:type="dxa"/>
            <w:vAlign w:val="center"/>
            <w:tcBorders>
              <w:top w:val="nil"/>
              <w:left w:val="nil"/>
              <w:bottom w:val="nil"/>
              <w:right w:val="nil"/>
            </w:tcBorders>
          </w:tcPr>
          <w:p>
            <w:pPr>
              <w:pStyle w:val="0"/>
              <w:jc w:val="center"/>
            </w:pPr>
            <w:r>
              <w:rPr>
                <w:sz w:val="20"/>
              </w:rPr>
              <w:t xml:space="preserve">1 211,3</w:t>
            </w:r>
          </w:p>
        </w:tc>
      </w:tr>
      <w:tr>
        <w:tc>
          <w:tcPr>
            <w:tcW w:w="2551" w:type="dxa"/>
            <w:vAlign w:val="center"/>
            <w:tcBorders>
              <w:top w:val="nil"/>
              <w:left w:val="nil"/>
              <w:bottom w:val="nil"/>
              <w:right w:val="nil"/>
            </w:tcBorders>
          </w:tcPr>
          <w:p>
            <w:pPr>
              <w:pStyle w:val="0"/>
            </w:pPr>
            <w:r>
              <w:rPr>
                <w:sz w:val="20"/>
              </w:rPr>
              <w:t xml:space="preserve">ввозные пошлины</w:t>
            </w:r>
          </w:p>
        </w:tc>
        <w:tc>
          <w:tcPr>
            <w:tcW w:w="793" w:type="dxa"/>
            <w:vAlign w:val="center"/>
            <w:tcBorders>
              <w:top w:val="nil"/>
              <w:left w:val="nil"/>
              <w:bottom w:val="nil"/>
              <w:right w:val="nil"/>
            </w:tcBorders>
          </w:tcPr>
          <w:p>
            <w:pPr>
              <w:pStyle w:val="0"/>
              <w:jc w:val="center"/>
            </w:pPr>
            <w:r>
              <w:rPr>
                <w:sz w:val="20"/>
              </w:rPr>
              <w:t xml:space="preserve">96,7</w:t>
            </w:r>
          </w:p>
        </w:tc>
        <w:tc>
          <w:tcPr>
            <w:tcW w:w="907" w:type="dxa"/>
            <w:vAlign w:val="center"/>
            <w:tcBorders>
              <w:top w:val="nil"/>
              <w:left w:val="nil"/>
              <w:bottom w:val="nil"/>
              <w:right w:val="nil"/>
            </w:tcBorders>
          </w:tcPr>
          <w:p>
            <w:pPr>
              <w:pStyle w:val="0"/>
              <w:jc w:val="center"/>
            </w:pPr>
            <w:r>
              <w:rPr>
                <w:sz w:val="20"/>
              </w:rPr>
              <w:t xml:space="preserve">123,9</w:t>
            </w:r>
          </w:p>
        </w:tc>
        <w:tc>
          <w:tcPr>
            <w:tcW w:w="963" w:type="dxa"/>
            <w:vAlign w:val="center"/>
            <w:tcBorders>
              <w:top w:val="nil"/>
              <w:left w:val="nil"/>
              <w:bottom w:val="nil"/>
              <w:right w:val="nil"/>
            </w:tcBorders>
          </w:tcPr>
          <w:p>
            <w:pPr>
              <w:pStyle w:val="0"/>
              <w:jc w:val="center"/>
            </w:pPr>
            <w:r>
              <w:rPr>
                <w:sz w:val="20"/>
              </w:rPr>
              <w:t xml:space="preserve">279,5</w:t>
            </w:r>
          </w:p>
        </w:tc>
        <w:tc>
          <w:tcPr>
            <w:tcW w:w="963" w:type="dxa"/>
            <w:vAlign w:val="center"/>
            <w:tcBorders>
              <w:top w:val="nil"/>
              <w:left w:val="nil"/>
              <w:bottom w:val="nil"/>
              <w:right w:val="nil"/>
            </w:tcBorders>
          </w:tcPr>
          <w:p>
            <w:pPr>
              <w:pStyle w:val="0"/>
              <w:jc w:val="center"/>
            </w:pPr>
            <w:r>
              <w:rPr>
                <w:sz w:val="20"/>
              </w:rPr>
              <w:t xml:space="preserve">57,7</w:t>
            </w:r>
          </w:p>
        </w:tc>
        <w:tc>
          <w:tcPr>
            <w:tcW w:w="963" w:type="dxa"/>
            <w:vAlign w:val="center"/>
            <w:tcBorders>
              <w:top w:val="nil"/>
              <w:left w:val="nil"/>
              <w:bottom w:val="nil"/>
              <w:right w:val="nil"/>
            </w:tcBorders>
          </w:tcPr>
          <w:p>
            <w:pPr>
              <w:pStyle w:val="0"/>
              <w:jc w:val="center"/>
            </w:pPr>
            <w:r>
              <w:rPr>
                <w:sz w:val="20"/>
              </w:rPr>
              <w:t xml:space="preserve">41,1</w:t>
            </w:r>
          </w:p>
        </w:tc>
        <w:tc>
          <w:tcPr>
            <w:tcW w:w="963" w:type="dxa"/>
            <w:vAlign w:val="center"/>
            <w:tcBorders>
              <w:top w:val="nil"/>
              <w:left w:val="nil"/>
              <w:bottom w:val="nil"/>
              <w:right w:val="nil"/>
            </w:tcBorders>
          </w:tcPr>
          <w:p>
            <w:pPr>
              <w:pStyle w:val="0"/>
              <w:jc w:val="center"/>
            </w:pPr>
            <w:r>
              <w:rPr>
                <w:sz w:val="20"/>
              </w:rPr>
              <w:t xml:space="preserve">42,3</w:t>
            </w:r>
          </w:p>
        </w:tc>
        <w:tc>
          <w:tcPr>
            <w:tcW w:w="963" w:type="dxa"/>
            <w:vAlign w:val="center"/>
            <w:tcBorders>
              <w:top w:val="nil"/>
              <w:left w:val="nil"/>
              <w:bottom w:val="nil"/>
              <w:right w:val="nil"/>
            </w:tcBorders>
          </w:tcPr>
          <w:p>
            <w:pPr>
              <w:pStyle w:val="0"/>
              <w:jc w:val="center"/>
            </w:pPr>
            <w:r>
              <w:rPr>
                <w:sz w:val="20"/>
              </w:rPr>
              <w:t xml:space="preserve">42,9</w:t>
            </w:r>
          </w:p>
        </w:tc>
      </w:tr>
      <w:tr>
        <w:tc>
          <w:tcPr>
            <w:tcW w:w="2551" w:type="dxa"/>
            <w:vAlign w:val="center"/>
            <w:tcBorders>
              <w:top w:val="nil"/>
              <w:left w:val="nil"/>
              <w:bottom w:val="nil"/>
              <w:right w:val="nil"/>
            </w:tcBorders>
          </w:tcPr>
          <w:p>
            <w:pPr>
              <w:pStyle w:val="0"/>
            </w:pPr>
            <w:r>
              <w:rPr>
                <w:sz w:val="20"/>
              </w:rPr>
              <w:t xml:space="preserve">имущественные налоги</w:t>
            </w:r>
          </w:p>
        </w:tc>
        <w:tc>
          <w:tcPr>
            <w:tcW w:w="793" w:type="dxa"/>
            <w:vAlign w:val="center"/>
            <w:tcBorders>
              <w:top w:val="nil"/>
              <w:left w:val="nil"/>
              <w:bottom w:val="nil"/>
              <w:right w:val="nil"/>
            </w:tcBorders>
          </w:tcPr>
          <w:p>
            <w:pPr>
              <w:pStyle w:val="0"/>
              <w:jc w:val="center"/>
            </w:pPr>
            <w:r>
              <w:rPr>
                <w:sz w:val="20"/>
              </w:rPr>
              <w:t xml:space="preserve">395,0</w:t>
            </w:r>
          </w:p>
        </w:tc>
        <w:tc>
          <w:tcPr>
            <w:tcW w:w="907" w:type="dxa"/>
            <w:vAlign w:val="center"/>
            <w:tcBorders>
              <w:top w:val="nil"/>
              <w:left w:val="nil"/>
              <w:bottom w:val="nil"/>
              <w:right w:val="nil"/>
            </w:tcBorders>
          </w:tcPr>
          <w:p>
            <w:pPr>
              <w:pStyle w:val="0"/>
              <w:jc w:val="center"/>
            </w:pPr>
            <w:r>
              <w:rPr>
                <w:sz w:val="20"/>
              </w:rPr>
              <w:t xml:space="preserve">432,1</w:t>
            </w:r>
          </w:p>
        </w:tc>
        <w:tc>
          <w:tcPr>
            <w:tcW w:w="963" w:type="dxa"/>
            <w:vAlign w:val="center"/>
            <w:tcBorders>
              <w:top w:val="nil"/>
              <w:left w:val="nil"/>
              <w:bottom w:val="nil"/>
              <w:right w:val="nil"/>
            </w:tcBorders>
          </w:tcPr>
          <w:p>
            <w:pPr>
              <w:pStyle w:val="0"/>
              <w:jc w:val="center"/>
            </w:pPr>
            <w:r>
              <w:rPr>
                <w:sz w:val="20"/>
              </w:rPr>
              <w:t xml:space="preserve">463,0</w:t>
            </w:r>
          </w:p>
        </w:tc>
        <w:tc>
          <w:tcPr>
            <w:tcW w:w="963" w:type="dxa"/>
            <w:vAlign w:val="center"/>
            <w:tcBorders>
              <w:top w:val="nil"/>
              <w:left w:val="nil"/>
              <w:bottom w:val="nil"/>
              <w:right w:val="nil"/>
            </w:tcBorders>
          </w:tcPr>
          <w:p>
            <w:pPr>
              <w:pStyle w:val="0"/>
              <w:jc w:val="center"/>
            </w:pPr>
            <w:r>
              <w:rPr>
                <w:sz w:val="20"/>
              </w:rPr>
              <w:t xml:space="preserve">503,1</w:t>
            </w:r>
          </w:p>
        </w:tc>
        <w:tc>
          <w:tcPr>
            <w:tcW w:w="963" w:type="dxa"/>
            <w:vAlign w:val="center"/>
            <w:tcBorders>
              <w:top w:val="nil"/>
              <w:left w:val="nil"/>
              <w:bottom w:val="nil"/>
              <w:right w:val="nil"/>
            </w:tcBorders>
          </w:tcPr>
          <w:p>
            <w:pPr>
              <w:pStyle w:val="0"/>
              <w:jc w:val="center"/>
            </w:pPr>
            <w:r>
              <w:rPr>
                <w:sz w:val="20"/>
              </w:rPr>
              <w:t xml:space="preserve">544,5</w:t>
            </w:r>
          </w:p>
        </w:tc>
        <w:tc>
          <w:tcPr>
            <w:tcW w:w="963" w:type="dxa"/>
            <w:vAlign w:val="center"/>
            <w:tcBorders>
              <w:top w:val="nil"/>
              <w:left w:val="nil"/>
              <w:bottom w:val="nil"/>
              <w:right w:val="nil"/>
            </w:tcBorders>
          </w:tcPr>
          <w:p>
            <w:pPr>
              <w:pStyle w:val="0"/>
              <w:jc w:val="center"/>
            </w:pPr>
            <w:r>
              <w:rPr>
                <w:sz w:val="20"/>
              </w:rPr>
              <w:t xml:space="preserve">589,4</w:t>
            </w:r>
          </w:p>
        </w:tc>
        <w:tc>
          <w:tcPr>
            <w:tcW w:w="963" w:type="dxa"/>
            <w:vAlign w:val="center"/>
            <w:tcBorders>
              <w:top w:val="nil"/>
              <w:left w:val="nil"/>
              <w:bottom w:val="nil"/>
              <w:right w:val="nil"/>
            </w:tcBorders>
          </w:tcPr>
          <w:p>
            <w:pPr>
              <w:pStyle w:val="0"/>
              <w:jc w:val="center"/>
            </w:pPr>
            <w:r>
              <w:rPr>
                <w:sz w:val="20"/>
              </w:rPr>
              <w:t xml:space="preserve">618,0</w:t>
            </w:r>
          </w:p>
        </w:tc>
      </w:tr>
      <w:tr>
        <w:tc>
          <w:tcPr>
            <w:tcW w:w="2551" w:type="dxa"/>
            <w:vAlign w:val="center"/>
            <w:tcBorders>
              <w:top w:val="nil"/>
              <w:left w:val="nil"/>
              <w:bottom w:val="single" w:sz="4"/>
              <w:right w:val="nil"/>
            </w:tcBorders>
          </w:tcPr>
          <w:p>
            <w:pPr>
              <w:pStyle w:val="0"/>
            </w:pPr>
            <w:r>
              <w:rPr>
                <w:sz w:val="20"/>
              </w:rPr>
              <w:t xml:space="preserve">прочие налоги</w:t>
            </w:r>
          </w:p>
        </w:tc>
        <w:tc>
          <w:tcPr>
            <w:tcW w:w="793" w:type="dxa"/>
            <w:vAlign w:val="center"/>
            <w:tcBorders>
              <w:top w:val="nil"/>
              <w:left w:val="nil"/>
              <w:bottom w:val="single" w:sz="4"/>
              <w:right w:val="nil"/>
            </w:tcBorders>
          </w:tcPr>
          <w:p>
            <w:pPr>
              <w:pStyle w:val="0"/>
              <w:jc w:val="center"/>
            </w:pPr>
            <w:r>
              <w:rPr>
                <w:sz w:val="20"/>
              </w:rPr>
              <w:t xml:space="preserve">591,1</w:t>
            </w:r>
          </w:p>
        </w:tc>
        <w:tc>
          <w:tcPr>
            <w:tcW w:w="907" w:type="dxa"/>
            <w:vAlign w:val="center"/>
            <w:tcBorders>
              <w:top w:val="nil"/>
              <w:left w:val="nil"/>
              <w:bottom w:val="single" w:sz="4"/>
              <w:right w:val="nil"/>
            </w:tcBorders>
          </w:tcPr>
          <w:p>
            <w:pPr>
              <w:pStyle w:val="0"/>
              <w:jc w:val="center"/>
            </w:pPr>
            <w:r>
              <w:rPr>
                <w:sz w:val="20"/>
              </w:rPr>
              <w:t xml:space="preserve">762,4</w:t>
            </w:r>
          </w:p>
        </w:tc>
        <w:tc>
          <w:tcPr>
            <w:tcW w:w="963" w:type="dxa"/>
            <w:vAlign w:val="center"/>
            <w:tcBorders>
              <w:top w:val="nil"/>
              <w:left w:val="nil"/>
              <w:bottom w:val="single" w:sz="4"/>
              <w:right w:val="nil"/>
            </w:tcBorders>
          </w:tcPr>
          <w:p>
            <w:pPr>
              <w:pStyle w:val="0"/>
              <w:jc w:val="center"/>
            </w:pPr>
            <w:r>
              <w:rPr>
                <w:sz w:val="20"/>
              </w:rPr>
              <w:t xml:space="preserve">921,4</w:t>
            </w:r>
          </w:p>
        </w:tc>
        <w:tc>
          <w:tcPr>
            <w:tcW w:w="963" w:type="dxa"/>
            <w:vAlign w:val="center"/>
            <w:tcBorders>
              <w:top w:val="nil"/>
              <w:left w:val="nil"/>
              <w:bottom w:val="single" w:sz="4"/>
              <w:right w:val="nil"/>
            </w:tcBorders>
          </w:tcPr>
          <w:p>
            <w:pPr>
              <w:pStyle w:val="0"/>
              <w:jc w:val="center"/>
            </w:pPr>
            <w:r>
              <w:rPr>
                <w:sz w:val="20"/>
              </w:rPr>
              <w:t xml:space="preserve">1 110,4</w:t>
            </w:r>
          </w:p>
        </w:tc>
        <w:tc>
          <w:tcPr>
            <w:tcW w:w="963" w:type="dxa"/>
            <w:vAlign w:val="center"/>
            <w:tcBorders>
              <w:top w:val="nil"/>
              <w:left w:val="nil"/>
              <w:bottom w:val="single" w:sz="4"/>
              <w:right w:val="nil"/>
            </w:tcBorders>
          </w:tcPr>
          <w:p>
            <w:pPr>
              <w:pStyle w:val="0"/>
              <w:jc w:val="center"/>
            </w:pPr>
            <w:r>
              <w:rPr>
                <w:sz w:val="20"/>
              </w:rPr>
              <w:t xml:space="preserve">1 097,4</w:t>
            </w:r>
          </w:p>
        </w:tc>
        <w:tc>
          <w:tcPr>
            <w:tcW w:w="963" w:type="dxa"/>
            <w:vAlign w:val="center"/>
            <w:tcBorders>
              <w:top w:val="nil"/>
              <w:left w:val="nil"/>
              <w:bottom w:val="single" w:sz="4"/>
              <w:right w:val="nil"/>
            </w:tcBorders>
          </w:tcPr>
          <w:p>
            <w:pPr>
              <w:pStyle w:val="0"/>
              <w:jc w:val="center"/>
            </w:pPr>
            <w:r>
              <w:rPr>
                <w:sz w:val="20"/>
              </w:rPr>
              <w:t xml:space="preserve">1 202,8</w:t>
            </w:r>
          </w:p>
        </w:tc>
        <w:tc>
          <w:tcPr>
            <w:tcW w:w="963" w:type="dxa"/>
            <w:vAlign w:val="center"/>
            <w:tcBorders>
              <w:top w:val="nil"/>
              <w:left w:val="nil"/>
              <w:bottom w:val="single" w:sz="4"/>
              <w:right w:val="nil"/>
            </w:tcBorders>
          </w:tcPr>
          <w:p>
            <w:pPr>
              <w:pStyle w:val="0"/>
              <w:jc w:val="center"/>
            </w:pPr>
            <w:r>
              <w:rPr>
                <w:sz w:val="20"/>
              </w:rPr>
              <w:t xml:space="preserve">1 318,2</w:t>
            </w:r>
          </w:p>
        </w:tc>
      </w:tr>
    </w:tbl>
    <w:p>
      <w:pPr>
        <w:pStyle w:val="0"/>
        <w:jc w:val="both"/>
      </w:pPr>
      <w:r>
        <w:rPr>
          <w:sz w:val="20"/>
        </w:rPr>
      </w:r>
    </w:p>
    <w:p>
      <w:pPr>
        <w:pStyle w:val="0"/>
        <w:ind w:firstLine="540"/>
        <w:jc w:val="both"/>
      </w:pPr>
      <w:r>
        <w:rPr>
          <w:sz w:val="20"/>
        </w:rPr>
        <w:t xml:space="preserve">--------------------------------</w:t>
      </w:r>
    </w:p>
    <w:bookmarkStart w:id="270" w:name="P270"/>
    <w:bookmarkEnd w:id="270"/>
    <w:p>
      <w:pPr>
        <w:pStyle w:val="0"/>
        <w:spacing w:before="200" w:line-rule="auto"/>
        <w:ind w:firstLine="540"/>
        <w:jc w:val="both"/>
      </w:pPr>
      <w:r>
        <w:rPr>
          <w:sz w:val="20"/>
        </w:rPr>
        <w:t xml:space="preserve">&lt;1&gt; оценка Минфина России</w:t>
      </w:r>
    </w:p>
    <w:bookmarkStart w:id="271" w:name="P271"/>
    <w:bookmarkEnd w:id="271"/>
    <w:p>
      <w:pPr>
        <w:pStyle w:val="0"/>
        <w:spacing w:before="200" w:line-rule="auto"/>
        <w:ind w:firstLine="540"/>
        <w:jc w:val="both"/>
      </w:pPr>
      <w:r>
        <w:rPr>
          <w:sz w:val="20"/>
        </w:rPr>
        <w:t xml:space="preserve">&lt;2&gt; без учета информации по выпадающим доходам по отдельным налоговым расходам в связи с отсутствием исходных данных (например, налоговые расходы, связанные с применением ускоренной амортизации), но с учетом налоговых льгот, освобождений и иных преференций с датой начала действия начиная с 1 января 2024 года, предлагаемые Министерством финансов Российской Федерации к включению в Перечень налоговых расходов Российской Федерации.</w:t>
      </w:r>
    </w:p>
    <w:bookmarkStart w:id="272" w:name="P272"/>
    <w:bookmarkEnd w:id="272"/>
    <w:p>
      <w:pPr>
        <w:pStyle w:val="0"/>
        <w:spacing w:before="200" w:line-rule="auto"/>
        <w:ind w:firstLine="540"/>
        <w:jc w:val="both"/>
      </w:pPr>
      <w:r>
        <w:rPr>
          <w:sz w:val="20"/>
        </w:rPr>
        <w:t xml:space="preserve">&lt;3&gt; учитываются поступления от уплаты налогов (в налоге на прибыль поступления сверх общеустановленной ставки налога) и сборов, применяемых в рамках указанного специального режима, а также выпадающие доходы, связанные с применением льготных ставок в рамках режима СРП.</w:t>
      </w:r>
    </w:p>
    <w:bookmarkStart w:id="273" w:name="P273"/>
    <w:bookmarkEnd w:id="273"/>
    <w:p>
      <w:pPr>
        <w:pStyle w:val="0"/>
        <w:spacing w:before="200" w:line-rule="auto"/>
        <w:ind w:firstLine="540"/>
        <w:jc w:val="both"/>
      </w:pPr>
      <w:r>
        <w:rPr>
          <w:sz w:val="20"/>
        </w:rPr>
        <w:t xml:space="preserve">&lt;4&gt; рост налоговых расходов по налогу на прибыль организаций в 2021 году связан с значительным ростом прибыли прибыльных организаций, а также введением новых льгот.</w:t>
      </w:r>
    </w:p>
    <w:p>
      <w:pPr>
        <w:pStyle w:val="0"/>
        <w:jc w:val="both"/>
      </w:pPr>
      <w:r>
        <w:rPr>
          <w:sz w:val="20"/>
        </w:rPr>
      </w:r>
    </w:p>
    <w:p>
      <w:pPr>
        <w:pStyle w:val="0"/>
        <w:ind w:firstLine="540"/>
        <w:jc w:val="both"/>
      </w:pPr>
      <w:r>
        <w:rPr>
          <w:sz w:val="20"/>
        </w:rPr>
        <w:t xml:space="preserve">Для проведения оценки эффективности действующих инвестиционных налоговых льгот в 2022 году запущена в эксплуатацию аналитическая система "Эффективность льгот", функционал которой позволяет:</w:t>
      </w:r>
    </w:p>
    <w:p>
      <w:pPr>
        <w:pStyle w:val="0"/>
        <w:spacing w:before="200" w:line-rule="auto"/>
        <w:ind w:firstLine="540"/>
        <w:jc w:val="both"/>
      </w:pPr>
      <w:r>
        <w:rPr>
          <w:sz w:val="20"/>
        </w:rPr>
        <w:t xml:space="preserve">- оценить влияние инвестиционных налоговых льгот (преференциальных налоговых режимов) на финансово-экономические показатели деятельности налогоплательщиков в сопоставлении со среднеотраслевыми индикаторами;</w:t>
      </w:r>
    </w:p>
    <w:p>
      <w:pPr>
        <w:pStyle w:val="0"/>
        <w:spacing w:before="200" w:line-rule="auto"/>
        <w:ind w:firstLine="540"/>
        <w:jc w:val="both"/>
      </w:pPr>
      <w:r>
        <w:rPr>
          <w:sz w:val="20"/>
        </w:rPr>
        <w:t xml:space="preserve">- оценить влияние инвестиционной налоговой льготы (преференциального налогового режима) на динамику инвестиций, занятости, расходов на оплату труда и НИОКР;</w:t>
      </w:r>
    </w:p>
    <w:p>
      <w:pPr>
        <w:pStyle w:val="0"/>
        <w:spacing w:before="200" w:line-rule="auto"/>
        <w:ind w:firstLine="540"/>
        <w:jc w:val="both"/>
      </w:pPr>
      <w:r>
        <w:rPr>
          <w:sz w:val="20"/>
        </w:rPr>
        <w:t xml:space="preserve">- сделать вывод об эффективности предоставленных инвестиционных налоговых льгот (преференциальных налоговых режимов) и потребности по их "донастройке".</w:t>
      </w:r>
    </w:p>
    <w:p>
      <w:pPr>
        <w:pStyle w:val="0"/>
        <w:spacing w:before="200" w:line-rule="auto"/>
        <w:ind w:firstLine="540"/>
        <w:jc w:val="both"/>
      </w:pPr>
      <w:r>
        <w:rPr>
          <w:sz w:val="20"/>
        </w:rPr>
        <w:t xml:space="preserve">С использованием системы в 2022 - 2023 гг. был проведен анализ эффективности действующих инвестиционных налоговых льгот (35 инвестиционных налоговых льгот с 2017 по 2022 годы).</w:t>
      </w:r>
    </w:p>
    <w:p>
      <w:pPr>
        <w:pStyle w:val="0"/>
        <w:spacing w:before="200" w:line-rule="auto"/>
        <w:ind w:firstLine="540"/>
        <w:jc w:val="both"/>
      </w:pPr>
      <w:r>
        <w:rPr>
          <w:sz w:val="20"/>
        </w:rPr>
        <w:t xml:space="preserve">Инвентаризация налоговых расходов, расширение периметра их ежегодной оценки, использование аналитической системы позволили:</w:t>
      </w:r>
    </w:p>
    <w:p>
      <w:pPr>
        <w:pStyle w:val="0"/>
        <w:spacing w:before="200" w:line-rule="auto"/>
        <w:ind w:firstLine="540"/>
        <w:jc w:val="both"/>
      </w:pPr>
      <w:r>
        <w:rPr>
          <w:sz w:val="20"/>
        </w:rPr>
        <w:t xml:space="preserve">- выявить налоговые льготы, не соответствующие критериям целесообразности и результативности. По итогам такой оценки готовятся предложения о сохранении (уточнении, отмене) льгот для плательщиков;</w:t>
      </w:r>
    </w:p>
    <w:p>
      <w:pPr>
        <w:pStyle w:val="0"/>
        <w:spacing w:before="200" w:line-rule="auto"/>
        <w:ind w:firstLine="540"/>
        <w:jc w:val="both"/>
      </w:pPr>
      <w:r>
        <w:rPr>
          <w:sz w:val="20"/>
        </w:rPr>
        <w:t xml:space="preserve">- подготовить предложения по внесению изменений в Налоговый </w:t>
      </w:r>
      <w:hyperlink w:history="0" r:id="rId13"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кодекс</w:t>
        </w:r>
      </w:hyperlink>
      <w:r>
        <w:rPr>
          <w:sz w:val="20"/>
        </w:rPr>
        <w:t xml:space="preserve"> Российской Федерации, направленные на совершенствование налогового регулирования ряда преференциальных налоговых режимов для новых резидентов (участников), включающие:</w:t>
      </w:r>
    </w:p>
    <w:p>
      <w:pPr>
        <w:pStyle w:val="0"/>
        <w:spacing w:before="200" w:line-rule="auto"/>
        <w:ind w:firstLine="540"/>
        <w:jc w:val="both"/>
      </w:pPr>
      <w:r>
        <w:rPr>
          <w:sz w:val="20"/>
        </w:rPr>
        <w:t xml:space="preserve">- введение ограничения суммы налоговых льгот суммой фактически осуществленных расходов на капитальные вложения и (или) НИОКР;</w:t>
      </w:r>
    </w:p>
    <w:p>
      <w:pPr>
        <w:pStyle w:val="0"/>
        <w:spacing w:before="200" w:line-rule="auto"/>
        <w:ind w:firstLine="540"/>
        <w:jc w:val="both"/>
      </w:pPr>
      <w:r>
        <w:rPr>
          <w:sz w:val="20"/>
        </w:rPr>
        <w:t xml:space="preserve">- установление обязательного требования о формировании и сдаче годовой бухгалтерской (финансовой) отчетности в ФНС России в электронной форме для сохранения возможности применения налоговых льгот;</w:t>
      </w:r>
    </w:p>
    <w:p>
      <w:pPr>
        <w:pStyle w:val="0"/>
        <w:spacing w:before="200" w:line-rule="auto"/>
        <w:ind w:firstLine="540"/>
        <w:jc w:val="both"/>
      </w:pPr>
      <w:r>
        <w:rPr>
          <w:sz w:val="20"/>
        </w:rPr>
        <w:t xml:space="preserve">- установление возможности применения резидентами (участниками) налоговых льгот только при выполнении "контролируемых показателей", установленных соглашением об осуществлении деятельности либо договором об условиях деятельности;</w:t>
      </w:r>
    </w:p>
    <w:p>
      <w:pPr>
        <w:pStyle w:val="0"/>
        <w:spacing w:before="200" w:line-rule="auto"/>
        <w:ind w:firstLine="540"/>
        <w:jc w:val="both"/>
      </w:pPr>
      <w:r>
        <w:rPr>
          <w:sz w:val="20"/>
        </w:rPr>
        <w:t xml:space="preserve">- сформировать выводы о целесообразности корректировки параметров режима НДД в части:</w:t>
      </w:r>
    </w:p>
    <w:p>
      <w:pPr>
        <w:pStyle w:val="0"/>
        <w:spacing w:before="200" w:line-rule="auto"/>
        <w:ind w:firstLine="540"/>
        <w:jc w:val="both"/>
      </w:pPr>
      <w:r>
        <w:rPr>
          <w:sz w:val="20"/>
        </w:rPr>
        <w:t xml:space="preserve">- исключения возможности формирования сверхдоходности "выработанных" участков в 3-ей группе НДД и перенос даты начала применения вычета для "выработанных" участков на 1 января 2027 года;</w:t>
      </w:r>
    </w:p>
    <w:p>
      <w:pPr>
        <w:pStyle w:val="0"/>
        <w:spacing w:before="200" w:line-rule="auto"/>
        <w:ind w:firstLine="540"/>
        <w:jc w:val="both"/>
      </w:pPr>
      <w:r>
        <w:rPr>
          <w:sz w:val="20"/>
        </w:rPr>
        <w:t xml:space="preserve">- продления ограничения переноса убытков по НДД в размере не более 50% до 31 декабря 2026 года;</w:t>
      </w:r>
    </w:p>
    <w:p>
      <w:pPr>
        <w:pStyle w:val="0"/>
        <w:spacing w:before="200" w:line-rule="auto"/>
        <w:ind w:firstLine="540"/>
        <w:jc w:val="both"/>
      </w:pPr>
      <w:r>
        <w:rPr>
          <w:sz w:val="20"/>
        </w:rPr>
        <w:t xml:space="preserve">- перевод на НДД участков недр, у которых доля фактической добычи сверхвязкой нефти (СВН) от общей по участку превышает 70%.</w:t>
      </w:r>
    </w:p>
    <w:p>
      <w:pPr>
        <w:pStyle w:val="0"/>
        <w:jc w:val="both"/>
      </w:pPr>
      <w:r>
        <w:rPr>
          <w:sz w:val="20"/>
        </w:rPr>
      </w:r>
    </w:p>
    <w:p>
      <w:pPr>
        <w:pStyle w:val="2"/>
        <w:outlineLvl w:val="3"/>
        <w:ind w:firstLine="540"/>
        <w:jc w:val="both"/>
      </w:pPr>
      <w:r>
        <w:rPr>
          <w:sz w:val="20"/>
        </w:rPr>
        <w:t xml:space="preserve">Развитие контрактной системы</w:t>
      </w:r>
    </w:p>
    <w:p>
      <w:pPr>
        <w:pStyle w:val="0"/>
        <w:spacing w:before="200" w:line-rule="auto"/>
        <w:ind w:firstLine="540"/>
        <w:jc w:val="both"/>
      </w:pPr>
      <w:r>
        <w:rPr>
          <w:sz w:val="20"/>
        </w:rPr>
        <w:t xml:space="preserve">В 2022 - 2023 годах обеспечена донастройка законодательства в сфере закупок:</w:t>
      </w:r>
    </w:p>
    <w:p>
      <w:pPr>
        <w:pStyle w:val="0"/>
        <w:spacing w:before="200" w:line-rule="auto"/>
        <w:ind w:firstLine="540"/>
        <w:jc w:val="both"/>
      </w:pPr>
      <w:r>
        <w:rPr>
          <w:sz w:val="20"/>
        </w:rPr>
        <w:t xml:space="preserve">- продлены в 2023 году временные меры, реализованные в 2022 году в связи с недружественными действиями иностранных государств, предусматривающие:</w:t>
      </w:r>
    </w:p>
    <w:p>
      <w:pPr>
        <w:pStyle w:val="0"/>
        <w:spacing w:before="200" w:line-rule="auto"/>
        <w:ind w:firstLine="540"/>
        <w:jc w:val="both"/>
      </w:pPr>
      <w:r>
        <w:rPr>
          <w:sz w:val="20"/>
        </w:rPr>
        <w:t xml:space="preserve">- возможность установления Правительством РФ, высшим органом исполнительной власти субъекта РФ дополнительного случая осуществления закупок у единственного поставщика;</w:t>
      </w:r>
    </w:p>
    <w:p>
      <w:pPr>
        <w:pStyle w:val="0"/>
        <w:spacing w:before="200" w:line-rule="auto"/>
        <w:ind w:firstLine="540"/>
        <w:jc w:val="both"/>
      </w:pPr>
      <w:r>
        <w:rPr>
          <w:sz w:val="20"/>
        </w:rPr>
        <w:t xml:space="preserve">- возможность изменения любых существенных условий контракта, заключенного до 1 января 2023 года, по решению соответствующего высшего органа исполнительной власти в случае невозможности его исполнения;</w:t>
      </w:r>
    </w:p>
    <w:p>
      <w:pPr>
        <w:pStyle w:val="0"/>
        <w:spacing w:before="200" w:line-rule="auto"/>
        <w:ind w:firstLine="540"/>
        <w:jc w:val="both"/>
      </w:pPr>
      <w:r>
        <w:rPr>
          <w:sz w:val="20"/>
        </w:rPr>
        <w:t xml:space="preserve">- право заказчиков не устанавливать требование об обеспечении контракта;</w:t>
      </w:r>
    </w:p>
    <w:p>
      <w:pPr>
        <w:pStyle w:val="0"/>
        <w:spacing w:before="200" w:line-rule="auto"/>
        <w:ind w:firstLine="540"/>
        <w:jc w:val="both"/>
      </w:pPr>
      <w:r>
        <w:rPr>
          <w:sz w:val="20"/>
        </w:rPr>
        <w:t xml:space="preserve">- продолжена настройка механизма импортозамещения в закупках, предполагающая:</w:t>
      </w:r>
    </w:p>
    <w:p>
      <w:pPr>
        <w:pStyle w:val="0"/>
        <w:spacing w:before="200" w:line-rule="auto"/>
        <w:ind w:firstLine="540"/>
        <w:jc w:val="both"/>
      </w:pPr>
      <w:r>
        <w:rPr>
          <w:sz w:val="20"/>
        </w:rPr>
        <w:t xml:space="preserve">- исключение товаров иностранного происхождения из конкурса в случае, если имеется российский поставщик товара (в отношении согласованного перечня продукции);</w:t>
      </w:r>
    </w:p>
    <w:p>
      <w:pPr>
        <w:pStyle w:val="0"/>
        <w:spacing w:before="200" w:line-rule="auto"/>
        <w:ind w:firstLine="540"/>
        <w:jc w:val="both"/>
      </w:pPr>
      <w:r>
        <w:rPr>
          <w:sz w:val="20"/>
        </w:rPr>
        <w:t xml:space="preserve">- установление преимущества в 15% цены для российской продукции.</w:t>
      </w:r>
    </w:p>
    <w:p>
      <w:pPr>
        <w:pStyle w:val="0"/>
        <w:spacing w:before="200" w:line-rule="auto"/>
        <w:ind w:firstLine="540"/>
        <w:jc w:val="both"/>
      </w:pPr>
      <w:r>
        <w:rPr>
          <w:sz w:val="20"/>
        </w:rPr>
        <w:t xml:space="preserve">- усовершенствован механизм заключения "офсетных" контрактов, направленный на расширение возможностей их использования субъектами РФ, в том числе предусматривающий возможность заключения "межрегиональных" офсетных контрактов и снижение требований к минимальному объему инвестиций с 1 млрд рублей до 100 млн рублей (до 400 млн рублей в случае заключения "межрегионального" офсетного контракта);</w:t>
      </w:r>
    </w:p>
    <w:p>
      <w:pPr>
        <w:pStyle w:val="0"/>
        <w:spacing w:before="200" w:line-rule="auto"/>
        <w:ind w:firstLine="540"/>
        <w:jc w:val="both"/>
      </w:pPr>
      <w:r>
        <w:rPr>
          <w:sz w:val="20"/>
        </w:rPr>
        <w:t xml:space="preserve">- обеспечено принятие изменений в правила нормирования в сфере закупок, в том числе предусматривающих введение в действие механизма индексации цены в отношении отдельных видом товаров, закупаемых для федеральных нужд;</w:t>
      </w:r>
    </w:p>
    <w:p>
      <w:pPr>
        <w:pStyle w:val="0"/>
        <w:spacing w:before="200" w:line-rule="auto"/>
        <w:ind w:firstLine="540"/>
        <w:jc w:val="both"/>
      </w:pPr>
      <w:r>
        <w:rPr>
          <w:sz w:val="20"/>
        </w:rPr>
        <w:t xml:space="preserve">- приняты комплексные изменения в целях совершенствования осуществления закупок, а также упрощения, повышения эффективности и оперативности обеспечения государственных и муниципальных нужд, в т.ч.:</w:t>
      </w:r>
    </w:p>
    <w:p>
      <w:pPr>
        <w:pStyle w:val="0"/>
        <w:spacing w:before="200" w:line-rule="auto"/>
        <w:ind w:firstLine="540"/>
        <w:jc w:val="both"/>
      </w:pPr>
      <w:r>
        <w:rPr>
          <w:sz w:val="20"/>
        </w:rPr>
        <w:t xml:space="preserve">- увеличено до 10 млн рублей предельное значение начальной максимальной цены контракта (НМЦК) при проведении электронного запроса котировок и до 5 млн рублей при проведении электронной закупки товара у единственного поставщика;</w:t>
      </w:r>
    </w:p>
    <w:p>
      <w:pPr>
        <w:pStyle w:val="0"/>
        <w:spacing w:before="200" w:line-rule="auto"/>
        <w:ind w:firstLine="540"/>
        <w:jc w:val="both"/>
      </w:pPr>
      <w:r>
        <w:rPr>
          <w:sz w:val="20"/>
        </w:rPr>
        <w:t xml:space="preserve">- сокращен срок рассмотрения контрольным органом обращения о согласовании заключения контракта с единственным поставщиком (с 10 до 8 рабочих дней);</w:t>
      </w:r>
    </w:p>
    <w:p>
      <w:pPr>
        <w:pStyle w:val="0"/>
        <w:spacing w:before="200" w:line-rule="auto"/>
        <w:ind w:firstLine="540"/>
        <w:jc w:val="both"/>
      </w:pPr>
      <w:r>
        <w:rPr>
          <w:sz w:val="20"/>
        </w:rPr>
        <w:t xml:space="preserve">- до 1 января 2025 г. продлена возможность заключения контрактов "под ключ".</w:t>
      </w:r>
    </w:p>
    <w:p>
      <w:pPr>
        <w:pStyle w:val="0"/>
        <w:spacing w:before="200" w:line-rule="auto"/>
        <w:ind w:firstLine="540"/>
        <w:jc w:val="both"/>
      </w:pPr>
      <w:r>
        <w:rPr>
          <w:sz w:val="20"/>
        </w:rPr>
        <w:t xml:space="preserve">- приняты меры в целях оказания поддержки участникам контрактной системы в сфере закупок в связи с объявлением частичной мобилизации;</w:t>
      </w:r>
    </w:p>
    <w:p>
      <w:pPr>
        <w:pStyle w:val="0"/>
        <w:spacing w:before="200" w:line-rule="auto"/>
        <w:ind w:firstLine="540"/>
        <w:jc w:val="both"/>
      </w:pPr>
      <w:r>
        <w:rPr>
          <w:sz w:val="20"/>
        </w:rPr>
        <w:t xml:space="preserve">- установлен упрощенный порядок осуществления в 2023 году закупок в целях обеспечения планомерного перехода новых регионов к применению законодательных норм в сфере государственных и муниципальных закупок. Реализация принятых особенностей направлена на завершение перехода новых регионов к применению всех положений Федерального Закона "О контрактной системе в сфере закупок товаров, работ, услуг для обеспечения государственных и муниципальных нужд" с 1 января 2024".</w:t>
      </w:r>
    </w:p>
    <w:p>
      <w:pPr>
        <w:pStyle w:val="0"/>
        <w:jc w:val="both"/>
      </w:pPr>
      <w:r>
        <w:rPr>
          <w:sz w:val="20"/>
        </w:rPr>
      </w:r>
    </w:p>
    <w:p>
      <w:pPr>
        <w:pStyle w:val="2"/>
        <w:outlineLvl w:val="3"/>
        <w:ind w:firstLine="540"/>
        <w:jc w:val="both"/>
      </w:pPr>
      <w:r>
        <w:rPr>
          <w:sz w:val="20"/>
        </w:rPr>
        <w:t xml:space="preserve">Казначейское сопровождение</w:t>
      </w:r>
    </w:p>
    <w:p>
      <w:pPr>
        <w:pStyle w:val="0"/>
        <w:spacing w:before="200" w:line-rule="auto"/>
        <w:ind w:firstLine="540"/>
        <w:jc w:val="both"/>
      </w:pPr>
      <w:r>
        <w:rPr>
          <w:sz w:val="20"/>
        </w:rPr>
        <w:t xml:space="preserve">В 2022 - 2023 годах в Бюджетном </w:t>
      </w:r>
      <w:hyperlink w:history="0" r:id="rId14"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кодексе</w:t>
        </w:r>
      </w:hyperlink>
      <w:r>
        <w:rPr>
          <w:sz w:val="20"/>
        </w:rPr>
        <w:t xml:space="preserve"> закреплены новые положения об осуществлении казначейского сопровождения, в том числе направленные на упрощение и ускорение расчетов между участниками контрактной системы:</w:t>
      </w:r>
    </w:p>
    <w:p>
      <w:pPr>
        <w:pStyle w:val="0"/>
        <w:spacing w:before="200" w:line-rule="auto"/>
        <w:ind w:firstLine="540"/>
        <w:jc w:val="both"/>
      </w:pPr>
      <w:r>
        <w:rPr>
          <w:sz w:val="20"/>
        </w:rPr>
        <w:t xml:space="preserve">- введен бюджетный мониторинг в системе казначейских платежей: своевременное предупреждение и предотвращение финансовых нарушений, выявление рисков при открытии лицевых счетов и проведении операций и применение мер реагирования</w:t>
      </w:r>
    </w:p>
    <w:p>
      <w:pPr>
        <w:pStyle w:val="0"/>
        <w:spacing w:before="200" w:line-rule="auto"/>
        <w:ind w:firstLine="540"/>
        <w:jc w:val="both"/>
      </w:pPr>
      <w:r>
        <w:rPr>
          <w:sz w:val="20"/>
        </w:rPr>
        <w:t xml:space="preserve">- введен (с 1 января 2023 года) контроль за рациональным использованием бюджетных средств при планировании и исполнении бюджетных расходов, связанных с осуществлением закупок (анализ структуры и экономическое обоснование затрат государственных контрактов);</w:t>
      </w:r>
    </w:p>
    <w:p>
      <w:pPr>
        <w:pStyle w:val="0"/>
        <w:spacing w:before="200" w:line-rule="auto"/>
        <w:ind w:firstLine="540"/>
        <w:jc w:val="both"/>
      </w:pPr>
      <w:r>
        <w:rPr>
          <w:sz w:val="20"/>
        </w:rPr>
        <w:t xml:space="preserve">- внедрен новый механизм контроля за использованием бюджетных средств - казначейско-банковское сопровождение (осуществление банковского сопровождения контрактов, подлежащих казначейскому сопровождению, по отдельному решению Правительства РФ);</w:t>
      </w:r>
    </w:p>
    <w:p>
      <w:pPr>
        <w:pStyle w:val="0"/>
        <w:spacing w:before="200" w:line-rule="auto"/>
        <w:ind w:firstLine="540"/>
        <w:jc w:val="both"/>
      </w:pPr>
      <w:r>
        <w:rPr>
          <w:sz w:val="20"/>
        </w:rPr>
        <w:t xml:space="preserve">- реализована возможность формирования денежного обязательства в единой информационной системе в сфере закупок (при размещении в ЕИС документа о приемке товаров, работ, услуг по соответствующему контракту формируются сведения о денежном обязательстве, которые позволяют получателям средств автоматически сформировать соответствующее распоряжение о совершении казначейского платежа для оплаты).</w:t>
      </w:r>
    </w:p>
    <w:p>
      <w:pPr>
        <w:pStyle w:val="0"/>
        <w:jc w:val="both"/>
      </w:pPr>
      <w:r>
        <w:rPr>
          <w:sz w:val="20"/>
        </w:rPr>
      </w:r>
    </w:p>
    <w:p>
      <w:pPr>
        <w:pStyle w:val="2"/>
        <w:outlineLvl w:val="3"/>
        <w:ind w:firstLine="540"/>
        <w:jc w:val="both"/>
      </w:pPr>
      <w:r>
        <w:rPr>
          <w:sz w:val="20"/>
        </w:rPr>
        <w:t xml:space="preserve">Современные технологии планирования и исполнения бюджета</w:t>
      </w:r>
    </w:p>
    <w:p>
      <w:pPr>
        <w:pStyle w:val="0"/>
        <w:spacing w:before="200" w:line-rule="auto"/>
        <w:ind w:firstLine="540"/>
        <w:jc w:val="both"/>
      </w:pPr>
      <w:r>
        <w:rPr>
          <w:sz w:val="20"/>
        </w:rPr>
        <w:t xml:space="preserve">Продолжена работа по совершенствованию системы планирования и исполнения бюджета, управления бюджетными рисками:</w:t>
      </w:r>
    </w:p>
    <w:p>
      <w:pPr>
        <w:pStyle w:val="0"/>
        <w:spacing w:before="200" w:line-rule="auto"/>
        <w:ind w:firstLine="540"/>
        <w:jc w:val="both"/>
      </w:pPr>
      <w:r>
        <w:rPr>
          <w:sz w:val="20"/>
        </w:rPr>
        <w:t xml:space="preserve">- внесены изменения в Правила составления проекта федерального бюджета: базовые ассигнования второго года планового периода определяются на основе данных бюджетного прогноза;</w:t>
      </w:r>
    </w:p>
    <w:p>
      <w:pPr>
        <w:pStyle w:val="0"/>
        <w:spacing w:before="200" w:line-rule="auto"/>
        <w:ind w:firstLine="540"/>
        <w:jc w:val="both"/>
      </w:pPr>
      <w:r>
        <w:rPr>
          <w:sz w:val="20"/>
        </w:rPr>
        <w:t xml:space="preserve">- внедрен новый инструмент долгосрочного планирования расходов государственных программ Российской Федерации - перспективный финансовый план;</w:t>
      </w:r>
    </w:p>
    <w:p>
      <w:pPr>
        <w:pStyle w:val="0"/>
        <w:spacing w:before="200" w:line-rule="auto"/>
        <w:ind w:firstLine="540"/>
        <w:jc w:val="both"/>
      </w:pPr>
      <w:r>
        <w:rPr>
          <w:sz w:val="20"/>
        </w:rPr>
        <w:t xml:space="preserve">- в целях оценки влияния решений в рамках текущего бюджетного цикла на долгосрочную устойчивость бюджета внедрены обоснования бюджетных ассигнований на долгосрочный период;</w:t>
      </w:r>
    </w:p>
    <w:p>
      <w:pPr>
        <w:pStyle w:val="0"/>
        <w:spacing w:before="200" w:line-rule="auto"/>
        <w:ind w:firstLine="540"/>
        <w:jc w:val="both"/>
      </w:pPr>
      <w:r>
        <w:rPr>
          <w:sz w:val="20"/>
        </w:rPr>
        <w:t xml:space="preserve">- проведена работа по оптимизации и ускорению процедур исполнения федерального бюджета по расходам:</w:t>
      </w:r>
    </w:p>
    <w:p>
      <w:pPr>
        <w:pStyle w:val="0"/>
        <w:spacing w:before="200" w:line-rule="auto"/>
        <w:ind w:firstLine="540"/>
        <w:jc w:val="both"/>
      </w:pPr>
      <w:r>
        <w:rPr>
          <w:sz w:val="20"/>
        </w:rPr>
        <w:t xml:space="preserve">- сокращен предельный срок доведения ГРБС лимитов до получателей при реализации специального инфраструктурного проекта (с 10 до 5 рабочих дней);</w:t>
      </w:r>
    </w:p>
    <w:p>
      <w:pPr>
        <w:pStyle w:val="0"/>
        <w:spacing w:before="200" w:line-rule="auto"/>
        <w:ind w:firstLine="540"/>
        <w:jc w:val="both"/>
      </w:pPr>
      <w:r>
        <w:rPr>
          <w:sz w:val="20"/>
        </w:rPr>
        <w:t xml:space="preserve">- сокращены сроки принятия решения об осуществлении капитальных вложений, утверждения проектной документации (до 1 марта), детализации мероприятий об осуществлении капитальных вложений до объектов государственной собственности (до 1 апреля), принятия бюджетных обязательств и завершения расчетов по контрактам (до 1 июня), заключения соглашений о предоставлении субсидий юридическим лицам (до 1 марта - по результатам проведения конкурса, 20 рабочих дней - после определения победителя по результатам иного отбора);</w:t>
      </w:r>
    </w:p>
    <w:p>
      <w:pPr>
        <w:pStyle w:val="0"/>
        <w:spacing w:before="200" w:line-rule="auto"/>
        <w:ind w:firstLine="540"/>
        <w:jc w:val="both"/>
      </w:pPr>
      <w:r>
        <w:rPr>
          <w:sz w:val="20"/>
        </w:rPr>
        <w:t xml:space="preserve">Продолжена работа по совершенствованию системы обоснований бюджетных ассигнований (ОБАС):</w:t>
      </w:r>
    </w:p>
    <w:p>
      <w:pPr>
        <w:pStyle w:val="0"/>
        <w:spacing w:before="200" w:line-rule="auto"/>
        <w:ind w:firstLine="540"/>
        <w:jc w:val="both"/>
      </w:pPr>
      <w:r>
        <w:rPr>
          <w:sz w:val="20"/>
        </w:rPr>
        <w:t xml:space="preserve">- внедрены новые подходы к обоснованиям расходов на предоставление субсидий государственным корпорациям (публично-правовым компаниям) и единой субсидии субъектам РФ, устанавливающие взаимосвязь между результатами предоставления субсидий и объемом бюджетных ассигнований на их достижение;</w:t>
      </w:r>
    </w:p>
    <w:p>
      <w:pPr>
        <w:pStyle w:val="0"/>
        <w:spacing w:before="200" w:line-rule="auto"/>
        <w:ind w:firstLine="540"/>
        <w:jc w:val="both"/>
      </w:pPr>
      <w:r>
        <w:rPr>
          <w:sz w:val="20"/>
        </w:rPr>
        <w:t xml:space="preserve">- обеспечено обоснование расходов на закупку коммунальных услуг и оплату взносов на капитальный ремонт на основе расчета бюджетных ассигнований исходя из объемов и стоимости потребляемых услуг.</w:t>
      </w:r>
    </w:p>
    <w:p>
      <w:pPr>
        <w:pStyle w:val="0"/>
        <w:spacing w:before="200" w:line-rule="auto"/>
        <w:ind w:firstLine="540"/>
        <w:jc w:val="both"/>
      </w:pPr>
      <w:r>
        <w:rPr>
          <w:sz w:val="20"/>
        </w:rPr>
        <w:t xml:space="preserve">В целях развития системы оказания государственной поддержки производителям товаров, работ услуг:</w:t>
      </w:r>
    </w:p>
    <w:p>
      <w:pPr>
        <w:pStyle w:val="0"/>
        <w:spacing w:before="200" w:line-rule="auto"/>
        <w:ind w:firstLine="540"/>
        <w:jc w:val="both"/>
      </w:pPr>
      <w:r>
        <w:rPr>
          <w:sz w:val="20"/>
        </w:rPr>
        <w:t xml:space="preserve">- в Бюджетный </w:t>
      </w:r>
      <w:hyperlink w:history="0" r:id="rId15"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кодекс</w:t>
        </w:r>
      </w:hyperlink>
      <w:r>
        <w:rPr>
          <w:sz w:val="20"/>
        </w:rPr>
        <w:t xml:space="preserve"> внесены изменения, обеспечивающие унификацию и стандартизацию процесса предоставления субсидий юридическим лицам, индивидуальным предпринимателям, физическим лицам - производителям товаров, работ, услуг. Следующим этапом стало установление Единой типовой формы предоставления из федерального бюджета субсидий (в том числе грантов) юридическим лицами, ИП, физическим лицам;</w:t>
      </w:r>
    </w:p>
    <w:p>
      <w:pPr>
        <w:pStyle w:val="0"/>
        <w:spacing w:before="200" w:line-rule="auto"/>
        <w:ind w:firstLine="540"/>
        <w:jc w:val="both"/>
      </w:pPr>
      <w:r>
        <w:rPr>
          <w:sz w:val="20"/>
        </w:rPr>
        <w:t xml:space="preserve">- на базе ГИИС "Электронный бюджет" внедрен мониторинг достижения результатов предоставления субсидий за счет бюджетных средств.</w:t>
      </w:r>
    </w:p>
    <w:p>
      <w:pPr>
        <w:pStyle w:val="0"/>
        <w:spacing w:before="200" w:line-rule="auto"/>
        <w:ind w:firstLine="540"/>
        <w:jc w:val="both"/>
      </w:pPr>
      <w:r>
        <w:rPr>
          <w:sz w:val="20"/>
        </w:rPr>
        <w:t xml:space="preserve">- упрощены условия предоставления субсидий юридическим лицам, предусматривающие возможность продления сроков достижения результатов, неприменение штрафных санкций.</w:t>
      </w:r>
    </w:p>
    <w:p>
      <w:pPr>
        <w:pStyle w:val="0"/>
        <w:jc w:val="both"/>
      </w:pPr>
      <w:r>
        <w:rPr>
          <w:sz w:val="20"/>
        </w:rPr>
      </w:r>
    </w:p>
    <w:p>
      <w:pPr>
        <w:pStyle w:val="2"/>
        <w:outlineLvl w:val="3"/>
        <w:ind w:firstLine="540"/>
        <w:jc w:val="both"/>
      </w:pPr>
      <w:r>
        <w:rPr>
          <w:sz w:val="20"/>
        </w:rPr>
        <w:t xml:space="preserve">Повышение эффективности использования бюджетных средств на финансовое обеспечение оказания бюджетных услуг</w:t>
      </w:r>
    </w:p>
    <w:p>
      <w:pPr>
        <w:pStyle w:val="0"/>
        <w:spacing w:before="200" w:line-rule="auto"/>
        <w:ind w:firstLine="540"/>
        <w:jc w:val="both"/>
      </w:pPr>
      <w:r>
        <w:rPr>
          <w:sz w:val="20"/>
        </w:rPr>
        <w:t xml:space="preserve">В целях развития системы государственного социального заказа:</w:t>
      </w:r>
    </w:p>
    <w:p>
      <w:pPr>
        <w:pStyle w:val="0"/>
        <w:spacing w:before="200" w:line-rule="auto"/>
        <w:ind w:firstLine="540"/>
        <w:jc w:val="both"/>
      </w:pPr>
      <w:r>
        <w:rPr>
          <w:sz w:val="20"/>
        </w:rPr>
        <w:t xml:space="preserve">- приняты законодательные нормы, предусматривающие расширение перечня направлений, в отношении которых формируется социальный заказ, обеспечение единых стабильных правил предоставления бюджетного финансирования на основе социального заказа.</w:t>
      </w:r>
    </w:p>
    <w:p>
      <w:pPr>
        <w:pStyle w:val="0"/>
        <w:spacing w:before="200" w:line-rule="auto"/>
        <w:ind w:firstLine="540"/>
        <w:jc w:val="both"/>
      </w:pPr>
      <w:r>
        <w:rPr>
          <w:sz w:val="20"/>
        </w:rPr>
        <w:t xml:space="preserve">- создано информационное обеспечение исполнения государственного (муниципального) социального заказа в рамках ГИИС "Электронный бюджет" в том числе с использованием Портала предоставления мер финансовой государственной поддержки (https://promote.budqet.qov.ru/), включающее проведение конкурсов на заключение соглашений, формирование и ведение реестра участников, заключение соглашений о финансовом обеспечении;</w:t>
      </w:r>
    </w:p>
    <w:p>
      <w:pPr>
        <w:pStyle w:val="0"/>
        <w:spacing w:before="200" w:line-rule="auto"/>
        <w:ind w:firstLine="540"/>
        <w:jc w:val="both"/>
      </w:pPr>
      <w:r>
        <w:rPr>
          <w:sz w:val="20"/>
        </w:rPr>
        <w:t xml:space="preserve">- запущен проект использования механизма государственно-частного партнерства (ГЧП) при реализации социального заказа.</w:t>
      </w:r>
    </w:p>
    <w:p>
      <w:pPr>
        <w:pStyle w:val="0"/>
        <w:jc w:val="both"/>
      </w:pPr>
      <w:r>
        <w:rPr>
          <w:sz w:val="20"/>
        </w:rPr>
      </w:r>
    </w:p>
    <w:p>
      <w:pPr>
        <w:pStyle w:val="2"/>
        <w:outlineLvl w:val="3"/>
        <w:ind w:firstLine="540"/>
        <w:jc w:val="both"/>
      </w:pPr>
      <w:r>
        <w:rPr>
          <w:sz w:val="20"/>
        </w:rPr>
        <w:t xml:space="preserve">Централизация обеспечивающих функций государственных органов</w:t>
      </w:r>
    </w:p>
    <w:p>
      <w:pPr>
        <w:pStyle w:val="0"/>
        <w:spacing w:before="200" w:line-rule="auto"/>
        <w:ind w:firstLine="540"/>
        <w:jc w:val="both"/>
      </w:pPr>
      <w:r>
        <w:rPr>
          <w:sz w:val="20"/>
        </w:rPr>
        <w:t xml:space="preserve">В 2022 - 2023 гг. централизованы отдельные обеспечивающие полномочия федеральных органов исполнительной власти в сфере ведения бухгалтерского учета и предоставления отчетности, начисления и выплаты заработной платы, закупочной деятельности.</w:t>
      </w:r>
    </w:p>
    <w:p>
      <w:pPr>
        <w:pStyle w:val="0"/>
        <w:jc w:val="both"/>
      </w:pPr>
      <w:r>
        <w:rPr>
          <w:sz w:val="20"/>
        </w:rPr>
      </w:r>
    </w:p>
    <w:p>
      <w:pPr>
        <w:pStyle w:val="2"/>
        <w:outlineLvl w:val="3"/>
        <w:ind w:firstLine="540"/>
        <w:jc w:val="both"/>
      </w:pPr>
      <w:r>
        <w:rPr>
          <w:sz w:val="20"/>
        </w:rPr>
        <w:t xml:space="preserve">Повышение эффективности контроля за планированием расходов и результатами деятельности бюджетных учреждений</w:t>
      </w:r>
    </w:p>
    <w:p>
      <w:pPr>
        <w:pStyle w:val="0"/>
        <w:spacing w:before="200" w:line-rule="auto"/>
        <w:ind w:firstLine="540"/>
        <w:jc w:val="both"/>
      </w:pPr>
      <w:r>
        <w:rPr>
          <w:sz w:val="20"/>
        </w:rPr>
        <w:t xml:space="preserve">В 2022 - 2023 гг. в рамках работы по повышению эффективности контроля за планированием расходов государственных и муниципальных учреждений:</w:t>
      </w:r>
    </w:p>
    <w:p>
      <w:pPr>
        <w:pStyle w:val="0"/>
        <w:spacing w:before="200" w:line-rule="auto"/>
        <w:ind w:firstLine="540"/>
        <w:jc w:val="both"/>
      </w:pPr>
      <w:r>
        <w:rPr>
          <w:sz w:val="20"/>
        </w:rPr>
        <w:t xml:space="preserve">- начиная с 2022 года отчеты о деятельности федеральных учреждений представляются в форме электронных документов в ГИИС "Электронный бюджет";</w:t>
      </w:r>
    </w:p>
    <w:p>
      <w:pPr>
        <w:pStyle w:val="0"/>
        <w:spacing w:before="200" w:line-rule="auto"/>
        <w:ind w:firstLine="540"/>
        <w:jc w:val="both"/>
      </w:pPr>
      <w:r>
        <w:rPr>
          <w:sz w:val="20"/>
        </w:rPr>
        <w:t xml:space="preserve">- разработаны подходы к проведению анализа государственных услуг и работ, а также оценки сети бюджетных и автономных учреждений;</w:t>
      </w:r>
    </w:p>
    <w:p>
      <w:pPr>
        <w:pStyle w:val="0"/>
        <w:jc w:val="both"/>
      </w:pPr>
      <w:r>
        <w:rPr>
          <w:sz w:val="20"/>
        </w:rPr>
      </w:r>
    </w:p>
    <w:p>
      <w:pPr>
        <w:pStyle w:val="2"/>
        <w:outlineLvl w:val="3"/>
        <w:ind w:firstLine="540"/>
        <w:jc w:val="both"/>
      </w:pPr>
      <w:r>
        <w:rPr>
          <w:sz w:val="20"/>
        </w:rPr>
        <w:t xml:space="preserve">Повышение эффективности внутреннего государственного (муниципального) финансового контроля</w:t>
      </w:r>
    </w:p>
    <w:p>
      <w:pPr>
        <w:pStyle w:val="0"/>
        <w:spacing w:before="200" w:line-rule="auto"/>
        <w:ind w:firstLine="540"/>
        <w:jc w:val="both"/>
      </w:pPr>
      <w:r>
        <w:rPr>
          <w:sz w:val="20"/>
        </w:rPr>
        <w:t xml:space="preserve">В 2022 - 2023 гг. в рамках работы по повышению эффективности внутреннего государственного (муниципального) финансового контроля:</w:t>
      </w:r>
    </w:p>
    <w:p>
      <w:pPr>
        <w:pStyle w:val="0"/>
        <w:spacing w:before="200" w:line-rule="auto"/>
        <w:ind w:firstLine="540"/>
        <w:jc w:val="both"/>
      </w:pPr>
      <w:r>
        <w:rPr>
          <w:sz w:val="20"/>
        </w:rPr>
        <w:t xml:space="preserve">- определены приоритетные направления развития цифровизации внутреннего государственного (муниципального) финансового контроля;</w:t>
      </w:r>
    </w:p>
    <w:p>
      <w:pPr>
        <w:pStyle w:val="0"/>
        <w:spacing w:before="200" w:line-rule="auto"/>
        <w:ind w:firstLine="540"/>
        <w:jc w:val="both"/>
      </w:pPr>
      <w:r>
        <w:rPr>
          <w:sz w:val="20"/>
        </w:rPr>
        <w:t xml:space="preserve">- в полномочия Федерального казначейства включены контроль (анализ) операций госкорпораций, публично-правовых компаний и хозяйственных обществ, в уставном капитале которых доля Российской Федерации превышает 50%;</w:t>
      </w:r>
    </w:p>
    <w:p>
      <w:pPr>
        <w:pStyle w:val="0"/>
        <w:spacing w:before="200" w:line-rule="auto"/>
        <w:ind w:firstLine="540"/>
        <w:jc w:val="both"/>
      </w:pPr>
      <w:r>
        <w:rPr>
          <w:sz w:val="20"/>
        </w:rPr>
        <w:t xml:space="preserve">- разработаны и введены в опытную эксплуатацию компоненты подсистемы финансового контроля в ГИИС "Электронный бюджет".</w:t>
      </w:r>
    </w:p>
    <w:p>
      <w:pPr>
        <w:pStyle w:val="0"/>
        <w:jc w:val="both"/>
      </w:pPr>
      <w:r>
        <w:rPr>
          <w:sz w:val="20"/>
        </w:rPr>
      </w:r>
    </w:p>
    <w:p>
      <w:pPr>
        <w:pStyle w:val="2"/>
        <w:outlineLvl w:val="3"/>
        <w:ind w:firstLine="540"/>
        <w:jc w:val="both"/>
      </w:pPr>
      <w:r>
        <w:rPr>
          <w:sz w:val="20"/>
        </w:rPr>
        <w:t xml:space="preserve">Открытость бюджета и инициативное бюджетирование</w:t>
      </w:r>
    </w:p>
    <w:p>
      <w:pPr>
        <w:pStyle w:val="0"/>
        <w:spacing w:before="200" w:line-rule="auto"/>
        <w:ind w:firstLine="540"/>
        <w:jc w:val="both"/>
      </w:pPr>
      <w:r>
        <w:rPr>
          <w:sz w:val="20"/>
        </w:rPr>
        <w:t xml:space="preserve">С целью повышения открытости бюджета и развития инструмента инициативного бюджетирования:</w:t>
      </w:r>
    </w:p>
    <w:p>
      <w:pPr>
        <w:pStyle w:val="0"/>
        <w:spacing w:before="200" w:line-rule="auto"/>
        <w:ind w:firstLine="540"/>
        <w:jc w:val="both"/>
      </w:pPr>
      <w:r>
        <w:rPr>
          <w:sz w:val="20"/>
        </w:rPr>
        <w:t xml:space="preserve">- созданы инструменты повышения уровня финансовой и бюджетной грамотности населения посредством реализации практик инициативного бюджетирования (утверждена "Концепция повышения финансовой и бюджетной грамотности населения посредством реализации практик инициативного бюджетирования");</w:t>
      </w:r>
    </w:p>
    <w:p>
      <w:pPr>
        <w:pStyle w:val="0"/>
        <w:spacing w:before="200" w:line-rule="auto"/>
        <w:ind w:firstLine="540"/>
        <w:jc w:val="both"/>
      </w:pPr>
      <w:r>
        <w:rPr>
          <w:sz w:val="20"/>
        </w:rPr>
        <w:t xml:space="preserve">- обеспечена поддержка развития и осуществлено тиражирование практик школьного инициативного бюджетирования (в мероприятиях приняло участие порядка 4 тысяч представителей);</w:t>
      </w:r>
    </w:p>
    <w:p>
      <w:pPr>
        <w:pStyle w:val="0"/>
        <w:spacing w:before="200" w:line-rule="auto"/>
        <w:ind w:firstLine="540"/>
        <w:jc w:val="both"/>
      </w:pPr>
      <w:r>
        <w:rPr>
          <w:sz w:val="20"/>
        </w:rPr>
        <w:t xml:space="preserve">- реализовано более 29 тысяч проектных идей граждан общей стоимостью 44,5 млрд руб. в рамках существующих в 76 субъектах Российской Федерации практик инициативного бюджетирования</w:t>
      </w:r>
    </w:p>
    <w:p>
      <w:pPr>
        <w:pStyle w:val="0"/>
        <w:jc w:val="both"/>
      </w:pPr>
      <w:r>
        <w:rPr>
          <w:sz w:val="20"/>
        </w:rPr>
      </w:r>
    </w:p>
    <w:p>
      <w:pPr>
        <w:pStyle w:val="2"/>
        <w:outlineLvl w:val="3"/>
        <w:ind w:firstLine="540"/>
        <w:jc w:val="both"/>
      </w:pPr>
      <w:r>
        <w:rPr>
          <w:sz w:val="20"/>
        </w:rPr>
        <w:t xml:space="preserve">Совершенствование управления государственным имуществом и компаниями с государственным участием</w:t>
      </w:r>
    </w:p>
    <w:p>
      <w:pPr>
        <w:pStyle w:val="0"/>
        <w:spacing w:before="200" w:line-rule="auto"/>
        <w:ind w:firstLine="540"/>
        <w:jc w:val="both"/>
      </w:pPr>
      <w:r>
        <w:rPr>
          <w:sz w:val="20"/>
        </w:rPr>
        <w:t xml:space="preserve">В целях максимизации доходов от использования федерального имущества:</w:t>
      </w:r>
    </w:p>
    <w:p>
      <w:pPr>
        <w:pStyle w:val="0"/>
        <w:spacing w:before="200" w:line-rule="auto"/>
        <w:ind w:firstLine="540"/>
        <w:jc w:val="both"/>
      </w:pPr>
      <w:r>
        <w:rPr>
          <w:sz w:val="20"/>
        </w:rPr>
        <w:t xml:space="preserve">- реализован новый порядок расчета дивидендов по акциям акционерных обществ с госучастием, обеспечено направление на выплату дивидендов по итогам 2021 года не менее 50% их прибыли;</w:t>
      </w:r>
    </w:p>
    <w:p>
      <w:pPr>
        <w:pStyle w:val="0"/>
        <w:spacing w:before="200" w:line-rule="auto"/>
        <w:ind w:firstLine="540"/>
        <w:jc w:val="both"/>
      </w:pPr>
      <w:r>
        <w:rPr>
          <w:sz w:val="20"/>
        </w:rPr>
        <w:t xml:space="preserve">- изменен порядок расчета чистой прибыли ФГУП, направляемой в бюджет (перечислению бюджет подлежит не менее 50% скорректированной с учетом неденежных операций чистой прибыли ФГУП);</w:t>
      </w:r>
    </w:p>
    <w:p>
      <w:pPr>
        <w:pStyle w:val="0"/>
        <w:spacing w:before="200" w:line-rule="auto"/>
        <w:ind w:firstLine="540"/>
        <w:jc w:val="both"/>
      </w:pPr>
      <w:r>
        <w:rPr>
          <w:sz w:val="20"/>
        </w:rPr>
        <w:t xml:space="preserve">- повышена эффективность работы с непрофильными активами акционерных обществ с госучастием, суммарная выручка от их реализации выросла на 31%.</w:t>
      </w:r>
    </w:p>
    <w:p>
      <w:pPr>
        <w:pStyle w:val="0"/>
        <w:spacing w:before="200" w:line-rule="auto"/>
        <w:ind w:firstLine="540"/>
        <w:jc w:val="both"/>
      </w:pPr>
      <w:r>
        <w:rPr>
          <w:sz w:val="20"/>
        </w:rPr>
        <w:t xml:space="preserve">В целях сокращения операционных издержек и повышения операционной гибкости госкомпаний:</w:t>
      </w:r>
    </w:p>
    <w:p>
      <w:pPr>
        <w:pStyle w:val="0"/>
        <w:spacing w:before="200" w:line-rule="auto"/>
        <w:ind w:firstLine="540"/>
        <w:jc w:val="both"/>
      </w:pPr>
      <w:r>
        <w:rPr>
          <w:sz w:val="20"/>
        </w:rPr>
        <w:t xml:space="preserve">- реализован I этап "директивной гильотины", предусматривающий ревизию директив 2013 - 2018 гг., по результатам которого отменена 21 директива из 37;</w:t>
      </w:r>
    </w:p>
    <w:p>
      <w:pPr>
        <w:pStyle w:val="0"/>
        <w:spacing w:before="200" w:line-rule="auto"/>
        <w:ind w:firstLine="540"/>
        <w:jc w:val="both"/>
      </w:pPr>
      <w:r>
        <w:rPr>
          <w:sz w:val="20"/>
        </w:rPr>
        <w:t xml:space="preserve">- внедрена единая система оплаты труда руководи гелей крупнейших организаций с госучастием (существенная доля их вознаграждения (от 30% до 50%) отнесена к стимулирующей части, увязанной с достижением ключевых показателей эффективности).</w:t>
      </w:r>
    </w:p>
    <w:p>
      <w:pPr>
        <w:pStyle w:val="0"/>
        <w:spacing w:before="200" w:line-rule="auto"/>
        <w:ind w:firstLine="540"/>
        <w:jc w:val="both"/>
      </w:pPr>
      <w:r>
        <w:rPr>
          <w:sz w:val="20"/>
        </w:rPr>
        <w:t xml:space="preserve">В рамках обеспечения цифровой трансформации управления государственным и муниципальным имуществом в 2022 - 2023 годы:</w:t>
      </w:r>
    </w:p>
    <w:p>
      <w:pPr>
        <w:pStyle w:val="0"/>
        <w:spacing w:before="200" w:line-rule="auto"/>
        <w:ind w:firstLine="540"/>
        <w:jc w:val="both"/>
      </w:pPr>
      <w:r>
        <w:rPr>
          <w:sz w:val="20"/>
        </w:rPr>
        <w:t xml:space="preserve">- созданы на единой цифровой платформе "ГосТех" маркетплейс объектов государственной казны, а также публичный сервис распоряжения имуществом государственной казны "Федеральное имущество онлайн";</w:t>
      </w:r>
    </w:p>
    <w:p>
      <w:pPr>
        <w:pStyle w:val="0"/>
        <w:spacing w:before="200" w:line-rule="auto"/>
        <w:ind w:firstLine="540"/>
        <w:jc w:val="both"/>
      </w:pPr>
      <w:r>
        <w:rPr>
          <w:sz w:val="20"/>
        </w:rPr>
        <w:t xml:space="preserve">- введена в промышленную эксплуатацию модернизированная платформа ГИС "Торги" (</w:t>
      </w:r>
      <w:hyperlink w:history="0" r:id="rId16">
        <w:r>
          <w:rPr>
            <w:sz w:val="20"/>
            <w:color w:val="0000ff"/>
          </w:rPr>
          <w:t xml:space="preserve">www.torgi.gov.ru</w:t>
        </w:r>
      </w:hyperlink>
      <w:r>
        <w:rPr>
          <w:sz w:val="20"/>
        </w:rPr>
        <w:t xml:space="preserve">) для размещения информации о проведении торгов государственным и муниципальным имуществом;</w:t>
      </w:r>
    </w:p>
    <w:p>
      <w:pPr>
        <w:pStyle w:val="0"/>
        <w:spacing w:before="200" w:line-rule="auto"/>
        <w:ind w:firstLine="540"/>
        <w:jc w:val="both"/>
      </w:pPr>
      <w:r>
        <w:rPr>
          <w:sz w:val="20"/>
        </w:rPr>
        <w:t xml:space="preserve">- введен в эксплуатацию новый функционал ГИАС "Единая система управления государственным имуществом" в целях синхронизации ведения реестра федерального имущества и его бюджетного учета.</w:t>
      </w:r>
    </w:p>
    <w:p>
      <w:pPr>
        <w:pStyle w:val="0"/>
        <w:jc w:val="both"/>
      </w:pPr>
      <w:r>
        <w:rPr>
          <w:sz w:val="20"/>
        </w:rPr>
      </w:r>
    </w:p>
    <w:p>
      <w:pPr>
        <w:pStyle w:val="2"/>
        <w:outlineLvl w:val="3"/>
        <w:ind w:firstLine="540"/>
        <w:jc w:val="both"/>
      </w:pPr>
      <w:r>
        <w:rPr>
          <w:sz w:val="20"/>
        </w:rPr>
        <w:t xml:space="preserve">Совершенствование администрирования доходов</w:t>
      </w:r>
    </w:p>
    <w:p>
      <w:pPr>
        <w:pStyle w:val="0"/>
        <w:spacing w:before="200" w:line-rule="auto"/>
        <w:ind w:firstLine="540"/>
        <w:jc w:val="both"/>
      </w:pPr>
      <w:r>
        <w:rPr>
          <w:sz w:val="20"/>
        </w:rPr>
        <w:t xml:space="preserve">В целях повышения эффективности управления доходами бюджетов бюджетной системы был реализован ряд мер по совершенствованию реестровой системы электронного администрирования доходов:</w:t>
      </w:r>
    </w:p>
    <w:p>
      <w:pPr>
        <w:pStyle w:val="0"/>
        <w:spacing w:before="200" w:line-rule="auto"/>
        <w:ind w:firstLine="540"/>
        <w:jc w:val="both"/>
      </w:pPr>
      <w:r>
        <w:rPr>
          <w:sz w:val="20"/>
        </w:rPr>
        <w:t xml:space="preserve">- создана система мониторинга реализованных и планируемых решений в области нормативного регулирования, оказывающих влияние на доходы бюджетов;</w:t>
      </w:r>
    </w:p>
    <w:p>
      <w:pPr>
        <w:pStyle w:val="0"/>
        <w:spacing w:before="200" w:line-rule="auto"/>
        <w:ind w:firstLine="540"/>
        <w:jc w:val="both"/>
      </w:pPr>
      <w:r>
        <w:rPr>
          <w:sz w:val="20"/>
        </w:rPr>
        <w:t xml:space="preserve">- запущен проект создания единого информационного пространства администрирования и прогнозирования доходов бюджетов всех уровней и определены его долгосрочные приоритеты развития, автоматизирован обмен информацией с ключевыми главными администраторами доходов;</w:t>
      </w:r>
    </w:p>
    <w:p>
      <w:pPr>
        <w:pStyle w:val="0"/>
        <w:spacing w:before="200" w:line-rule="auto"/>
        <w:ind w:firstLine="540"/>
        <w:jc w:val="both"/>
      </w:pPr>
      <w:r>
        <w:rPr>
          <w:sz w:val="20"/>
        </w:rPr>
        <w:t xml:space="preserve">- запущен проект по созданию единого реестра должников по неналоговым доходам бюджетов для повышения эффективности работы с дебиторской задолженностью.</w:t>
      </w:r>
    </w:p>
    <w:p>
      <w:pPr>
        <w:pStyle w:val="0"/>
        <w:jc w:val="both"/>
      </w:pPr>
      <w:r>
        <w:rPr>
          <w:sz w:val="20"/>
        </w:rPr>
      </w:r>
    </w:p>
    <w:p>
      <w:pPr>
        <w:pStyle w:val="2"/>
        <w:outlineLvl w:val="3"/>
        <w:ind w:firstLine="540"/>
        <w:jc w:val="both"/>
      </w:pPr>
      <w:r>
        <w:rPr>
          <w:sz w:val="20"/>
        </w:rPr>
        <w:t xml:space="preserve">Повышение эффективности управления ликвидностью</w:t>
      </w:r>
    </w:p>
    <w:p>
      <w:pPr>
        <w:pStyle w:val="0"/>
        <w:spacing w:before="200" w:line-rule="auto"/>
        <w:ind w:firstLine="540"/>
        <w:jc w:val="both"/>
      </w:pPr>
      <w:r>
        <w:rPr>
          <w:sz w:val="20"/>
        </w:rPr>
        <w:t xml:space="preserve">В рамках работы по совершенствованию инструментов управления временно свободной ликвидностью:</w:t>
      </w:r>
    </w:p>
    <w:p>
      <w:pPr>
        <w:pStyle w:val="0"/>
        <w:spacing w:before="200" w:line-rule="auto"/>
        <w:ind w:firstLine="540"/>
        <w:jc w:val="both"/>
      </w:pPr>
      <w:r>
        <w:rPr>
          <w:sz w:val="20"/>
        </w:rPr>
        <w:t xml:space="preserve">- создан механизм по размещению остатков средств на длительные периоды с возможностью отзыва средств (размещение средств на банковских "пополняемых" депозитах);</w:t>
      </w:r>
    </w:p>
    <w:p>
      <w:pPr>
        <w:pStyle w:val="0"/>
        <w:spacing w:before="200" w:line-rule="auto"/>
        <w:ind w:firstLine="540"/>
        <w:jc w:val="both"/>
      </w:pPr>
      <w:r>
        <w:rPr>
          <w:sz w:val="20"/>
        </w:rPr>
        <w:t xml:space="preserve">- на регулярной основе запущены операции по размещению остатков средств на счетах "до востребования" на ночь;</w:t>
      </w:r>
    </w:p>
    <w:p>
      <w:pPr>
        <w:pStyle w:val="0"/>
        <w:spacing w:before="200" w:line-rule="auto"/>
        <w:ind w:firstLine="540"/>
        <w:jc w:val="both"/>
      </w:pPr>
      <w:r>
        <w:rPr>
          <w:sz w:val="20"/>
        </w:rPr>
        <w:t xml:space="preserve">- проведена первая операция по привлечению средств на организованном рынке по договорам РЕПО нового вида операций по управлению остатками средств ЕКС;</w:t>
      </w:r>
    </w:p>
    <w:p>
      <w:pPr>
        <w:pStyle w:val="0"/>
        <w:spacing w:before="200" w:line-rule="auto"/>
        <w:ind w:firstLine="540"/>
        <w:jc w:val="both"/>
      </w:pPr>
      <w:r>
        <w:rPr>
          <w:sz w:val="20"/>
        </w:rPr>
        <w:t xml:space="preserve">- расширена корзина обеспечения договоров биржевого РЕПО путем включения облигаций с ипотечным покрытием, обеспеченных поручительством акционерного общества "ДОМ.РФ", облигаций субъектов РФ.</w:t>
      </w:r>
    </w:p>
    <w:p>
      <w:pPr>
        <w:pStyle w:val="0"/>
        <w:spacing w:before="200" w:line-rule="auto"/>
        <w:ind w:firstLine="540"/>
        <w:jc w:val="both"/>
      </w:pPr>
      <w:r>
        <w:rPr>
          <w:sz w:val="20"/>
        </w:rPr>
        <w:t xml:space="preserve">В 2022 году были достигнуты рекордные показатели зачисления доходов в федеральный бюджет и бюджеты субъектов Российской Федерации от управления остатками средств ЕКС и единого счета федерального бюджета (общий объем доходов составил 541,7 млрд рублей (+220,5 млрд рублей г/г). Рост доходов федерального бюджета по отношению к 2021 году составил 1,3 раза, региональных бюджетов - 4,5 раза).</w:t>
      </w:r>
    </w:p>
    <w:p>
      <w:pPr>
        <w:pStyle w:val="0"/>
        <w:spacing w:before="200" w:line-rule="auto"/>
        <w:ind w:firstLine="540"/>
        <w:jc w:val="both"/>
      </w:pPr>
      <w:r>
        <w:rPr>
          <w:sz w:val="20"/>
        </w:rPr>
        <w:t xml:space="preserve">Увеличение в 2023 году средств под управлением Федерального казначейства позволило повысить объем размещаемых средств до 6,7 трлн рублей в среднем в январе - августе 2023 (+29,1% г/г).</w:t>
      </w:r>
    </w:p>
    <w:p>
      <w:pPr>
        <w:pStyle w:val="0"/>
        <w:jc w:val="both"/>
      </w:pPr>
      <w:r>
        <w:rPr>
          <w:sz w:val="20"/>
        </w:rPr>
      </w:r>
    </w:p>
    <w:p>
      <w:pPr>
        <w:pStyle w:val="0"/>
        <w:jc w:val="center"/>
      </w:pPr>
      <w:r>
        <w:rPr>
          <w:position w:val="-279"/>
        </w:rPr>
        <w:drawing>
          <wp:inline distT="0" distB="0" distL="0" distR="0">
            <wp:extent cx="5035550" cy="3672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5035550" cy="3672840"/>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1.4. РАЗВИТИЕ МЕЖБЮДЖЕТНЫХ ОТНОШЕНИЙ</w:t>
      </w:r>
    </w:p>
    <w:p>
      <w:pPr>
        <w:pStyle w:val="0"/>
        <w:jc w:val="both"/>
      </w:pPr>
      <w:r>
        <w:rPr>
          <w:sz w:val="20"/>
        </w:rPr>
      </w:r>
    </w:p>
    <w:p>
      <w:pPr>
        <w:pStyle w:val="0"/>
        <w:ind w:firstLine="540"/>
        <w:jc w:val="both"/>
      </w:pPr>
      <w:r>
        <w:rPr>
          <w:sz w:val="20"/>
        </w:rPr>
        <w:t xml:space="preserve">Укрепление финансовой обеспеченности субъектов Российской Федерации, создание механизмов ускоренного экономического развития, обеспечение сбалансированности региональных бюджетов остаются приоритетом бюджетной политики в сфере межбюджетных отношений. Обеспечены:</w:t>
      </w:r>
    </w:p>
    <w:p>
      <w:pPr>
        <w:pStyle w:val="0"/>
        <w:spacing w:before="200" w:line-rule="auto"/>
        <w:ind w:firstLine="540"/>
        <w:jc w:val="both"/>
      </w:pPr>
      <w:r>
        <w:rPr>
          <w:sz w:val="20"/>
        </w:rPr>
        <w:t xml:space="preserve">- обязательная индексация объема дотации на выравнивание бюджетной обеспеченности не ниже прогнозного уровня инфляции (в 2022 - 2023 годах индексация осуществлена опережающими темпами на 5,6% и 8,5% соответственно);</w:t>
      </w:r>
    </w:p>
    <w:p>
      <w:pPr>
        <w:pStyle w:val="0"/>
        <w:spacing w:before="200" w:line-rule="auto"/>
        <w:ind w:firstLine="540"/>
        <w:jc w:val="both"/>
      </w:pPr>
      <w:r>
        <w:rPr>
          <w:sz w:val="20"/>
        </w:rPr>
        <w:t xml:space="preserve">- совершенствование выравнивающего механизма оказания финансовой помощи регионам (предоставление компенсации при превышении критерия выравнивания; введен новый коэффициент, отражающий уровень социальной нагрузки на бюджеты; предусмотрен учет как районных коэффициентов заработной платы, так и сложившегося в регионах уровня доходов от трудовой деятельности);</w:t>
      </w:r>
    </w:p>
    <w:p>
      <w:pPr>
        <w:pStyle w:val="0"/>
        <w:spacing w:before="200" w:line-rule="auto"/>
        <w:ind w:firstLine="540"/>
        <w:jc w:val="both"/>
      </w:pPr>
      <w:r>
        <w:rPr>
          <w:sz w:val="20"/>
        </w:rPr>
        <w:t xml:space="preserve">- увеличение в 2023 году объема дотации на выравнивание бюджетной обеспеченности для субъектов РФ с высоким уровнем налоговых отчислений с территорий в федеральный бюджет (более 50% налоговых доходов), а также субъектов РФ низким уровнем социально-экономического развития не более чем на 30% от уровня 2022 года, для остальных субъектов РФ - не более 17%;</w:t>
      </w:r>
    </w:p>
    <w:p>
      <w:pPr>
        <w:pStyle w:val="0"/>
        <w:spacing w:before="200" w:line-rule="auto"/>
        <w:ind w:firstLine="540"/>
        <w:jc w:val="both"/>
      </w:pPr>
      <w:r>
        <w:rPr>
          <w:sz w:val="20"/>
        </w:rPr>
        <w:t xml:space="preserve">- сохранение источника дополнительной финансовой поддержки регионов - продлена до 2030 года централизация в федеральном бюджете 1 п.п. ставки налога на прибыль организаций, подлежащего зачислению в региональные бюджеты;</w:t>
      </w:r>
    </w:p>
    <w:p>
      <w:pPr>
        <w:pStyle w:val="0"/>
        <w:spacing w:before="200" w:line-rule="auto"/>
        <w:ind w:firstLine="540"/>
        <w:jc w:val="both"/>
      </w:pPr>
      <w:r>
        <w:rPr>
          <w:sz w:val="20"/>
        </w:rPr>
        <w:t xml:space="preserve">- установление особенностей зачисления налога на прибыль организаций от бывших участников КГН на переходный период 2023 - 2025 годов: (1) утверждены нормативы распределения таких поступлений и (2) предусмотрена возможность установления дифференцированных нормативов отчислений в местные бюджеты в целях адаптации регионов к изменениям в связи с отменой института КГН;</w:t>
      </w:r>
    </w:p>
    <w:p>
      <w:pPr>
        <w:pStyle w:val="0"/>
        <w:spacing w:before="200" w:line-rule="auto"/>
        <w:ind w:firstLine="540"/>
        <w:jc w:val="both"/>
      </w:pPr>
      <w:r>
        <w:rPr>
          <w:sz w:val="20"/>
        </w:rPr>
        <w:t xml:space="preserve">- реализация индивидуальных программ социально-экономического развития регионов с низким уровнем социально-экономического развития, направленных на повышение их экономического потенциала;</w:t>
      </w:r>
    </w:p>
    <w:p>
      <w:pPr>
        <w:pStyle w:val="0"/>
        <w:spacing w:before="200" w:line-rule="auto"/>
        <w:ind w:firstLine="540"/>
        <w:jc w:val="both"/>
      </w:pPr>
      <w:r>
        <w:rPr>
          <w:sz w:val="20"/>
        </w:rPr>
        <w:t xml:space="preserve">- реализация стратегической инициативы "Инфраструктурное меню", позволяющая направить в регионы преимущественно возвратные средства на реализацию экономически эффективных и социально значимых задач (в 2022 году бюджетные кредиты на инфраструктурные проекты перечислены в размере 250 млрд рублей 78 регионам);</w:t>
      </w:r>
    </w:p>
    <w:p>
      <w:pPr>
        <w:pStyle w:val="0"/>
        <w:spacing w:before="200" w:line-rule="auto"/>
        <w:ind w:firstLine="540"/>
        <w:jc w:val="both"/>
      </w:pPr>
      <w:r>
        <w:rPr>
          <w:sz w:val="20"/>
        </w:rPr>
        <w:t xml:space="preserve">- дополнительное предоставление в 2023 году бюджетам субъектов РФ специальных казначейских кредитов в общем объеме до 190 млрд рублей в целях реализации инфраструктурных мероприятий;</w:t>
      </w:r>
    </w:p>
    <w:p>
      <w:pPr>
        <w:pStyle w:val="0"/>
        <w:spacing w:before="200" w:line-rule="auto"/>
        <w:ind w:firstLine="540"/>
        <w:jc w:val="both"/>
      </w:pPr>
      <w:r>
        <w:rPr>
          <w:sz w:val="20"/>
        </w:rPr>
        <w:t xml:space="preserve">- предоставление в 2023 году бюджетных кредитов на опережающее финансирование расходных обязательств субъектов РФ для достижения национальных целей развития, целей, показателей и результатов национальных проектов и государственных программ Российской Федерации в объеме до 180 млрд рублей.</w:t>
      </w:r>
    </w:p>
    <w:p>
      <w:pPr>
        <w:pStyle w:val="0"/>
        <w:spacing w:before="200" w:line-rule="auto"/>
        <w:ind w:firstLine="540"/>
        <w:jc w:val="both"/>
      </w:pPr>
      <w:r>
        <w:rPr>
          <w:sz w:val="20"/>
        </w:rPr>
        <w:t xml:space="preserve">Начиная с 2022 года развернута расширенная программа переселения граждан из аварийного жилья:</w:t>
      </w:r>
    </w:p>
    <w:p>
      <w:pPr>
        <w:pStyle w:val="0"/>
        <w:spacing w:before="200" w:line-rule="auto"/>
        <w:ind w:firstLine="540"/>
        <w:jc w:val="both"/>
      </w:pPr>
      <w:r>
        <w:rPr>
          <w:sz w:val="20"/>
        </w:rPr>
        <w:t xml:space="preserve">- завершается в ускоренном режиме расселение граждан из аварийного жилищного фонда, отнесенного к данной категории до 1 января 2017 года, за счет расширенного финансирования субъектами РФ;</w:t>
      </w:r>
    </w:p>
    <w:p>
      <w:pPr>
        <w:pStyle w:val="0"/>
        <w:spacing w:before="200" w:line-rule="auto"/>
        <w:ind w:firstLine="540"/>
        <w:jc w:val="both"/>
      </w:pPr>
      <w:r>
        <w:rPr>
          <w:sz w:val="20"/>
        </w:rPr>
        <w:t xml:space="preserve">- сформирована нормативная правовая база предоставления финансовой поддержки регионам (определение порядка предоставления публично-правовой компанией "Фонд развития территорий" финансовой поддержки регионам);</w:t>
      </w:r>
    </w:p>
    <w:p>
      <w:pPr>
        <w:pStyle w:val="0"/>
        <w:spacing w:before="200" w:line-rule="auto"/>
        <w:ind w:firstLine="540"/>
        <w:jc w:val="both"/>
      </w:pPr>
      <w:r>
        <w:rPr>
          <w:sz w:val="20"/>
        </w:rPr>
        <w:t xml:space="preserve">- предусмотрены условия софинансирования программ из федерального бюджета исходя из уровня расчетной бюджетной обеспеченности регионов;</w:t>
      </w:r>
    </w:p>
    <w:p>
      <w:pPr>
        <w:pStyle w:val="0"/>
        <w:spacing w:before="200" w:line-rule="auto"/>
        <w:ind w:firstLine="540"/>
        <w:jc w:val="both"/>
      </w:pPr>
      <w:r>
        <w:rPr>
          <w:sz w:val="20"/>
        </w:rPr>
        <w:t xml:space="preserve">- созданы дополнительные механизмы переселения граждан из аварийного жилья (строительство наемных домов, софинансирование договоров комплексного развития территорий жилой застройки, приведение в пригодное состояние жилых помещений).</w:t>
      </w:r>
    </w:p>
    <w:p>
      <w:pPr>
        <w:pStyle w:val="0"/>
        <w:spacing w:before="200" w:line-rule="auto"/>
        <w:ind w:firstLine="540"/>
        <w:jc w:val="both"/>
      </w:pPr>
      <w:r>
        <w:rPr>
          <w:sz w:val="20"/>
        </w:rPr>
        <w:t xml:space="preserve">С 2023 года в целях повышения качества и надежности предоставления коммунальных услуг стартовала новая программа модернизации коммунальной инфраструктуры, на реализацию которой в текущем году предусмотрены средства федерального бюджета в объеме 30 млрд рублей. Также за счет средств ФНБ в текущем году планируется предоставить публично-правовой компании "Фонд развития территорий" 113 млрд рублей на реализацию проектов по строительству, реконструкции и модернизации объектов инфраструктуры.</w:t>
      </w:r>
    </w:p>
    <w:p>
      <w:pPr>
        <w:pStyle w:val="0"/>
        <w:spacing w:before="200" w:line-rule="auto"/>
        <w:ind w:firstLine="540"/>
        <w:jc w:val="both"/>
      </w:pPr>
      <w:r>
        <w:rPr>
          <w:sz w:val="20"/>
        </w:rPr>
        <w:t xml:space="preserve">В целях стимулирования развития городских агломераций и поддержки долговой устойчивости регионов:</w:t>
      </w:r>
    </w:p>
    <w:p>
      <w:pPr>
        <w:pStyle w:val="0"/>
        <w:spacing w:before="200" w:line-rule="auto"/>
        <w:ind w:firstLine="540"/>
        <w:jc w:val="both"/>
      </w:pPr>
      <w:r>
        <w:rPr>
          <w:sz w:val="20"/>
        </w:rPr>
        <w:t xml:space="preserve">- установлены возможности заключения соглашений о межрегиональном и межмуниципальном сотрудничестве для совместного развития инфраструктуры, а также предоставления "горизонтальных" субсидий для реализации указанных соглашений;</w:t>
      </w:r>
    </w:p>
    <w:p>
      <w:pPr>
        <w:pStyle w:val="0"/>
        <w:spacing w:before="200" w:line-rule="auto"/>
        <w:ind w:firstLine="540"/>
        <w:jc w:val="both"/>
      </w:pPr>
      <w:r>
        <w:rPr>
          <w:sz w:val="20"/>
        </w:rPr>
        <w:t xml:space="preserve">- созданы финансовые стимулы - расширены права субъектов РФ по установлению дифференцированных нормативов отчислений от отдельных налогов и сборов в бюджеты муниципальных образований, заключивших соглашения о межмуниципальном сотрудничестве для совместного развития инфраструктуры;</w:t>
      </w:r>
    </w:p>
    <w:p>
      <w:pPr>
        <w:pStyle w:val="0"/>
        <w:spacing w:before="200" w:line-rule="auto"/>
        <w:ind w:firstLine="540"/>
        <w:jc w:val="both"/>
      </w:pPr>
      <w:r>
        <w:rPr>
          <w:sz w:val="20"/>
        </w:rPr>
        <w:t xml:space="preserve">- установлена возможность превышения предельных показателей государственного долга и дефицита бюджета субъекта Российской Федерации на сумму привлеченных и использованных бюджетных кредитов на финансовое обеспечение реализации инфраструктурных проектов (но не более ограничений, установленных Бюджетным </w:t>
      </w:r>
      <w:hyperlink w:history="0" r:id="rId18"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кодексом</w:t>
        </w:r>
      </w:hyperlink>
      <w:r>
        <w:rPr>
          <w:sz w:val="20"/>
        </w:rPr>
        <w:t xml:space="preserve"> РФ);</w:t>
      </w:r>
    </w:p>
    <w:p>
      <w:pPr>
        <w:pStyle w:val="0"/>
        <w:spacing w:before="200" w:line-rule="auto"/>
        <w:ind w:firstLine="540"/>
        <w:jc w:val="both"/>
      </w:pPr>
      <w:r>
        <w:rPr>
          <w:sz w:val="20"/>
        </w:rPr>
        <w:t xml:space="preserve">- реализовывается механизм направления в 2021 - 2024 годах средств, высвобождаемых в результате реструктуризации бюджетных кредитов (671,4 млрд рублей), ранее предоставленных регионам из федерального бюджета, на объекты инфраструктуры для реализации инвестиционных проектов, а также расширен механизм списания задолженности на бюджетные кредиты, предоставленные субъектам РФ в 2021 - 2022 гг. для погашения рыночных заимствований (в 2022 г. списана задолженность у 3 регионов в объеме 1,9 млрд рублей);</w:t>
      </w:r>
    </w:p>
    <w:p>
      <w:pPr>
        <w:pStyle w:val="0"/>
        <w:spacing w:before="200" w:line-rule="auto"/>
        <w:ind w:firstLine="540"/>
        <w:jc w:val="both"/>
      </w:pPr>
      <w:r>
        <w:rPr>
          <w:sz w:val="20"/>
        </w:rPr>
        <w:t xml:space="preserve">- для высокодотационных регионов расширен предел превышения государственного долга до 100% утвержденного объема налоговых и неналоговых доходов на сумму инфраструктурных бюджетных кредитов.</w:t>
      </w:r>
    </w:p>
    <w:p>
      <w:pPr>
        <w:pStyle w:val="0"/>
        <w:spacing w:before="200" w:line-rule="auto"/>
        <w:ind w:firstLine="540"/>
        <w:jc w:val="both"/>
      </w:pPr>
      <w:r>
        <w:rPr>
          <w:sz w:val="20"/>
        </w:rPr>
        <w:t xml:space="preserve">Создан механизм предоставления "единой субсидии" субъектам Российской Федерации, направленной на достижение показателей госпрограмм, предполагающий увязку целеполагания федерального и регионального уровня, повышение самостоятельности регионов в выборе средств достижения установленных целевых показателей и сокращение количества трансфертов. С учетом пилотной апробации в 2022 году единой субсидии в рамках государственных программ расширена сфера применения такой субсидии в целях достижения показателей национальных проектов.</w:t>
      </w:r>
    </w:p>
    <w:p>
      <w:pPr>
        <w:pStyle w:val="0"/>
        <w:spacing w:before="200" w:line-rule="auto"/>
        <w:ind w:firstLine="540"/>
        <w:jc w:val="both"/>
      </w:pPr>
      <w:r>
        <w:rPr>
          <w:sz w:val="20"/>
        </w:rPr>
        <w:t xml:space="preserve">В целях реализации мероприятий по развитию Дальневосточного федерального округа и Арктической зоны Российской Федерации:</w:t>
      </w:r>
    </w:p>
    <w:p>
      <w:pPr>
        <w:pStyle w:val="0"/>
        <w:spacing w:before="200" w:line-rule="auto"/>
        <w:ind w:firstLine="540"/>
        <w:jc w:val="both"/>
      </w:pPr>
      <w:r>
        <w:rPr>
          <w:sz w:val="20"/>
        </w:rPr>
        <w:t xml:space="preserve">- закреплена на постоянной основе централизация в федеральном бюджете до 50% норматива зачисления налога на прибыль организаций при выполнении соглашения о разделе продукции по проекту "Сахалин-2" с направлением данных средств на цели развития Дальнего Востока и сухопутных территорий Арктической зоны России;</w:t>
      </w:r>
    </w:p>
    <w:p>
      <w:pPr>
        <w:pStyle w:val="0"/>
        <w:spacing w:before="200" w:line-rule="auto"/>
        <w:ind w:firstLine="540"/>
        <w:jc w:val="both"/>
      </w:pPr>
      <w:r>
        <w:rPr>
          <w:sz w:val="20"/>
        </w:rPr>
        <w:t xml:space="preserve">- обеспечивалось направление не менее 7,2% расходов инвестиционного характера государственных программ Российской Федерации на развитие субъектов РФ, входящих в состав Дальневосточного федерального округа.</w:t>
      </w:r>
    </w:p>
    <w:p>
      <w:pPr>
        <w:pStyle w:val="0"/>
        <w:spacing w:before="200" w:line-rule="auto"/>
        <w:ind w:firstLine="540"/>
        <w:jc w:val="both"/>
      </w:pPr>
      <w:r>
        <w:rPr>
          <w:sz w:val="20"/>
        </w:rPr>
        <w:t xml:space="preserve">В течение 2022 - 2023 гг. в рамках интеграции новых регионов:</w:t>
      </w:r>
    </w:p>
    <w:p>
      <w:pPr>
        <w:pStyle w:val="0"/>
        <w:spacing w:before="200" w:line-rule="auto"/>
        <w:ind w:firstLine="540"/>
        <w:jc w:val="both"/>
      </w:pPr>
      <w:r>
        <w:rPr>
          <w:sz w:val="20"/>
        </w:rPr>
        <w:t xml:space="preserve">- оказывалась методологическая поддержка по составлению и исполнению бюджета 2022 года, а также при определении подходов к формированию проектов бюджетов на 2023 год;</w:t>
      </w:r>
    </w:p>
    <w:p>
      <w:pPr>
        <w:pStyle w:val="0"/>
        <w:spacing w:before="200" w:line-rule="auto"/>
        <w:ind w:firstLine="540"/>
        <w:jc w:val="both"/>
      </w:pPr>
      <w:r>
        <w:rPr>
          <w:sz w:val="20"/>
        </w:rPr>
        <w:t xml:space="preserve">- установлены особенности интеграции новых регионов в бюджетную, финансовую, экономическую системы Российской Федерации;</w:t>
      </w:r>
    </w:p>
    <w:p>
      <w:pPr>
        <w:pStyle w:val="0"/>
        <w:spacing w:before="200" w:line-rule="auto"/>
        <w:ind w:firstLine="540"/>
        <w:jc w:val="both"/>
      </w:pPr>
      <w:r>
        <w:rPr>
          <w:sz w:val="20"/>
        </w:rPr>
        <w:t xml:space="preserve">- установлен предельный уровень софинансирования расходных обязательств со стороны федерального бюджета для новых субъектов РФ в размере 99%;</w:t>
      </w:r>
    </w:p>
    <w:p>
      <w:pPr>
        <w:pStyle w:val="0"/>
        <w:spacing w:before="200" w:line-rule="auto"/>
        <w:ind w:firstLine="540"/>
        <w:jc w:val="both"/>
      </w:pPr>
      <w:r>
        <w:rPr>
          <w:sz w:val="20"/>
        </w:rPr>
        <w:t xml:space="preserve">В 2022 году сохранилась положительная тенденция профицитного исполнения консолидированных бюджетов субъектов РФ (51 млрд руб.). Объем "собственных" доходов возрос на 13%. Сбалансированному исполнению бюджетов субъектов РФ в условиях разнонаправленной динамики, в первую очередь по сырьевым регионам, способствовал значительный объем остатков средств на счетах бюджетов - 2,3 трлн рублей на начало 2022 года. Данный резерв сохраняется в текущих условиях и составляет 2,6 трлн рублей на начало 2023 года, или 17% от "собственных" доходов регионов. Это создает предпосылки для проведения сбалансированной долговой политики, сохранения безопасного уровня долговой нагрузки.</w:t>
      </w:r>
    </w:p>
    <w:p>
      <w:pPr>
        <w:pStyle w:val="0"/>
        <w:spacing w:before="200" w:line-rule="auto"/>
        <w:ind w:firstLine="540"/>
        <w:jc w:val="both"/>
      </w:pPr>
      <w:r>
        <w:rPr>
          <w:sz w:val="20"/>
        </w:rPr>
        <w:t xml:space="preserve">Повышению финансовой устойчивости региональных бюджетов способствует улучшение структуры государственного долга субъектов РФ - благодаря использованному механизму замещения рыночного долга бюджетными кредитам, рыночные заимствования снизились с 22% (по итогам 2015 года) до 6% налоговых и неналоговых доходов по итогам 2022 года.</w:t>
      </w:r>
    </w:p>
    <w:p>
      <w:pPr>
        <w:pStyle w:val="0"/>
        <w:jc w:val="both"/>
      </w:pPr>
      <w:r>
        <w:rPr>
          <w:sz w:val="20"/>
        </w:rPr>
      </w:r>
    </w:p>
    <w:p>
      <w:pPr>
        <w:pStyle w:val="0"/>
        <w:jc w:val="center"/>
      </w:pPr>
      <w:r>
        <w:rPr>
          <w:position w:val="-140"/>
        </w:rPr>
        <w:drawing>
          <wp:inline distT="0" distB="0" distL="0" distR="0">
            <wp:extent cx="5069205" cy="1914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5069205" cy="1914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Таким образом, создан определенный резерв для сохранения финансовой устойчивости региональных финансов, развития региональной экономики, участия в достижении национальных целей развития.</w:t>
      </w:r>
    </w:p>
    <w:p>
      <w:pPr>
        <w:pStyle w:val="0"/>
        <w:jc w:val="both"/>
      </w:pPr>
      <w:r>
        <w:rPr>
          <w:sz w:val="20"/>
        </w:rPr>
      </w:r>
    </w:p>
    <w:p>
      <w:pPr>
        <w:pStyle w:val="2"/>
        <w:outlineLvl w:val="2"/>
        <w:ind w:firstLine="540"/>
        <w:jc w:val="both"/>
      </w:pPr>
      <w:r>
        <w:rPr>
          <w:sz w:val="20"/>
        </w:rPr>
        <w:t xml:space="preserve">1.5. ТАМОЖЕННО-ТАРИФНОЕ РЕГУЛИРОВАНИЕ</w:t>
      </w:r>
    </w:p>
    <w:p>
      <w:pPr>
        <w:pStyle w:val="0"/>
        <w:jc w:val="both"/>
      </w:pPr>
      <w:r>
        <w:rPr>
          <w:sz w:val="20"/>
        </w:rPr>
      </w:r>
    </w:p>
    <w:p>
      <w:pPr>
        <w:pStyle w:val="0"/>
        <w:ind w:firstLine="540"/>
        <w:jc w:val="both"/>
      </w:pPr>
      <w:r>
        <w:rPr>
          <w:sz w:val="20"/>
        </w:rPr>
        <w:t xml:space="preserve">В 2022 - 2023 годах ключевые внешние вызовы для российской экономики и ее внешнеэкономического сектора - геополитические угрозы и связанные с ними изменения в структуре международной торговой системы, в том числе вследствие проводимой отдельными странами "санкционной" политики.</w:t>
      </w:r>
    </w:p>
    <w:p>
      <w:pPr>
        <w:pStyle w:val="0"/>
        <w:spacing w:before="200" w:line-rule="auto"/>
        <w:ind w:firstLine="540"/>
        <w:jc w:val="both"/>
      </w:pPr>
      <w:r>
        <w:rPr>
          <w:sz w:val="20"/>
        </w:rPr>
        <w:t xml:space="preserve">С введением беспрецедентных экономических санкций в отношении России кардинально изменилось международное взаимодействие с зарубежными партнерами в целом и таможенное сотрудничество</w:t>
      </w:r>
    </w:p>
    <w:p>
      <w:pPr>
        <w:pStyle w:val="0"/>
        <w:spacing w:before="200" w:line-rule="auto"/>
        <w:ind w:firstLine="540"/>
        <w:jc w:val="both"/>
      </w:pPr>
      <w:r>
        <w:rPr>
          <w:sz w:val="20"/>
        </w:rPr>
        <w:t xml:space="preserve">В этих условиях таможенно-тарифная политика направлена на (1) обеспечение национальной безопасности Российской Федерации в сфере внешнеэкономической деятельности; (2) поддержку развития российской экономики в условиях внешнего санкционного давления; (3) усиление взаимодействия со странами южного и восточного направлений, с которыми наращивается торговый оборот, выстраивание новых маршрутов поставки, продвижение экономических интересов Российской Федерации и (4) обеспечение динамичного развития перспективных механизмов сотрудничества с иностранными партнерами, направленных на ускорение таможенных процедур и обеспечение высокой степени безопасности цепочек поставок.</w:t>
      </w:r>
    </w:p>
    <w:p>
      <w:pPr>
        <w:pStyle w:val="0"/>
        <w:spacing w:before="200" w:line-rule="auto"/>
        <w:ind w:firstLine="540"/>
        <w:jc w:val="both"/>
      </w:pPr>
      <w:r>
        <w:rPr>
          <w:sz w:val="20"/>
        </w:rPr>
        <w:t xml:space="preserve">В целях реализации данных задач, расширения международного сотрудничества:</w:t>
      </w:r>
    </w:p>
    <w:p>
      <w:pPr>
        <w:pStyle w:val="0"/>
        <w:spacing w:before="200" w:line-rule="auto"/>
        <w:ind w:firstLine="540"/>
        <w:jc w:val="both"/>
      </w:pPr>
      <w:r>
        <w:rPr>
          <w:sz w:val="20"/>
        </w:rPr>
        <w:t xml:space="preserve">- реализованы мероприятия по упрощению и ускорению таможенных процедур, развития информационно-программных средств (развитие инфраструктуры, обеспечивающей безотказное функционирование всех компонентов информационной системы таможенных органов и обеспечение взаимодействия участников внешнеэкономической деятельности с органами государственной власти в электронной форме посредством информационной системы "Одно окно");</w:t>
      </w:r>
    </w:p>
    <w:p>
      <w:pPr>
        <w:pStyle w:val="0"/>
        <w:spacing w:before="200" w:line-rule="auto"/>
        <w:ind w:firstLine="540"/>
        <w:jc w:val="both"/>
      </w:pPr>
      <w:r>
        <w:rPr>
          <w:sz w:val="20"/>
        </w:rPr>
        <w:t xml:space="preserve">- приняты принципиальные решения в части сертификации и технического регулирования ввоза товаров в соответствии с запросами участников ВЭД (легализован параллельный импорт по 56 группам товаров, установлен первоочередной порядок совершения таможенных операций в отношении социально значимых товаров и критического импорта);</w:t>
      </w:r>
    </w:p>
    <w:p>
      <w:pPr>
        <w:pStyle w:val="0"/>
        <w:spacing w:before="200" w:line-rule="auto"/>
        <w:ind w:firstLine="540"/>
        <w:jc w:val="both"/>
      </w:pPr>
      <w:r>
        <w:rPr>
          <w:sz w:val="20"/>
        </w:rPr>
        <w:t xml:space="preserve">- разработаны и подписаны ряд международных актов (Соглашения с Правительством Республики Никарагуа и Правительством Исламской Республики Пакистан и взаимной помощи в таможенных делах, Соглашение с Правительством Республики Узбекистан о взаимном применении электронных систем сертификации происхождения товаров, Протокол с Министерством торговли Республики Союз Мьянма по административному сотрудничеству, обмену информацией и взаимопомощи в рамках единой системы тарифных преференций Евразийского экономического союза).</w:t>
      </w:r>
    </w:p>
    <w:p>
      <w:pPr>
        <w:pStyle w:val="0"/>
        <w:spacing w:before="200" w:line-rule="auto"/>
        <w:ind w:firstLine="540"/>
        <w:jc w:val="both"/>
      </w:pPr>
      <w:r>
        <w:rPr>
          <w:sz w:val="20"/>
        </w:rPr>
        <w:t xml:space="preserve">В целях оказания первоочередных мер поддержки, направленных на повышение устойчивости государств - членов Евразийского экономического союза, насыщения внутреннего рынка необходимыми товарами Евразийской экономической комиссией приняты следующие решения:</w:t>
      </w:r>
    </w:p>
    <w:p>
      <w:pPr>
        <w:pStyle w:val="0"/>
        <w:spacing w:before="200" w:line-rule="auto"/>
        <w:ind w:firstLine="540"/>
        <w:jc w:val="both"/>
      </w:pPr>
      <w:r>
        <w:rPr>
          <w:sz w:val="20"/>
        </w:rPr>
        <w:t xml:space="preserve">- обеспечен первоочередной порядок совершения таможенных операций в отношении товаров народного потребления и приоритетного импорта;</w:t>
      </w:r>
    </w:p>
    <w:p>
      <w:pPr>
        <w:pStyle w:val="0"/>
        <w:spacing w:before="200" w:line-rule="auto"/>
        <w:ind w:firstLine="540"/>
        <w:jc w:val="both"/>
      </w:pPr>
      <w:r>
        <w:rPr>
          <w:sz w:val="20"/>
        </w:rPr>
        <w:t xml:space="preserve">- приняты меры по оптимизации таможенного контроля с применением системы управления рисками (в отношении таких товаров снижена частота и периодичность применения форм таможенного контроля, результаты таможенного досмотра фиксируются с указанием сокращенного объема сведений);</w:t>
      </w:r>
    </w:p>
    <w:p>
      <w:pPr>
        <w:pStyle w:val="0"/>
        <w:spacing w:before="200" w:line-rule="auto"/>
        <w:ind w:firstLine="540"/>
        <w:jc w:val="both"/>
      </w:pPr>
      <w:r>
        <w:rPr>
          <w:sz w:val="20"/>
        </w:rPr>
        <w:t xml:space="preserve">- предоставлены тарифные льготы по ввозной таможенной пошлине в отношении рефрижераторных контейнеров, частей и комплектующих для сельскохозяйственной техники, отдельных видов товаров для производства и реализации продовольственной и парфюмерно-косметической продукции, тканей и нитей, а также отдельных видов продовольственных товаров</w:t>
      </w:r>
    </w:p>
    <w:p>
      <w:pPr>
        <w:pStyle w:val="0"/>
        <w:spacing w:before="200" w:line-rule="auto"/>
        <w:ind w:firstLine="540"/>
        <w:jc w:val="both"/>
      </w:pPr>
      <w:r>
        <w:rPr>
          <w:sz w:val="20"/>
        </w:rPr>
        <w:t xml:space="preserve">- установлены на 2023 год тарифные квоты, в рамках которых применяется ставка ввозной таможенной пошлины в размере 0% в отношении отдельных товаров, происходящих из Республики Сербия (сыры, спиртовые настойки, сигареты);</w:t>
      </w:r>
    </w:p>
    <w:p>
      <w:pPr>
        <w:pStyle w:val="0"/>
        <w:spacing w:before="200" w:line-rule="auto"/>
        <w:ind w:firstLine="540"/>
        <w:jc w:val="both"/>
      </w:pPr>
      <w:r>
        <w:rPr>
          <w:sz w:val="20"/>
        </w:rPr>
        <w:t xml:space="preserve">- установлены тарифные квоты на экспорт пшеницы и меслин, ячменя и кукурузы, а также отходов и лома черных металлов.</w:t>
      </w:r>
    </w:p>
    <w:p>
      <w:pPr>
        <w:pStyle w:val="0"/>
        <w:spacing w:before="200" w:line-rule="auto"/>
        <w:ind w:firstLine="540"/>
        <w:jc w:val="both"/>
      </w:pPr>
      <w:r>
        <w:rPr>
          <w:sz w:val="20"/>
        </w:rPr>
        <w:t xml:space="preserve">Осуществлена масштабная работа по интеграции таможенного пространства Российской Федерации, Донецкой и Луганской народных республик, Запорожской и Херсонской областей. В результате подготовительной работы удалось обеспечить скоординированное вхождение "новых" регионов в таможенное пространство Российской Федерации.</w:t>
      </w:r>
    </w:p>
    <w:p>
      <w:pPr>
        <w:pStyle w:val="0"/>
        <w:jc w:val="both"/>
      </w:pPr>
      <w:r>
        <w:rPr>
          <w:sz w:val="20"/>
        </w:rPr>
      </w:r>
    </w:p>
    <w:p>
      <w:pPr>
        <w:pStyle w:val="2"/>
        <w:outlineLvl w:val="1"/>
        <w:ind w:firstLine="540"/>
        <w:jc w:val="both"/>
      </w:pPr>
      <w:r>
        <w:rPr>
          <w:sz w:val="20"/>
        </w:rPr>
        <w:t xml:space="preserve">2. УСЛОВИЯ РЕАЛИЗАЦИИ БЮДЖЕТНОЙ И НАЛОГОВОЙ ПОЛИТИКИ В 2023 - 2025</w:t>
      </w:r>
    </w:p>
    <w:p>
      <w:pPr>
        <w:pStyle w:val="0"/>
        <w:jc w:val="both"/>
      </w:pPr>
      <w:r>
        <w:rPr>
          <w:sz w:val="20"/>
        </w:rPr>
      </w:r>
    </w:p>
    <w:p>
      <w:pPr>
        <w:pStyle w:val="2"/>
        <w:outlineLvl w:val="2"/>
        <w:ind w:firstLine="540"/>
        <w:jc w:val="both"/>
      </w:pPr>
      <w:r>
        <w:rPr>
          <w:sz w:val="20"/>
        </w:rPr>
        <w:t xml:space="preserve">2.1. ВНЕШНИЕ УСЛОВИЯ</w:t>
      </w:r>
    </w:p>
    <w:p>
      <w:pPr>
        <w:pStyle w:val="0"/>
        <w:ind w:firstLine="540"/>
        <w:jc w:val="both"/>
      </w:pPr>
      <w:r>
        <w:rPr>
          <w:sz w:val="20"/>
        </w:rPr>
      </w:r>
    </w:p>
    <w:p>
      <w:pPr>
        <w:pStyle w:val="0"/>
        <w:ind w:firstLine="540"/>
        <w:jc w:val="both"/>
      </w:pPr>
      <w:r>
        <w:rPr>
          <w:sz w:val="20"/>
        </w:rPr>
        <w:t xml:space="preserve">Рост мирового ВВП в 2022 г. составил 3,5%, в 2023 г. МВФ прогнозирует замедление роста до 3,0% за счет замедления роста в развитых странах с 2,7% в 2022 г. до 1,5% в 2023 году. Основными причинами замедления роста ВВП являются кризис стоимости жизни в развитых странах, вызванный высокой инфляцией, что привело к снижению вклада частного потребления в ВВП, и слабый рост ВВП Китая, связанный с антиковидными ограничениями, полностью отмененными только в 2023 году.</w:t>
      </w:r>
    </w:p>
    <w:p>
      <w:pPr>
        <w:pStyle w:val="0"/>
        <w:spacing w:before="200" w:line-rule="auto"/>
        <w:ind w:firstLine="540"/>
        <w:jc w:val="both"/>
      </w:pPr>
      <w:r>
        <w:rPr>
          <w:sz w:val="20"/>
        </w:rPr>
        <w:t xml:space="preserve">Политические решения, дестабилизировавшие экономику европейских стран и последовавшая попытка корректировать рыночные силы при помощи субсидий (субсидии, связанные с ростом цен на энергию, составили в среднем для стран ОЭСР 0,7% ВВП, в ряде европейских стран - более 2% ВВП не решили проблему с дефицитом энергоносителей (цена газа в январе - августе 2023 г. на 39% выше, чем в январе - августе 2021 г.), но привели к сохраняющейся на неприемлемо высоком уровне инфляции, росту инфляционных ожиданий и следующей из этого необходимости проводить более жесткую ДКП, повышающую риски рецессии.</w:t>
      </w:r>
    </w:p>
    <w:p>
      <w:pPr>
        <w:pStyle w:val="0"/>
        <w:spacing w:before="200" w:line-rule="auto"/>
        <w:ind w:firstLine="540"/>
        <w:jc w:val="both"/>
      </w:pPr>
      <w:r>
        <w:rPr>
          <w:sz w:val="20"/>
        </w:rPr>
        <w:t xml:space="preserve">В целом глобальные перспективы остаются неустойчивыми:</w:t>
      </w:r>
    </w:p>
    <w:p>
      <w:pPr>
        <w:pStyle w:val="0"/>
        <w:spacing w:before="200" w:line-rule="auto"/>
        <w:ind w:firstLine="540"/>
        <w:jc w:val="both"/>
      </w:pPr>
      <w:r>
        <w:rPr>
          <w:sz w:val="20"/>
        </w:rPr>
        <w:t xml:space="preserve">- сохраняющаяся на высоком уровне базовая инфляция и растущая инфляция в сфере услуг усиливают кризис стоимости жизни, вынуждая продолжать фискальное стимулирование;</w:t>
      </w:r>
    </w:p>
    <w:p>
      <w:pPr>
        <w:pStyle w:val="0"/>
        <w:spacing w:before="200" w:line-rule="auto"/>
        <w:ind w:firstLine="540"/>
        <w:jc w:val="both"/>
      </w:pPr>
      <w:r>
        <w:rPr>
          <w:sz w:val="20"/>
        </w:rPr>
        <w:t xml:space="preserve">- необходимое для обуздания инфляции ужесточение денежно-кредитной политики уже привело к дисбалансам в банковской системе, вызвав убытки от снижения стоимости государственных облигаций, и постепенно повышает стоимость обслуживания госдолга, что в условиях высоких дефицитов может привести к разрастанию в мировой финансовой системе проблем рефинансирования и платежеспособности.</w:t>
      </w:r>
    </w:p>
    <w:p>
      <w:pPr>
        <w:pStyle w:val="0"/>
        <w:jc w:val="both"/>
      </w:pPr>
      <w:r>
        <w:rPr>
          <w:sz w:val="20"/>
        </w:rPr>
      </w:r>
    </w:p>
    <w:p>
      <w:pPr>
        <w:pStyle w:val="2"/>
        <w:outlineLvl w:val="3"/>
        <w:ind w:firstLine="540"/>
        <w:jc w:val="both"/>
      </w:pPr>
      <w:r>
        <w:rPr>
          <w:sz w:val="20"/>
        </w:rPr>
        <w:t xml:space="preserve">Условия торговли</w:t>
      </w:r>
    </w:p>
    <w:p>
      <w:pPr>
        <w:pStyle w:val="0"/>
        <w:spacing w:before="200" w:line-rule="auto"/>
        <w:ind w:firstLine="540"/>
        <w:jc w:val="both"/>
      </w:pPr>
      <w:r>
        <w:rPr>
          <w:sz w:val="20"/>
        </w:rPr>
        <w:t xml:space="preserve">На глобальном рынке нефти ключевыми факторами продолжают оставаться перспективы мировой экономики и масштабы восстановления спроса в Китае. С начала 2023 года рыночные ожидания склонялись к сценарию, при котором глобальный баланс рынка нефти смещен в сторону дефицита предложения. Из-за антироссийских санкций стран Запада и потолка цен на поставки российской нефти и нефтепродуктов ожидались серьезные перебои в поставках нефти из России. Однако российский экспорт продемонстрировал устойчивость, и поставки энергоресурсов были перенаправлены в дружественные страны Азии. Вместе с тем, сохраняющаяся на высоких уровнях инфляция, ужесточение денежно-кредитной политики в странах с развитой экономикой, а также банковский кризис в США и ЕС, повышающие вероятность рецессии в этих странах, оказывали понижательное давление на нефтяные котировки.</w:t>
      </w:r>
    </w:p>
    <w:p>
      <w:pPr>
        <w:pStyle w:val="0"/>
        <w:spacing w:before="200" w:line-rule="auto"/>
        <w:ind w:firstLine="540"/>
        <w:jc w:val="both"/>
      </w:pPr>
      <w:r>
        <w:rPr>
          <w:sz w:val="20"/>
        </w:rPr>
        <w:t xml:space="preserve">Помимо обязательных сокращений добычи в рамках соглашения ОПЕК+ ряд стран - членов альянса, включая Россию и Саудовскую Аравию, в качестве меры, нацеленной на поддержку стабильности нефтяного рынка, во втором квартале 2023 года объявили о нескольких решениях: о дополнительном добровольном снижении добычи с мая по декабрь 2023 года суммарно на 1,65 мбс и о последующем продлении добровольных ограничений до декабря 2024 года. При этом фактическое сокращение добычи должно стать самым значительным после марта 2020 года (когда сокращение добычи было предпринято в ответ на резкое сокращение спроса из-за локдаунов в ряде стран мира). Оперативность и масштабы решений ОПЕК+ демонстрируют решимость организации сделать все, что необходимо для сохранения стабильности нефтяного рынка и поддержания комфортных цен на нефть.</w:t>
      </w:r>
    </w:p>
    <w:p>
      <w:pPr>
        <w:pStyle w:val="0"/>
        <w:spacing w:before="200" w:line-rule="auto"/>
        <w:ind w:firstLine="540"/>
        <w:jc w:val="both"/>
      </w:pPr>
      <w:r>
        <w:rPr>
          <w:sz w:val="20"/>
        </w:rPr>
        <w:t xml:space="preserve">По мере сокращения добычи нефти странами ОПЕК+ и ускорения экономического роста в Китае и Индии ожидается сохранение цен на нефть марки Брент в диапазоне 70 - 80 $/барр. на среднесрочном горизонте. Среднесрочный баланс рисков уравновешен балансирующей ролью стран ОПЕК+, а долгосрочный баланс по-прежнему смещен в сторону более низких цен вследствие ожидаемого сокращения спроса по мере роста доли в структуре глобального энергобаланса возобновляемых источников энергии.</w:t>
      </w:r>
    </w:p>
    <w:p>
      <w:pPr>
        <w:pStyle w:val="0"/>
        <w:jc w:val="both"/>
      </w:pPr>
      <w:r>
        <w:rPr>
          <w:sz w:val="20"/>
        </w:rPr>
      </w:r>
    </w:p>
    <w:p>
      <w:pPr>
        <w:pStyle w:val="2"/>
        <w:outlineLvl w:val="2"/>
        <w:ind w:firstLine="540"/>
        <w:jc w:val="both"/>
      </w:pPr>
      <w:r>
        <w:rPr>
          <w:sz w:val="20"/>
        </w:rPr>
        <w:t xml:space="preserve">2.2. ОСНОВНЫЕ ПАРАМЕТРЫ ПРОГНОЗА СОЦИАЛЬНО-ЭКОНОМИЧЕСКОГО РАЗВИТИЯ</w:t>
      </w:r>
    </w:p>
    <w:p>
      <w:pPr>
        <w:pStyle w:val="0"/>
        <w:ind w:firstLine="540"/>
        <w:jc w:val="both"/>
      </w:pPr>
      <w:r>
        <w:rPr>
          <w:sz w:val="20"/>
        </w:rPr>
      </w:r>
    </w:p>
    <w:p>
      <w:pPr>
        <w:pStyle w:val="0"/>
        <w:ind w:firstLine="540"/>
        <w:jc w:val="both"/>
      </w:pPr>
      <w:r>
        <w:rPr>
          <w:sz w:val="20"/>
        </w:rPr>
        <w:t xml:space="preserve">Основные направления бюджетной, налоговой и таможенно-тарифной политики на 2024 - 2026 годы разработаны на основании соответствующего базового варианта прогноза социально-экономического развития РФ (далее - базовый прогноз).</w:t>
      </w:r>
    </w:p>
    <w:p>
      <w:pPr>
        <w:pStyle w:val="0"/>
        <w:spacing w:before="200" w:line-rule="auto"/>
        <w:ind w:firstLine="540"/>
        <w:jc w:val="both"/>
      </w:pPr>
      <w:r>
        <w:rPr>
          <w:sz w:val="20"/>
        </w:rPr>
        <w:t xml:space="preserve">Базовый сценарий не предполагает значимого изменения геополитических условий до конца прогнозного горизонта: введенные внешние ограничения сохранятся на протяжении всего рассматриваемого периода.</w:t>
      </w:r>
    </w:p>
    <w:p>
      <w:pPr>
        <w:pStyle w:val="0"/>
        <w:spacing w:before="200" w:line-rule="auto"/>
        <w:ind w:firstLine="540"/>
        <w:jc w:val="both"/>
      </w:pPr>
      <w:r>
        <w:rPr>
          <w:sz w:val="20"/>
        </w:rPr>
        <w:t xml:space="preserve">Курс рубля будет определяться преимущественно динамикой платежного баланса. По итогам 2023 года прогнозируется его плавное укрепление до уровня 94,3 рублей за доллар США (связанное преимущественно с восстановлением динамики импорта). В 2024 - 2026 годах курсовая динамика сложится на уровне 90 - 92 рублей за доллар США.</w:t>
      </w:r>
    </w:p>
    <w:p>
      <w:pPr>
        <w:pStyle w:val="0"/>
        <w:spacing w:before="200" w:line-rule="auto"/>
        <w:ind w:firstLine="540"/>
        <w:jc w:val="both"/>
      </w:pPr>
      <w:r>
        <w:rPr>
          <w:sz w:val="20"/>
        </w:rPr>
        <w:t xml:space="preserve">Сокращение ВВП оказалось более сдержанным, чем предполагал масштаб внешнего шока (-2,1% в 2022 году), а восстановление экономической активности идет более динамичными, чем прогнозировалось ранее, темпами. Учитывая более интенсивный процесс адаптации деловой активности к новым условиям, ожидается, что шоки спроса и предложения будут абсорбированы уже в 2023 году (преимущественно за счет восстановления внутреннего спроса, в том числе в условиях реализации программ импортозамещения, а именно наращивания производства отечественных товаров и услуг) и экономика вернется к росту на уровне +2,8%. В 2024 году восстановительный рост ВВП продолжится, составив +2,3%, сохранившись примерно на этом уровне до 2026 года.</w:t>
      </w:r>
    </w:p>
    <w:p>
      <w:pPr>
        <w:pStyle w:val="0"/>
        <w:spacing w:before="200" w:line-rule="auto"/>
        <w:ind w:firstLine="540"/>
        <w:jc w:val="both"/>
      </w:pPr>
      <w:r>
        <w:rPr>
          <w:sz w:val="20"/>
        </w:rPr>
        <w:t xml:space="preserve">Постепенному восстановлению потребительского спроса (+5,8% в 2023 году) будет способствовать рост реальных заработных плат (+6,2% в 2023 году после +0,3% годом ранее) и реальных располагаемых доходов населения (+4,3% после -1,0% годом ранее), обусловленный как улучшением деловой активности, так и дефицитом специалистов по некоторым специальностям. В 2024 - 2026 годах сохраняющийся высокий спрос на труд (уровень безработицы прогнозируется вблизи исторических минимумов - 3,1% в 2024 - 2026 годах) будет способствовать выходу показателей уровня жизни населения на траекторию устойчивого роста (2,5%, 2,6% и 2,3% соответственно - реальные заработные платы; 2,7%, 2,6% и 2,6% соответственно - реальные располагаемые доходы населения).</w:t>
      </w:r>
    </w:p>
    <w:p>
      <w:pPr>
        <w:pStyle w:val="0"/>
        <w:spacing w:before="200" w:line-rule="auto"/>
        <w:ind w:firstLine="540"/>
        <w:jc w:val="both"/>
      </w:pPr>
      <w:r>
        <w:rPr>
          <w:sz w:val="20"/>
        </w:rPr>
        <w:t xml:space="preserve">На фоне роста потребительского спроса и усиливающегося давления со стороны рынка труда (рост оплаты труда из-за дисбалансов спроса и предложения) темп роста потребительских цен в 2023 году будет находится на повышенном уровне - около +5,8% г/г в среднем. В дальнейшем проведение ответственной денежно-кредитной и бюджетной политики приведет к возвращению инфляции к целевому ориентиру в 4%.</w:t>
      </w:r>
    </w:p>
    <w:p>
      <w:pPr>
        <w:pStyle w:val="0"/>
        <w:jc w:val="both"/>
      </w:pPr>
      <w:r>
        <w:rPr>
          <w:sz w:val="20"/>
        </w:rPr>
      </w:r>
    </w:p>
    <w:p>
      <w:pPr>
        <w:pStyle w:val="0"/>
        <w:ind w:firstLine="540"/>
        <w:jc w:val="both"/>
      </w:pPr>
      <w:r>
        <w:rPr>
          <w:sz w:val="20"/>
        </w:rPr>
        <w:t xml:space="preserve">Таблица 2.2.1. Основные параметры базового прогноза СЭР</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4535"/>
        <w:gridCol w:w="1190"/>
        <w:gridCol w:w="1128"/>
        <w:gridCol w:w="1080"/>
        <w:gridCol w:w="1123"/>
      </w:tblGrid>
      <w:tr>
        <w:tblPrEx>
          <w:tblBorders>
            <w:insideH w:val="single" w:sz="4"/>
          </w:tblBorders>
        </w:tblPrEx>
        <w:tc>
          <w:tcPr>
            <w:tcW w:w="4535" w:type="dxa"/>
            <w:tcBorders>
              <w:top w:val="single" w:sz="4"/>
              <w:left w:val="nil"/>
              <w:bottom w:val="single" w:sz="4"/>
              <w:right w:val="nil"/>
            </w:tcBorders>
          </w:tcPr>
          <w:p>
            <w:pPr>
              <w:pStyle w:val="0"/>
              <w:jc w:val="center"/>
            </w:pPr>
            <w:r>
              <w:rPr>
                <w:sz w:val="20"/>
              </w:rPr>
              <w:t xml:space="preserve">Показатель</w:t>
            </w:r>
          </w:p>
        </w:tc>
        <w:tc>
          <w:tcPr>
            <w:tcW w:w="1190" w:type="dxa"/>
            <w:tcBorders>
              <w:top w:val="single" w:sz="4"/>
              <w:left w:val="nil"/>
              <w:bottom w:val="single" w:sz="4"/>
              <w:right w:val="nil"/>
            </w:tcBorders>
          </w:tcPr>
          <w:p>
            <w:pPr>
              <w:pStyle w:val="0"/>
              <w:jc w:val="center"/>
            </w:pPr>
            <w:r>
              <w:rPr>
                <w:sz w:val="20"/>
              </w:rPr>
              <w:t xml:space="preserve">2023</w:t>
            </w:r>
          </w:p>
        </w:tc>
        <w:tc>
          <w:tcPr>
            <w:tcW w:w="1128" w:type="dxa"/>
            <w:tcBorders>
              <w:top w:val="single" w:sz="4"/>
              <w:left w:val="nil"/>
              <w:bottom w:val="single" w:sz="4"/>
              <w:right w:val="nil"/>
            </w:tcBorders>
          </w:tcPr>
          <w:p>
            <w:pPr>
              <w:pStyle w:val="0"/>
              <w:jc w:val="center"/>
            </w:pPr>
            <w:r>
              <w:rPr>
                <w:sz w:val="20"/>
              </w:rPr>
              <w:t xml:space="preserve">2024</w:t>
            </w:r>
          </w:p>
        </w:tc>
        <w:tc>
          <w:tcPr>
            <w:tcW w:w="1080" w:type="dxa"/>
            <w:tcBorders>
              <w:top w:val="single" w:sz="4"/>
              <w:left w:val="nil"/>
              <w:bottom w:val="single" w:sz="4"/>
              <w:right w:val="nil"/>
            </w:tcBorders>
          </w:tcPr>
          <w:p>
            <w:pPr>
              <w:pStyle w:val="0"/>
              <w:jc w:val="center"/>
            </w:pPr>
            <w:r>
              <w:rPr>
                <w:sz w:val="20"/>
              </w:rPr>
              <w:t xml:space="preserve">2025</w:t>
            </w:r>
          </w:p>
        </w:tc>
        <w:tc>
          <w:tcPr>
            <w:tcW w:w="1123" w:type="dxa"/>
            <w:tcBorders>
              <w:top w:val="single" w:sz="4"/>
              <w:left w:val="nil"/>
              <w:bottom w:val="single" w:sz="4"/>
              <w:right w:val="nil"/>
            </w:tcBorders>
          </w:tcPr>
          <w:p>
            <w:pPr>
              <w:pStyle w:val="0"/>
              <w:jc w:val="center"/>
            </w:pPr>
            <w:r>
              <w:rPr>
                <w:sz w:val="20"/>
              </w:rPr>
              <w:t xml:space="preserve">2026</w:t>
            </w:r>
          </w:p>
        </w:tc>
      </w:tr>
      <w:tr>
        <w:tc>
          <w:tcPr>
            <w:tcW w:w="4535" w:type="dxa"/>
            <w:tcBorders>
              <w:top w:val="single" w:sz="4"/>
              <w:left w:val="nil"/>
              <w:bottom w:val="nil"/>
              <w:right w:val="nil"/>
            </w:tcBorders>
          </w:tcPr>
          <w:p>
            <w:pPr>
              <w:pStyle w:val="0"/>
            </w:pPr>
            <w:r>
              <w:rPr>
                <w:sz w:val="20"/>
              </w:rPr>
              <w:t xml:space="preserve">Экспортная цена на российскую нефть, $/барр.</w:t>
            </w:r>
          </w:p>
        </w:tc>
        <w:tc>
          <w:tcPr>
            <w:tcW w:w="1190" w:type="dxa"/>
            <w:tcBorders>
              <w:top w:val="single" w:sz="4"/>
              <w:left w:val="nil"/>
              <w:bottom w:val="nil"/>
              <w:right w:val="nil"/>
            </w:tcBorders>
          </w:tcPr>
          <w:p>
            <w:pPr>
              <w:pStyle w:val="0"/>
              <w:jc w:val="center"/>
            </w:pPr>
            <w:r>
              <w:rPr>
                <w:sz w:val="20"/>
              </w:rPr>
              <w:t xml:space="preserve">63,4</w:t>
            </w:r>
          </w:p>
        </w:tc>
        <w:tc>
          <w:tcPr>
            <w:tcW w:w="1128" w:type="dxa"/>
            <w:tcBorders>
              <w:top w:val="single" w:sz="4"/>
              <w:left w:val="nil"/>
              <w:bottom w:val="nil"/>
              <w:right w:val="nil"/>
            </w:tcBorders>
          </w:tcPr>
          <w:p>
            <w:pPr>
              <w:pStyle w:val="0"/>
              <w:jc w:val="center"/>
            </w:pPr>
            <w:r>
              <w:rPr>
                <w:sz w:val="20"/>
              </w:rPr>
              <w:t xml:space="preserve">71,3</w:t>
            </w:r>
          </w:p>
        </w:tc>
        <w:tc>
          <w:tcPr>
            <w:tcW w:w="1080" w:type="dxa"/>
            <w:tcBorders>
              <w:top w:val="single" w:sz="4"/>
              <w:left w:val="nil"/>
              <w:bottom w:val="nil"/>
              <w:right w:val="nil"/>
            </w:tcBorders>
          </w:tcPr>
          <w:p>
            <w:pPr>
              <w:pStyle w:val="0"/>
              <w:jc w:val="center"/>
            </w:pPr>
            <w:r>
              <w:rPr>
                <w:sz w:val="20"/>
              </w:rPr>
              <w:t xml:space="preserve">70,1</w:t>
            </w:r>
          </w:p>
        </w:tc>
        <w:tc>
          <w:tcPr>
            <w:tcW w:w="1123" w:type="dxa"/>
            <w:tcBorders>
              <w:top w:val="single" w:sz="4"/>
              <w:left w:val="nil"/>
              <w:bottom w:val="nil"/>
              <w:right w:val="nil"/>
            </w:tcBorders>
          </w:tcPr>
          <w:p>
            <w:pPr>
              <w:pStyle w:val="0"/>
              <w:jc w:val="center"/>
            </w:pPr>
            <w:r>
              <w:rPr>
                <w:sz w:val="20"/>
              </w:rPr>
              <w:t xml:space="preserve">70,0</w:t>
            </w:r>
          </w:p>
        </w:tc>
      </w:tr>
      <w:tr>
        <w:tc>
          <w:tcPr>
            <w:tcW w:w="4535" w:type="dxa"/>
            <w:tcBorders>
              <w:top w:val="nil"/>
              <w:left w:val="nil"/>
              <w:bottom w:val="nil"/>
              <w:right w:val="nil"/>
            </w:tcBorders>
          </w:tcPr>
          <w:p>
            <w:pPr>
              <w:pStyle w:val="0"/>
            </w:pPr>
            <w:r>
              <w:rPr>
                <w:sz w:val="20"/>
              </w:rPr>
              <w:t xml:space="preserve">Курс доллара США к рублю</w:t>
            </w:r>
          </w:p>
        </w:tc>
        <w:tc>
          <w:tcPr>
            <w:tcW w:w="1190" w:type="dxa"/>
            <w:tcBorders>
              <w:top w:val="nil"/>
              <w:left w:val="nil"/>
              <w:bottom w:val="nil"/>
              <w:right w:val="nil"/>
            </w:tcBorders>
          </w:tcPr>
          <w:p>
            <w:pPr>
              <w:pStyle w:val="0"/>
              <w:jc w:val="center"/>
            </w:pPr>
            <w:r>
              <w:rPr>
                <w:sz w:val="20"/>
              </w:rPr>
              <w:t xml:space="preserve">85,2</w:t>
            </w:r>
          </w:p>
        </w:tc>
        <w:tc>
          <w:tcPr>
            <w:tcW w:w="1128" w:type="dxa"/>
            <w:tcBorders>
              <w:top w:val="nil"/>
              <w:left w:val="nil"/>
              <w:bottom w:val="nil"/>
              <w:right w:val="nil"/>
            </w:tcBorders>
          </w:tcPr>
          <w:p>
            <w:pPr>
              <w:pStyle w:val="0"/>
              <w:jc w:val="center"/>
            </w:pPr>
            <w:r>
              <w:rPr>
                <w:sz w:val="20"/>
              </w:rPr>
              <w:t xml:space="preserve">90,1</w:t>
            </w:r>
          </w:p>
        </w:tc>
        <w:tc>
          <w:tcPr>
            <w:tcW w:w="1080" w:type="dxa"/>
            <w:tcBorders>
              <w:top w:val="nil"/>
              <w:left w:val="nil"/>
              <w:bottom w:val="nil"/>
              <w:right w:val="nil"/>
            </w:tcBorders>
          </w:tcPr>
          <w:p>
            <w:pPr>
              <w:pStyle w:val="0"/>
              <w:jc w:val="center"/>
            </w:pPr>
            <w:r>
              <w:rPr>
                <w:sz w:val="20"/>
              </w:rPr>
              <w:t xml:space="preserve">91,1</w:t>
            </w:r>
          </w:p>
        </w:tc>
        <w:tc>
          <w:tcPr>
            <w:tcW w:w="1123" w:type="dxa"/>
            <w:tcBorders>
              <w:top w:val="nil"/>
              <w:left w:val="nil"/>
              <w:bottom w:val="nil"/>
              <w:right w:val="nil"/>
            </w:tcBorders>
          </w:tcPr>
          <w:p>
            <w:pPr>
              <w:pStyle w:val="0"/>
              <w:jc w:val="center"/>
            </w:pPr>
            <w:r>
              <w:rPr>
                <w:sz w:val="20"/>
              </w:rPr>
              <w:t xml:space="preserve">92,3</w:t>
            </w:r>
          </w:p>
        </w:tc>
      </w:tr>
      <w:tr>
        <w:tc>
          <w:tcPr>
            <w:tcW w:w="4535" w:type="dxa"/>
            <w:tcBorders>
              <w:top w:val="nil"/>
              <w:left w:val="nil"/>
              <w:bottom w:val="nil"/>
              <w:right w:val="nil"/>
            </w:tcBorders>
          </w:tcPr>
          <w:p>
            <w:pPr>
              <w:pStyle w:val="0"/>
            </w:pPr>
            <w:r>
              <w:rPr>
                <w:sz w:val="20"/>
              </w:rPr>
              <w:t xml:space="preserve">ВВП, трлн руб.</w:t>
            </w:r>
          </w:p>
        </w:tc>
        <w:tc>
          <w:tcPr>
            <w:tcW w:w="1190" w:type="dxa"/>
            <w:tcBorders>
              <w:top w:val="nil"/>
              <w:left w:val="nil"/>
              <w:bottom w:val="nil"/>
              <w:right w:val="nil"/>
            </w:tcBorders>
          </w:tcPr>
          <w:p>
            <w:pPr>
              <w:pStyle w:val="0"/>
              <w:jc w:val="center"/>
            </w:pPr>
            <w:r>
              <w:rPr>
                <w:sz w:val="20"/>
              </w:rPr>
              <w:t xml:space="preserve">166,0</w:t>
            </w:r>
          </w:p>
        </w:tc>
        <w:tc>
          <w:tcPr>
            <w:tcW w:w="1128" w:type="dxa"/>
            <w:tcBorders>
              <w:top w:val="nil"/>
              <w:left w:val="nil"/>
              <w:bottom w:val="nil"/>
              <w:right w:val="nil"/>
            </w:tcBorders>
          </w:tcPr>
          <w:p>
            <w:pPr>
              <w:pStyle w:val="0"/>
              <w:jc w:val="center"/>
            </w:pPr>
            <w:r>
              <w:rPr>
                <w:sz w:val="20"/>
              </w:rPr>
              <w:t xml:space="preserve">180,0</w:t>
            </w:r>
          </w:p>
        </w:tc>
        <w:tc>
          <w:tcPr>
            <w:tcW w:w="1080" w:type="dxa"/>
            <w:tcBorders>
              <w:top w:val="nil"/>
              <w:left w:val="nil"/>
              <w:bottom w:val="nil"/>
              <w:right w:val="nil"/>
            </w:tcBorders>
          </w:tcPr>
          <w:p>
            <w:pPr>
              <w:pStyle w:val="0"/>
              <w:jc w:val="center"/>
            </w:pPr>
            <w:r>
              <w:rPr>
                <w:sz w:val="20"/>
              </w:rPr>
              <w:t xml:space="preserve">190,6</w:t>
            </w:r>
          </w:p>
        </w:tc>
        <w:tc>
          <w:tcPr>
            <w:tcW w:w="1123" w:type="dxa"/>
            <w:tcBorders>
              <w:top w:val="nil"/>
              <w:left w:val="nil"/>
              <w:bottom w:val="nil"/>
              <w:right w:val="nil"/>
            </w:tcBorders>
          </w:tcPr>
          <w:p>
            <w:pPr>
              <w:pStyle w:val="0"/>
              <w:jc w:val="center"/>
            </w:pPr>
            <w:r>
              <w:rPr>
                <w:sz w:val="20"/>
              </w:rPr>
              <w:t xml:space="preserve">202,3</w:t>
            </w:r>
          </w:p>
        </w:tc>
      </w:tr>
      <w:tr>
        <w:tc>
          <w:tcPr>
            <w:tcW w:w="4535" w:type="dxa"/>
            <w:tcBorders>
              <w:top w:val="nil"/>
              <w:left w:val="nil"/>
              <w:bottom w:val="nil"/>
              <w:right w:val="nil"/>
            </w:tcBorders>
          </w:tcPr>
          <w:p>
            <w:pPr>
              <w:pStyle w:val="0"/>
            </w:pPr>
            <w:r>
              <w:rPr>
                <w:sz w:val="20"/>
              </w:rPr>
              <w:t xml:space="preserve">Темп роста ВВП, % г/г</w:t>
            </w:r>
          </w:p>
        </w:tc>
        <w:tc>
          <w:tcPr>
            <w:tcW w:w="1190" w:type="dxa"/>
            <w:tcBorders>
              <w:top w:val="nil"/>
              <w:left w:val="nil"/>
              <w:bottom w:val="nil"/>
              <w:right w:val="nil"/>
            </w:tcBorders>
          </w:tcPr>
          <w:p>
            <w:pPr>
              <w:pStyle w:val="0"/>
              <w:jc w:val="center"/>
            </w:pPr>
            <w:r>
              <w:rPr>
                <w:sz w:val="20"/>
              </w:rPr>
              <w:t xml:space="preserve">2,8</w:t>
            </w:r>
          </w:p>
        </w:tc>
        <w:tc>
          <w:tcPr>
            <w:tcW w:w="1128" w:type="dxa"/>
            <w:tcBorders>
              <w:top w:val="nil"/>
              <w:left w:val="nil"/>
              <w:bottom w:val="nil"/>
              <w:right w:val="nil"/>
            </w:tcBorders>
          </w:tcPr>
          <w:p>
            <w:pPr>
              <w:pStyle w:val="0"/>
              <w:jc w:val="center"/>
            </w:pPr>
            <w:r>
              <w:rPr>
                <w:sz w:val="20"/>
              </w:rPr>
              <w:t xml:space="preserve">2,3</w:t>
            </w:r>
          </w:p>
        </w:tc>
        <w:tc>
          <w:tcPr>
            <w:tcW w:w="1080" w:type="dxa"/>
            <w:tcBorders>
              <w:top w:val="nil"/>
              <w:left w:val="nil"/>
              <w:bottom w:val="nil"/>
              <w:right w:val="nil"/>
            </w:tcBorders>
          </w:tcPr>
          <w:p>
            <w:pPr>
              <w:pStyle w:val="0"/>
              <w:jc w:val="center"/>
            </w:pPr>
            <w:r>
              <w:rPr>
                <w:sz w:val="20"/>
              </w:rPr>
              <w:t xml:space="preserve">2,3</w:t>
            </w:r>
          </w:p>
        </w:tc>
        <w:tc>
          <w:tcPr>
            <w:tcW w:w="1123" w:type="dxa"/>
            <w:tcBorders>
              <w:top w:val="nil"/>
              <w:left w:val="nil"/>
              <w:bottom w:val="nil"/>
              <w:right w:val="nil"/>
            </w:tcBorders>
          </w:tcPr>
          <w:p>
            <w:pPr>
              <w:pStyle w:val="0"/>
              <w:jc w:val="center"/>
            </w:pPr>
            <w:r>
              <w:rPr>
                <w:sz w:val="20"/>
              </w:rPr>
              <w:t xml:space="preserve">2,2</w:t>
            </w:r>
          </w:p>
        </w:tc>
      </w:tr>
      <w:tr>
        <w:tc>
          <w:tcPr>
            <w:tcW w:w="4535" w:type="dxa"/>
            <w:tcBorders>
              <w:top w:val="nil"/>
              <w:left w:val="nil"/>
              <w:bottom w:val="nil"/>
              <w:right w:val="nil"/>
            </w:tcBorders>
          </w:tcPr>
          <w:p>
            <w:pPr>
              <w:pStyle w:val="0"/>
            </w:pPr>
            <w:r>
              <w:rPr>
                <w:sz w:val="20"/>
              </w:rPr>
              <w:t xml:space="preserve">Инвестиции в основной капитал, % г/г</w:t>
            </w:r>
          </w:p>
        </w:tc>
        <w:tc>
          <w:tcPr>
            <w:tcW w:w="1190" w:type="dxa"/>
            <w:tcBorders>
              <w:top w:val="nil"/>
              <w:left w:val="nil"/>
              <w:bottom w:val="nil"/>
              <w:right w:val="nil"/>
            </w:tcBorders>
          </w:tcPr>
          <w:p>
            <w:pPr>
              <w:pStyle w:val="0"/>
              <w:jc w:val="center"/>
            </w:pPr>
            <w:r>
              <w:rPr>
                <w:sz w:val="20"/>
              </w:rPr>
              <w:t xml:space="preserve">6,0</w:t>
            </w:r>
          </w:p>
        </w:tc>
        <w:tc>
          <w:tcPr>
            <w:tcW w:w="1128" w:type="dxa"/>
            <w:tcBorders>
              <w:top w:val="nil"/>
              <w:left w:val="nil"/>
              <w:bottom w:val="nil"/>
              <w:right w:val="nil"/>
            </w:tcBorders>
          </w:tcPr>
          <w:p>
            <w:pPr>
              <w:pStyle w:val="0"/>
              <w:jc w:val="center"/>
            </w:pPr>
            <w:r>
              <w:rPr>
                <w:sz w:val="20"/>
              </w:rPr>
              <w:t xml:space="preserve">2,3</w:t>
            </w:r>
          </w:p>
        </w:tc>
        <w:tc>
          <w:tcPr>
            <w:tcW w:w="1080" w:type="dxa"/>
            <w:tcBorders>
              <w:top w:val="nil"/>
              <w:left w:val="nil"/>
              <w:bottom w:val="nil"/>
              <w:right w:val="nil"/>
            </w:tcBorders>
          </w:tcPr>
          <w:p>
            <w:pPr>
              <w:pStyle w:val="0"/>
              <w:jc w:val="center"/>
            </w:pPr>
            <w:r>
              <w:rPr>
                <w:sz w:val="20"/>
              </w:rPr>
              <w:t xml:space="preserve">3,0</w:t>
            </w:r>
          </w:p>
        </w:tc>
        <w:tc>
          <w:tcPr>
            <w:tcW w:w="1123" w:type="dxa"/>
            <w:tcBorders>
              <w:top w:val="nil"/>
              <w:left w:val="nil"/>
              <w:bottom w:val="nil"/>
              <w:right w:val="nil"/>
            </w:tcBorders>
          </w:tcPr>
          <w:p>
            <w:pPr>
              <w:pStyle w:val="0"/>
              <w:jc w:val="center"/>
            </w:pPr>
            <w:r>
              <w:rPr>
                <w:sz w:val="20"/>
              </w:rPr>
              <w:t xml:space="preserve">3,0</w:t>
            </w:r>
          </w:p>
        </w:tc>
      </w:tr>
      <w:tr>
        <w:tc>
          <w:tcPr>
            <w:tcW w:w="4535" w:type="dxa"/>
            <w:tcBorders>
              <w:top w:val="nil"/>
              <w:left w:val="nil"/>
              <w:bottom w:val="nil"/>
              <w:right w:val="nil"/>
            </w:tcBorders>
          </w:tcPr>
          <w:p>
            <w:pPr>
              <w:pStyle w:val="0"/>
            </w:pPr>
            <w:r>
              <w:rPr>
                <w:sz w:val="20"/>
              </w:rPr>
              <w:t xml:space="preserve">Реальные располагаемые доходы, % г/г</w:t>
            </w:r>
          </w:p>
        </w:tc>
        <w:tc>
          <w:tcPr>
            <w:tcW w:w="1190" w:type="dxa"/>
            <w:tcBorders>
              <w:top w:val="nil"/>
              <w:left w:val="nil"/>
              <w:bottom w:val="nil"/>
              <w:right w:val="nil"/>
            </w:tcBorders>
          </w:tcPr>
          <w:p>
            <w:pPr>
              <w:pStyle w:val="0"/>
              <w:jc w:val="center"/>
            </w:pPr>
            <w:r>
              <w:rPr>
                <w:sz w:val="20"/>
              </w:rPr>
              <w:t xml:space="preserve">4,3</w:t>
            </w:r>
          </w:p>
        </w:tc>
        <w:tc>
          <w:tcPr>
            <w:tcW w:w="1128" w:type="dxa"/>
            <w:tcBorders>
              <w:top w:val="nil"/>
              <w:left w:val="nil"/>
              <w:bottom w:val="nil"/>
              <w:right w:val="nil"/>
            </w:tcBorders>
          </w:tcPr>
          <w:p>
            <w:pPr>
              <w:pStyle w:val="0"/>
              <w:jc w:val="center"/>
            </w:pPr>
            <w:r>
              <w:rPr>
                <w:sz w:val="20"/>
              </w:rPr>
              <w:t xml:space="preserve">2,7</w:t>
            </w:r>
          </w:p>
        </w:tc>
        <w:tc>
          <w:tcPr>
            <w:tcW w:w="1080" w:type="dxa"/>
            <w:tcBorders>
              <w:top w:val="nil"/>
              <w:left w:val="nil"/>
              <w:bottom w:val="nil"/>
              <w:right w:val="nil"/>
            </w:tcBorders>
          </w:tcPr>
          <w:p>
            <w:pPr>
              <w:pStyle w:val="0"/>
              <w:jc w:val="center"/>
            </w:pPr>
            <w:r>
              <w:rPr>
                <w:sz w:val="20"/>
              </w:rPr>
              <w:t xml:space="preserve">2,6</w:t>
            </w:r>
          </w:p>
        </w:tc>
        <w:tc>
          <w:tcPr>
            <w:tcW w:w="1123" w:type="dxa"/>
            <w:tcBorders>
              <w:top w:val="nil"/>
              <w:left w:val="nil"/>
              <w:bottom w:val="nil"/>
              <w:right w:val="nil"/>
            </w:tcBorders>
          </w:tcPr>
          <w:p>
            <w:pPr>
              <w:pStyle w:val="0"/>
              <w:jc w:val="center"/>
            </w:pPr>
            <w:r>
              <w:rPr>
                <w:sz w:val="20"/>
              </w:rPr>
              <w:t xml:space="preserve">2,6</w:t>
            </w:r>
          </w:p>
        </w:tc>
      </w:tr>
      <w:tr>
        <w:tc>
          <w:tcPr>
            <w:tcW w:w="4535" w:type="dxa"/>
            <w:tcBorders>
              <w:top w:val="nil"/>
              <w:left w:val="nil"/>
              <w:bottom w:val="nil"/>
              <w:right w:val="nil"/>
            </w:tcBorders>
          </w:tcPr>
          <w:p>
            <w:pPr>
              <w:pStyle w:val="0"/>
            </w:pPr>
            <w:r>
              <w:rPr>
                <w:sz w:val="20"/>
              </w:rPr>
              <w:t xml:space="preserve">ИПЦ, на конец года</w:t>
            </w:r>
          </w:p>
        </w:tc>
        <w:tc>
          <w:tcPr>
            <w:tcW w:w="1190" w:type="dxa"/>
            <w:tcBorders>
              <w:top w:val="nil"/>
              <w:left w:val="nil"/>
              <w:bottom w:val="nil"/>
              <w:right w:val="nil"/>
            </w:tcBorders>
          </w:tcPr>
          <w:p>
            <w:pPr>
              <w:pStyle w:val="0"/>
              <w:jc w:val="center"/>
            </w:pPr>
            <w:r>
              <w:rPr>
                <w:sz w:val="20"/>
              </w:rPr>
              <w:t xml:space="preserve">7,5</w:t>
            </w:r>
          </w:p>
        </w:tc>
        <w:tc>
          <w:tcPr>
            <w:tcW w:w="1128" w:type="dxa"/>
            <w:tcBorders>
              <w:top w:val="nil"/>
              <w:left w:val="nil"/>
              <w:bottom w:val="nil"/>
              <w:right w:val="nil"/>
            </w:tcBorders>
          </w:tcPr>
          <w:p>
            <w:pPr>
              <w:pStyle w:val="0"/>
              <w:jc w:val="center"/>
            </w:pPr>
            <w:r>
              <w:rPr>
                <w:sz w:val="20"/>
              </w:rPr>
              <w:t xml:space="preserve">4,5</w:t>
            </w:r>
          </w:p>
        </w:tc>
        <w:tc>
          <w:tcPr>
            <w:tcW w:w="1080" w:type="dxa"/>
            <w:tcBorders>
              <w:top w:val="nil"/>
              <w:left w:val="nil"/>
              <w:bottom w:val="nil"/>
              <w:right w:val="nil"/>
            </w:tcBorders>
          </w:tcPr>
          <w:p>
            <w:pPr>
              <w:pStyle w:val="0"/>
              <w:jc w:val="center"/>
            </w:pPr>
            <w:r>
              <w:rPr>
                <w:sz w:val="20"/>
              </w:rPr>
              <w:t xml:space="preserve">4,0</w:t>
            </w:r>
          </w:p>
        </w:tc>
        <w:tc>
          <w:tcPr>
            <w:tcW w:w="1123" w:type="dxa"/>
            <w:tcBorders>
              <w:top w:val="nil"/>
              <w:left w:val="nil"/>
              <w:bottom w:val="nil"/>
              <w:right w:val="nil"/>
            </w:tcBorders>
          </w:tcPr>
          <w:p>
            <w:pPr>
              <w:pStyle w:val="0"/>
              <w:jc w:val="center"/>
            </w:pPr>
            <w:r>
              <w:rPr>
                <w:sz w:val="20"/>
              </w:rPr>
              <w:t xml:space="preserve">4,0</w:t>
            </w:r>
          </w:p>
        </w:tc>
      </w:tr>
      <w:tr>
        <w:tc>
          <w:tcPr>
            <w:tcW w:w="4535" w:type="dxa"/>
            <w:tcBorders>
              <w:top w:val="nil"/>
              <w:left w:val="nil"/>
              <w:bottom w:val="nil"/>
              <w:right w:val="nil"/>
            </w:tcBorders>
          </w:tcPr>
          <w:p>
            <w:pPr>
              <w:pStyle w:val="0"/>
            </w:pPr>
            <w:r>
              <w:rPr>
                <w:sz w:val="20"/>
              </w:rPr>
              <w:t xml:space="preserve">Экспорт товаров, млрд $</w:t>
            </w:r>
          </w:p>
        </w:tc>
        <w:tc>
          <w:tcPr>
            <w:tcW w:w="1190" w:type="dxa"/>
            <w:tcBorders>
              <w:top w:val="nil"/>
              <w:left w:val="nil"/>
              <w:bottom w:val="nil"/>
              <w:right w:val="nil"/>
            </w:tcBorders>
          </w:tcPr>
          <w:p>
            <w:pPr>
              <w:pStyle w:val="0"/>
              <w:jc w:val="center"/>
            </w:pPr>
            <w:r>
              <w:rPr>
                <w:sz w:val="20"/>
              </w:rPr>
              <w:t xml:space="preserve">459,1</w:t>
            </w:r>
          </w:p>
        </w:tc>
        <w:tc>
          <w:tcPr>
            <w:tcW w:w="1128" w:type="dxa"/>
            <w:tcBorders>
              <w:top w:val="nil"/>
              <w:left w:val="nil"/>
              <w:bottom w:val="nil"/>
              <w:right w:val="nil"/>
            </w:tcBorders>
          </w:tcPr>
          <w:p>
            <w:pPr>
              <w:pStyle w:val="0"/>
              <w:jc w:val="center"/>
            </w:pPr>
            <w:r>
              <w:rPr>
                <w:sz w:val="20"/>
              </w:rPr>
              <w:t xml:space="preserve">471,0</w:t>
            </w:r>
          </w:p>
        </w:tc>
        <w:tc>
          <w:tcPr>
            <w:tcW w:w="1080" w:type="dxa"/>
            <w:tcBorders>
              <w:top w:val="nil"/>
              <w:left w:val="nil"/>
              <w:bottom w:val="nil"/>
              <w:right w:val="nil"/>
            </w:tcBorders>
          </w:tcPr>
          <w:p>
            <w:pPr>
              <w:pStyle w:val="0"/>
              <w:jc w:val="center"/>
            </w:pPr>
            <w:r>
              <w:rPr>
                <w:sz w:val="20"/>
              </w:rPr>
              <w:t xml:space="preserve">481,1</w:t>
            </w:r>
          </w:p>
        </w:tc>
        <w:tc>
          <w:tcPr>
            <w:tcW w:w="1123" w:type="dxa"/>
            <w:tcBorders>
              <w:top w:val="nil"/>
              <w:left w:val="nil"/>
              <w:bottom w:val="nil"/>
              <w:right w:val="nil"/>
            </w:tcBorders>
          </w:tcPr>
          <w:p>
            <w:pPr>
              <w:pStyle w:val="0"/>
              <w:jc w:val="center"/>
            </w:pPr>
            <w:r>
              <w:rPr>
                <w:sz w:val="20"/>
              </w:rPr>
              <w:t xml:space="preserve">496,7</w:t>
            </w:r>
          </w:p>
        </w:tc>
      </w:tr>
      <w:tr>
        <w:tc>
          <w:tcPr>
            <w:tcW w:w="4535" w:type="dxa"/>
            <w:tcBorders>
              <w:top w:val="nil"/>
              <w:left w:val="nil"/>
              <w:bottom w:val="single" w:sz="4"/>
              <w:right w:val="nil"/>
            </w:tcBorders>
          </w:tcPr>
          <w:p>
            <w:pPr>
              <w:pStyle w:val="0"/>
            </w:pPr>
            <w:r>
              <w:rPr>
                <w:sz w:val="20"/>
              </w:rPr>
              <w:t xml:space="preserve">Импорт товаров, млрд $</w:t>
            </w:r>
          </w:p>
        </w:tc>
        <w:tc>
          <w:tcPr>
            <w:tcW w:w="1190" w:type="dxa"/>
            <w:tcBorders>
              <w:top w:val="nil"/>
              <w:left w:val="nil"/>
              <w:bottom w:val="single" w:sz="4"/>
              <w:right w:val="nil"/>
            </w:tcBorders>
          </w:tcPr>
          <w:p>
            <w:pPr>
              <w:pStyle w:val="0"/>
              <w:jc w:val="center"/>
            </w:pPr>
            <w:r>
              <w:rPr>
                <w:sz w:val="20"/>
              </w:rPr>
              <w:t xml:space="preserve">313,8</w:t>
            </w:r>
          </w:p>
        </w:tc>
        <w:tc>
          <w:tcPr>
            <w:tcW w:w="1128" w:type="dxa"/>
            <w:tcBorders>
              <w:top w:val="nil"/>
              <w:left w:val="nil"/>
              <w:bottom w:val="single" w:sz="4"/>
              <w:right w:val="nil"/>
            </w:tcBorders>
          </w:tcPr>
          <w:p>
            <w:pPr>
              <w:pStyle w:val="0"/>
              <w:jc w:val="center"/>
            </w:pPr>
            <w:r>
              <w:rPr>
                <w:sz w:val="20"/>
              </w:rPr>
              <w:t xml:space="preserve">319,7</w:t>
            </w:r>
          </w:p>
        </w:tc>
        <w:tc>
          <w:tcPr>
            <w:tcW w:w="1080" w:type="dxa"/>
            <w:tcBorders>
              <w:top w:val="nil"/>
              <w:left w:val="nil"/>
              <w:bottom w:val="single" w:sz="4"/>
              <w:right w:val="nil"/>
            </w:tcBorders>
          </w:tcPr>
          <w:p>
            <w:pPr>
              <w:pStyle w:val="0"/>
              <w:jc w:val="center"/>
            </w:pPr>
            <w:r>
              <w:rPr>
                <w:sz w:val="20"/>
              </w:rPr>
              <w:t xml:space="preserve">326,8</w:t>
            </w:r>
          </w:p>
        </w:tc>
        <w:tc>
          <w:tcPr>
            <w:tcW w:w="1123" w:type="dxa"/>
            <w:tcBorders>
              <w:top w:val="nil"/>
              <w:left w:val="nil"/>
              <w:bottom w:val="single" w:sz="4"/>
              <w:right w:val="nil"/>
            </w:tcBorders>
          </w:tcPr>
          <w:p>
            <w:pPr>
              <w:pStyle w:val="0"/>
              <w:jc w:val="center"/>
            </w:pPr>
            <w:r>
              <w:rPr>
                <w:sz w:val="20"/>
              </w:rPr>
              <w:t xml:space="preserve">335,5</w:t>
            </w:r>
          </w:p>
        </w:tc>
      </w:tr>
    </w:tbl>
    <w:p>
      <w:pPr>
        <w:pStyle w:val="0"/>
        <w:jc w:val="both"/>
      </w:pPr>
      <w:r>
        <w:rPr>
          <w:sz w:val="20"/>
        </w:rPr>
      </w:r>
    </w:p>
    <w:p>
      <w:pPr>
        <w:pStyle w:val="2"/>
        <w:outlineLvl w:val="1"/>
        <w:ind w:firstLine="540"/>
        <w:jc w:val="both"/>
      </w:pPr>
      <w:r>
        <w:rPr>
          <w:sz w:val="20"/>
        </w:rPr>
        <w:t xml:space="preserve">3. ЦЕЛИ И ЗАДАЧИ БЮДЖЕТНОЙ И НАЛОГОВОЙ ПОЛИТИКИ НА 2024 - 2026</w:t>
      </w:r>
    </w:p>
    <w:p>
      <w:pPr>
        <w:pStyle w:val="0"/>
        <w:jc w:val="both"/>
      </w:pPr>
      <w:r>
        <w:rPr>
          <w:sz w:val="20"/>
        </w:rPr>
      </w:r>
    </w:p>
    <w:p>
      <w:pPr>
        <w:pStyle w:val="2"/>
        <w:outlineLvl w:val="2"/>
        <w:ind w:firstLine="540"/>
        <w:jc w:val="both"/>
      </w:pPr>
      <w:r>
        <w:rPr>
          <w:sz w:val="20"/>
        </w:rPr>
        <w:t xml:space="preserve">3.1. СТРУКТУРНАЯ ТРАНСФОРМАЦИЯ ЭКОНОМИКИ</w:t>
      </w:r>
    </w:p>
    <w:p>
      <w:pPr>
        <w:pStyle w:val="0"/>
        <w:ind w:firstLine="540"/>
        <w:jc w:val="both"/>
      </w:pPr>
      <w:r>
        <w:rPr>
          <w:sz w:val="20"/>
        </w:rPr>
      </w:r>
    </w:p>
    <w:p>
      <w:pPr>
        <w:pStyle w:val="0"/>
        <w:ind w:firstLine="540"/>
        <w:jc w:val="both"/>
      </w:pPr>
      <w:r>
        <w:rPr>
          <w:sz w:val="20"/>
        </w:rPr>
        <w:t xml:space="preserve">По мере перестройки хозяйственных связей, адаптации экономики и восстановления деловой активности акцент экономической политики смещается с антикризисной повестки к задачам содействия достижению национальных целей развития с акцентом на: (1) социальную поддержку нуждающихся граждан, (2) укрепление обороноспособности страны, (3) интеграцию новых регионов и (4) технологическое развитие и поддержку инфраструктуры.</w:t>
      </w:r>
    </w:p>
    <w:p>
      <w:pPr>
        <w:pStyle w:val="0"/>
        <w:spacing w:before="200" w:line-rule="auto"/>
        <w:ind w:firstLine="540"/>
        <w:jc w:val="both"/>
      </w:pPr>
      <w:r>
        <w:rPr>
          <w:sz w:val="20"/>
        </w:rPr>
        <w:t xml:space="preserve">Надежной основой их достижения станет сбалансированный и устойчивый рост экономики, обеспечивающий последовательное повышение качества жизни граждан. Этому будет содействовать проведение бюджетной политики, ориентированной на (1) обеспечение устойчивой и предсказуемой экономической среды и (2) ускорение структурной трансформации за счет структурных изменений в доходах и расходах.</w:t>
      </w:r>
    </w:p>
    <w:p>
      <w:pPr>
        <w:pStyle w:val="0"/>
        <w:jc w:val="both"/>
      </w:pPr>
      <w:r>
        <w:rPr>
          <w:sz w:val="20"/>
        </w:rPr>
      </w:r>
    </w:p>
    <w:p>
      <w:pPr>
        <w:pStyle w:val="2"/>
        <w:outlineLvl w:val="3"/>
        <w:ind w:firstLine="540"/>
        <w:jc w:val="both"/>
      </w:pPr>
      <w:r>
        <w:rPr>
          <w:sz w:val="20"/>
        </w:rPr>
        <w:t xml:space="preserve">АДАПТАЦИЯ ЭКОНОМИКИ И СТАБИЛЬНАЯ МАКРОСРЕДА</w:t>
      </w:r>
    </w:p>
    <w:p>
      <w:pPr>
        <w:pStyle w:val="0"/>
        <w:spacing w:before="200" w:line-rule="auto"/>
        <w:ind w:firstLine="540"/>
        <w:jc w:val="both"/>
      </w:pPr>
      <w:r>
        <w:rPr>
          <w:sz w:val="20"/>
        </w:rPr>
        <w:t xml:space="preserve">Увеличение расходов для содействия трансформации экономики к перестройке хозяйственных связей и увеличению аллокации ресурсов на новые приоритеты потребовало обеспечения экспансивной направленности бюджетной политики в 2022 - 2023 гг. С учетом "забалансовых" мер поддержки совокупный размер фискального импульса в 2022 - 2023 гг. составляет порядка 10,0% годового ВВП (см. </w:t>
      </w:r>
      <w:hyperlink w:history="0" w:anchor="P534" w:tooltip="БЮДЖЕТНЫЙ ИМПУЛЬС: РАЗМЕР И КАНАЛЫ ВОЗДЕЙСТВИЯ">
        <w:r>
          <w:rPr>
            <w:sz w:val="20"/>
            <w:color w:val="0000ff"/>
          </w:rPr>
          <w:t xml:space="preserve">врезку</w:t>
        </w:r>
      </w:hyperlink>
      <w:r>
        <w:rPr>
          <w:sz w:val="20"/>
        </w:rPr>
        <w:t xml:space="preserve"> "Бюджетный импульс").</w:t>
      </w:r>
    </w:p>
    <w:p>
      <w:pPr>
        <w:pStyle w:val="0"/>
        <w:spacing w:before="200" w:line-rule="auto"/>
        <w:ind w:firstLine="540"/>
        <w:jc w:val="both"/>
      </w:pPr>
      <w:r>
        <w:rPr>
          <w:sz w:val="20"/>
        </w:rPr>
        <w:t xml:space="preserve">Предусмотренная в бюджете 2023 - 2025 гг. траектория бюджетной политики масштабирована соразмерно ожидавшейся осенью 2022 года траектории постепенного восстановления деловой активности. Фактическое восстановление деловой активности оказалось более динамичным, что по мере достижения полной занятости на рынке труда привело к появлению признаков перегрева.</w:t>
      </w:r>
    </w:p>
    <w:p>
      <w:pPr>
        <w:pStyle w:val="0"/>
        <w:spacing w:before="200" w:line-rule="auto"/>
        <w:ind w:firstLine="540"/>
        <w:jc w:val="both"/>
      </w:pPr>
      <w:r>
        <w:rPr>
          <w:sz w:val="20"/>
        </w:rPr>
        <w:t xml:space="preserve">Внутренний спрос в текущем году растет опережающими по отношению к производственным возможностям темпами, что формирует повышенный инфляционный фон. Признаки перегрева частично основаны на временных факторах: повышенный внутренний спрос вследствие перестройки географии международного туризма, нормализация уровня сбережений после роста в прошлом году и другие. Тем не менее, даже временное ускорение инфляции наиболее болезненно сказывается на наименее защищенных гражданах с низким уровнем доходов.</w:t>
      </w:r>
    </w:p>
    <w:p>
      <w:pPr>
        <w:pStyle w:val="0"/>
        <w:spacing w:before="200" w:line-rule="auto"/>
        <w:ind w:firstLine="540"/>
        <w:jc w:val="both"/>
      </w:pPr>
      <w:r>
        <w:rPr>
          <w:sz w:val="20"/>
        </w:rPr>
        <w:t xml:space="preserve">В условиях достижения полной занятости и преодоления потенциального уровня деловой активности предусматривается постепенное завершение нормализации бюджетной политики к 2025 году. Это будет содействовать стабилизации инфляционных ожиданий и возвращению инфляции к целевому ориентиру (4%).</w:t>
      </w:r>
    </w:p>
    <w:p>
      <w:pPr>
        <w:pStyle w:val="0"/>
        <w:jc w:val="both"/>
      </w:pPr>
      <w:r>
        <w:rPr>
          <w:sz w:val="20"/>
        </w:rPr>
      </w:r>
    </w:p>
    <w:bookmarkStart w:id="534" w:name="P534"/>
    <w:bookmarkEnd w:id="534"/>
    <w:p>
      <w:pPr>
        <w:pStyle w:val="2"/>
        <w:outlineLvl w:val="3"/>
        <w:ind w:firstLine="540"/>
        <w:jc w:val="both"/>
      </w:pPr>
      <w:r>
        <w:rPr>
          <w:sz w:val="20"/>
        </w:rPr>
        <w:t xml:space="preserve">БЮДЖЕТНЫЙ ИМПУЛЬС: РАЗМЕР И КАНАЛЫ ВОЗДЕЙСТВИЯ</w:t>
      </w:r>
    </w:p>
    <w:p>
      <w:pPr>
        <w:pStyle w:val="0"/>
        <w:spacing w:before="200" w:line-rule="auto"/>
        <w:ind w:firstLine="540"/>
        <w:jc w:val="both"/>
      </w:pPr>
      <w:r>
        <w:rPr>
          <w:sz w:val="20"/>
        </w:rPr>
        <w:t xml:space="preserve">Оценка бюджетного импульса включает как бюджетные операции, так и "квазибюджетные" операции под чертой - такие как предоставление бюджетных и межгосударственных кредитов, инвестиции ФНБ в финансовые активы российских организаций.</w:t>
      </w:r>
    </w:p>
    <w:p>
      <w:pPr>
        <w:pStyle w:val="0"/>
        <w:spacing w:before="200" w:line-rule="auto"/>
        <w:ind w:firstLine="540"/>
        <w:jc w:val="both"/>
      </w:pPr>
      <w:r>
        <w:rPr>
          <w:sz w:val="20"/>
        </w:rPr>
        <w:t xml:space="preserve">В целях полноценного отражения бюджетных операций показатель структурного первичного баланса также скорректирован в 2020 - 2021 гг. на доходы от перечисления прибыли Банка России в результате продажи акций ПАО "Сбербанк", а в 2022 - 2023 гг. на авансового перечисление Фонду пенсионного и социального страхования в декабре 2022 года отдельных трансфертов, предусмотренных на 2023 год.</w:t>
      </w:r>
    </w:p>
    <w:p>
      <w:pPr>
        <w:pStyle w:val="0"/>
        <w:spacing w:before="200" w:line-rule="auto"/>
        <w:ind w:firstLine="540"/>
        <w:jc w:val="both"/>
      </w:pPr>
      <w:r>
        <w:rPr>
          <w:sz w:val="20"/>
        </w:rPr>
        <w:t xml:space="preserve">При оценке бюджетного импульса в 2023 году также учтен эффект от изменения параметра базовых нефтегазовых доходов с 45 $/барр. до де-факто 60 $/барр. (или 8,0 трлн рублей).</w:t>
      </w:r>
    </w:p>
    <w:p>
      <w:pPr>
        <w:pStyle w:val="0"/>
        <w:jc w:val="both"/>
      </w:pPr>
      <w:r>
        <w:rPr>
          <w:sz w:val="20"/>
        </w:rPr>
      </w:r>
    </w:p>
    <w:p>
      <w:pPr>
        <w:pStyle w:val="0"/>
        <w:jc w:val="center"/>
      </w:pPr>
      <w:r>
        <w:rPr>
          <w:position w:val="-253"/>
        </w:rPr>
        <w:drawing>
          <wp:inline distT="0" distB="0" distL="0" distR="0">
            <wp:extent cx="5021580" cy="3346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5021580" cy="334645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Бюджетный импульс транслируется в экономику (за счет влияния на деловую активность и инфляцию) посредством трех каналов:</w:t>
      </w:r>
    </w:p>
    <w:p>
      <w:pPr>
        <w:pStyle w:val="0"/>
        <w:spacing w:before="200" w:line-rule="auto"/>
        <w:ind w:firstLine="540"/>
        <w:jc w:val="both"/>
      </w:pPr>
      <w:r>
        <w:rPr>
          <w:sz w:val="20"/>
        </w:rPr>
        <w:t xml:space="preserve">- канал доходов: через воздействие на нефинансовый сектор (компании и домохозяйства) путем увеличения их доходов (пособия нуждающимся, индексация пенсий, МРОТ и прожиточного минимума, прочее) и прибыли (прямые отраслевые субсидии, снижение/отсрочка налогов, обнуление ввозных пошлин, прочее), что обуславливает рост внутреннего спроса;</w:t>
      </w:r>
    </w:p>
    <w:p>
      <w:pPr>
        <w:pStyle w:val="0"/>
        <w:spacing w:before="200" w:line-rule="auto"/>
        <w:ind w:firstLine="540"/>
        <w:jc w:val="both"/>
      </w:pPr>
      <w:r>
        <w:rPr>
          <w:sz w:val="20"/>
        </w:rPr>
        <w:t xml:space="preserve">- канал кредита: воздействуя на прибыль, доходы и капитал нефинансового сектора изменяется и его кредитная "емкость", что влияет как на "платежеспособный" спрос, так и опосредованно на предложение кредита в экономике;</w:t>
      </w:r>
    </w:p>
    <w:p>
      <w:pPr>
        <w:pStyle w:val="0"/>
        <w:spacing w:before="200" w:line-rule="auto"/>
        <w:ind w:firstLine="540"/>
        <w:jc w:val="both"/>
      </w:pPr>
      <w:r>
        <w:rPr>
          <w:sz w:val="20"/>
        </w:rPr>
        <w:t xml:space="preserve">- канал ожиданий: доверие экономических агентов приверженности проведению ответственной бюджетной политики смягчает возможные инфляционные последствия вследствие временного отклонения от целевых параметров, и напротив в отсутствие доверия (например, убедительного плана нормализации) способствует росту девальвационных и инфляционных ожиданий.</w:t>
      </w:r>
    </w:p>
    <w:p>
      <w:pPr>
        <w:pStyle w:val="0"/>
        <w:jc w:val="both"/>
      </w:pPr>
      <w:r>
        <w:rPr>
          <w:sz w:val="20"/>
        </w:rPr>
      </w:r>
    </w:p>
    <w:p>
      <w:pPr>
        <w:pStyle w:val="0"/>
        <w:jc w:val="center"/>
      </w:pPr>
      <w:r>
        <w:rPr>
          <w:position w:val="-247"/>
        </w:rPr>
        <w:drawing>
          <wp:inline distT="0" distB="0" distL="0" distR="0">
            <wp:extent cx="5025390" cy="3274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5025390" cy="327469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Нормализация бюджетной политики подразумевает возврат с 2025 года к обычным параметрам "бюджетных правил" - т.е. направление на расходы только базовых нефтегазовых доходов и обеспечение структурного первичного баланса с поправкой на "квазибюджетные" операции под чертой. В 2024 году временное превышение предельного размера расходов установлено в пределах 1,6 трлн рублей.</w:t>
      </w:r>
    </w:p>
    <w:p>
      <w:pPr>
        <w:pStyle w:val="0"/>
        <w:spacing w:before="200" w:line-rule="auto"/>
        <w:ind w:firstLine="540"/>
        <w:jc w:val="both"/>
      </w:pPr>
      <w:r>
        <w:rPr>
          <w:sz w:val="20"/>
        </w:rPr>
        <w:t xml:space="preserve">При формировании федерального бюджета на 2023 - 2025 гг. в связи с ограниченной предсказуемости объемов добычи и экспорта нефти и природного газа базовые нефтегазовые доходы устанавливались в фиксированном выражении (8 трлн рублей). Принятые в 2022 - 2023 гг. меры по диверсификации поставок нефти обеспечили устойчивость добычи и экспорта. Это создает условия для возврата к традиционному определению базовых нефтегазовых доходов через базовую цену на нефть на уровне 60 $/барр., что соответствует уровню цен, использованному в прошлом году для определения фиксированного размера в 8,0 трлн рублей.</w:t>
      </w:r>
    </w:p>
    <w:p>
      <w:pPr>
        <w:pStyle w:val="0"/>
        <w:spacing w:before="200" w:line-rule="auto"/>
        <w:ind w:firstLine="540"/>
        <w:jc w:val="both"/>
      </w:pPr>
      <w:r>
        <w:rPr>
          <w:sz w:val="20"/>
        </w:rPr>
        <w:t xml:space="preserve">Как показывает опыт последних 7 лет - включающий как периоды относительно благоприятной конъюнктуры, так и периоды резких и масштабных падений цен - проведение с 2017 года бюджетной политики на основе "бюджетных правил" позволило эффективно "локализовать" нефтяную волатильность, обеспечивая устойчивость к такого рода шокам как непосредственно государственных финансов, так и экономики в целом (см. </w:t>
      </w:r>
      <w:hyperlink w:history="0" w:anchor="P558" w:tooltip="Ссылка на текущий документ">
        <w:r>
          <w:rPr>
            <w:sz w:val="20"/>
            <w:color w:val="0000ff"/>
          </w:rPr>
          <w:t xml:space="preserve">врезку</w:t>
        </w:r>
      </w:hyperlink>
      <w:r>
        <w:rPr>
          <w:sz w:val="20"/>
        </w:rPr>
        <w:t xml:space="preserve"> "Бюджетные правила в России: локализация нефтяных шоков").</w:t>
      </w:r>
    </w:p>
    <w:p>
      <w:pPr>
        <w:pStyle w:val="0"/>
        <w:spacing w:before="200" w:line-rule="auto"/>
        <w:ind w:firstLine="540"/>
        <w:jc w:val="both"/>
      </w:pPr>
      <w:r>
        <w:rPr>
          <w:sz w:val="20"/>
        </w:rPr>
        <w:t xml:space="preserve">Соответственно, параметр базовой цены нефти "бюджетных правил" обеспечивает устойчивость к нефтяным шокам, а параметр структурного первичного дефицита обеспечивает устойчивость траектории госдолга, минимизируя влияние бюджета на уровень процентных ставок в экономике и доступность кредита. Совокупно следование "бюджетным правилам" содействует поддержанию стабильных экономических и финансовых условий с устойчиво низкими равновесными реальными процентными ставками, благоприятствуя тем самым сбалансированному развитию экономики на основе частных капиталовложений.</w:t>
      </w:r>
    </w:p>
    <w:p>
      <w:pPr>
        <w:pStyle w:val="0"/>
        <w:spacing w:before="200" w:line-rule="auto"/>
        <w:ind w:firstLine="540"/>
        <w:jc w:val="both"/>
      </w:pPr>
      <w:r>
        <w:rPr>
          <w:sz w:val="20"/>
        </w:rPr>
        <w:t xml:space="preserve">В то же время долгосрочная эффективность "бюджетных правил" и, соответственно, устойчивость государственных финансов зависит не только от масштабов возможных ценовых колебаний, но и их продолжительности. Это особенно актуально в контексте ожидаемых на долгосрочном горизонте кардинальных структурных изменений на мировых энергетических рынках в связи с "энергопереходом".</w:t>
      </w:r>
    </w:p>
    <w:p>
      <w:pPr>
        <w:pStyle w:val="0"/>
        <w:spacing w:before="200" w:line-rule="auto"/>
        <w:ind w:firstLine="540"/>
        <w:jc w:val="both"/>
      </w:pPr>
      <w:r>
        <w:rPr>
          <w:sz w:val="20"/>
        </w:rPr>
        <w:t xml:space="preserve">Главным фактором долгосрочной устойчивости в этом выступает наличие достаточного объема ликвидных резервных активов в Фонде национального благосостояния (ФНБ).</w:t>
      </w:r>
    </w:p>
    <w:p>
      <w:pPr>
        <w:pStyle w:val="0"/>
        <w:spacing w:before="200" w:line-rule="auto"/>
        <w:ind w:firstLine="540"/>
        <w:jc w:val="both"/>
      </w:pPr>
      <w:r>
        <w:rPr>
          <w:sz w:val="20"/>
        </w:rPr>
        <w:t xml:space="preserve">Рост цен на нефть на фоне сдерживания предложения позволил в текущем году вернуться к накоплению дополнительных нефтегазовых доходов, и по итогам года совокупный размер резервных активов ФНБ и средств дополнительных нефтегазовых доходов на спецсчете (по учету дополнительных нефтегазовых доходов в течение года) составит порядка 6 трлн рублей (~3,5% ВВП).</w:t>
      </w:r>
    </w:p>
    <w:p>
      <w:pPr>
        <w:pStyle w:val="0"/>
        <w:spacing w:before="200" w:line-rule="auto"/>
        <w:ind w:firstLine="540"/>
        <w:jc w:val="both"/>
      </w:pPr>
      <w:r>
        <w:rPr>
          <w:sz w:val="20"/>
        </w:rPr>
        <w:t xml:space="preserve">Вместе с тем в средне-/долгосрочном периоде вероятно усиление тенденций нисходящей динамики нефтяного рынка при сохранении повышенной ценовой волатильности. Стресс-тестирование бюджетных параметров в зависимости от траектории цен на нефть отражает, что в случае реализации наиболее амбициозных сценариев "энергоперехода" вопрос устойчивости федерального бюджета может встать уже на горизонте 3 - 5 лет.</w:t>
      </w:r>
    </w:p>
    <w:p>
      <w:pPr>
        <w:pStyle w:val="0"/>
        <w:spacing w:before="200" w:line-rule="auto"/>
        <w:ind w:firstLine="540"/>
        <w:jc w:val="both"/>
      </w:pPr>
      <w:r>
        <w:rPr>
          <w:sz w:val="20"/>
        </w:rPr>
        <w:t xml:space="preserve">В этом свете к инвестированию дополнительных конъюнктурных доходов, накапливаемых в период относительно высоких цен, необходимо подходить особенно аккуратно.</w:t>
      </w:r>
    </w:p>
    <w:p>
      <w:pPr>
        <w:pStyle w:val="0"/>
        <w:jc w:val="both"/>
      </w:pPr>
      <w:r>
        <w:rPr>
          <w:sz w:val="20"/>
        </w:rPr>
      </w:r>
    </w:p>
    <w:bookmarkStart w:id="558" w:name="P558"/>
    <w:bookmarkEnd w:id="558"/>
    <w:p>
      <w:pPr>
        <w:pStyle w:val="0"/>
        <w:jc w:val="center"/>
      </w:pPr>
      <w:r>
        <w:rPr>
          <w:position w:val="-470"/>
        </w:rPr>
        <w:drawing>
          <wp:inline distT="0" distB="0" distL="0" distR="0">
            <wp:extent cx="5002530" cy="6103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5002530" cy="6103620"/>
                    </a:xfrm>
                    <a:prstGeom prst="rect">
                      <a:avLst/>
                    </a:prstGeom>
                    <a:noFill/>
                    <a:ln>
                      <a:noFill/>
                    </a:ln>
                  </pic:spPr>
                </pic:pic>
              </a:graphicData>
            </a:graphic>
          </wp:inline>
        </w:drawing>
      </w:r>
    </w:p>
    <w:p>
      <w:pPr>
        <w:pStyle w:val="0"/>
        <w:jc w:val="both"/>
      </w:pPr>
      <w:r>
        <w:rPr>
          <w:sz w:val="20"/>
        </w:rPr>
      </w:r>
    </w:p>
    <w:p>
      <w:pPr>
        <w:pStyle w:val="2"/>
        <w:outlineLvl w:val="3"/>
        <w:ind w:firstLine="540"/>
        <w:jc w:val="both"/>
      </w:pPr>
      <w:r>
        <w:rPr>
          <w:sz w:val="20"/>
        </w:rPr>
        <w:t xml:space="preserve">СТРУКТУРНЫЕ МЕРЫ НАЛОГОВОЙ ПОЛИТИКИ</w:t>
      </w:r>
    </w:p>
    <w:p>
      <w:pPr>
        <w:pStyle w:val="0"/>
        <w:spacing w:before="200" w:line-rule="auto"/>
        <w:ind w:firstLine="540"/>
        <w:jc w:val="both"/>
      </w:pPr>
      <w:r>
        <w:rPr>
          <w:sz w:val="20"/>
        </w:rPr>
        <w:t xml:space="preserve">На содействие структурной трансформации будет ориентирован весь инструментарий бюджетной политики, включая налоговую систему.</w:t>
      </w:r>
    </w:p>
    <w:p>
      <w:pPr>
        <w:pStyle w:val="0"/>
        <w:spacing w:before="200" w:line-rule="auto"/>
        <w:ind w:firstLine="540"/>
        <w:jc w:val="both"/>
      </w:pPr>
      <w:r>
        <w:rPr>
          <w:sz w:val="20"/>
        </w:rPr>
        <w:t xml:space="preserve">В целом в налоговой политике акцент сохранится на повышении эффективности стимулирующей функции налоговой системы и улучшении качества администрирования с сопутствующим облегчением административной нагрузки для налогоплательщиков и повышением собираемости налогов.</w:t>
      </w:r>
    </w:p>
    <w:p>
      <w:pPr>
        <w:pStyle w:val="0"/>
        <w:spacing w:before="200" w:line-rule="auto"/>
        <w:ind w:firstLine="540"/>
        <w:jc w:val="both"/>
      </w:pPr>
      <w:r>
        <w:rPr>
          <w:sz w:val="20"/>
        </w:rPr>
        <w:t xml:space="preserve">Предусмотрены также дальнейшие шаги по донастройке налогообложения нефтегазового сектора - в частности, поэтапное сокращение предельного дисконта для целей налогообложения (с 15 $/барр. в 2024 году до 10 $/барр. в 2025 году и 6 $/барр. в 2026 году), сокращение топливного демпфера и повышение ставки НДПИ на природный газ в эквиваленте повышения тарифов на газ для промышленных потребителей.</w:t>
      </w:r>
    </w:p>
    <w:p>
      <w:pPr>
        <w:pStyle w:val="0"/>
        <w:spacing w:before="200" w:line-rule="auto"/>
        <w:ind w:firstLine="540"/>
        <w:jc w:val="both"/>
      </w:pPr>
      <w:r>
        <w:rPr>
          <w:sz w:val="20"/>
        </w:rPr>
        <w:t xml:space="preserve">Актуальность и надежность традиционных ориентиров экспортных цен на российскую нефть (цена на нефть марки Юралс) несколько снизилась с 2022 года в условиях масштабных изменений структуры рынков сбыта и логистики. Эффективность рентного налогообложения (НДПИ, НДД, экспортная пошлина, обратный акциз) при определении налоговой базы исходя из традиционных ценовых ориентиров, таким образом, также несколько снизилась. Так, соотношение объема рентных налогов к свободному денежному потоку до фискального раздела (EBITDA за вычетом рентных налогов после финансирования капиталовложении) резко снизилось с 2022 года, что в условиях относительно стабильного уровня удельных издержек отражает более высокие, чем подразумевается традиционными ценовыми ориентирами, цены реализации.</w:t>
      </w:r>
    </w:p>
    <w:p>
      <w:pPr>
        <w:pStyle w:val="0"/>
        <w:jc w:val="both"/>
      </w:pPr>
      <w:r>
        <w:rPr>
          <w:sz w:val="20"/>
        </w:rPr>
      </w:r>
    </w:p>
    <w:p>
      <w:pPr>
        <w:pStyle w:val="0"/>
        <w:jc w:val="center"/>
      </w:pPr>
      <w:r>
        <w:rPr>
          <w:position w:val="-230"/>
        </w:rPr>
        <w:drawing>
          <wp:inline distT="0" distB="0" distL="0" distR="0">
            <wp:extent cx="4760595" cy="3048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4760595" cy="30480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этом контексте, предусматриваемый переход к определению налоговой базы в привязке к актуальным ценовым ориентирам и сокращение предельного дисконта позволит повысить эффективность рентного налогообложения нефтяной отрасли.</w:t>
      </w:r>
    </w:p>
    <w:p>
      <w:pPr>
        <w:pStyle w:val="0"/>
        <w:spacing w:before="200" w:line-rule="auto"/>
        <w:ind w:firstLine="540"/>
        <w:jc w:val="both"/>
      </w:pPr>
      <w:r>
        <w:rPr>
          <w:sz w:val="20"/>
        </w:rPr>
        <w:t xml:space="preserve">Кроме того, в целях смягчения влияния курсовых колебаний на ценовые условия на внутреннем рынке с 1 октября 2023 года временно (до 2025 года) вводится прогрессивная шкала ставок экспортных пошлин на товары ненефтегазового экспорта (кроме машино-технической продукции и товаров с высокой импортной составляющей) в зависимости от уровня валютного курса (4% при курсе $/рубля 80 - 85, 5% при курсе 85 - 90, 5,5% при курсе 90 - 95 и 7% при курсе выше 95). При этом в структуре экспорта данных товаров порядка 80% приходится на продукцию отраслей ГМК, где сохраняется высокий потенциал повышения справедливости распределения рентных доходов (см. врезку "Рентное налогообложение отраслей ГМК").</w:t>
      </w:r>
    </w:p>
    <w:p>
      <w:pPr>
        <w:pStyle w:val="0"/>
        <w:jc w:val="both"/>
      </w:pPr>
      <w:r>
        <w:rPr>
          <w:sz w:val="20"/>
        </w:rPr>
      </w:r>
    </w:p>
    <w:p>
      <w:pPr>
        <w:pStyle w:val="2"/>
        <w:outlineLvl w:val="3"/>
        <w:ind w:firstLine="540"/>
        <w:jc w:val="both"/>
      </w:pPr>
      <w:r>
        <w:rPr>
          <w:sz w:val="20"/>
        </w:rPr>
        <w:t xml:space="preserve">РЕНТНОЕ НАЛОГООБЛОЖЕНИЕ ОТРАСЛЕЙ ГМК</w:t>
      </w:r>
    </w:p>
    <w:p>
      <w:pPr>
        <w:pStyle w:val="0"/>
        <w:spacing w:before="200" w:line-rule="auto"/>
        <w:ind w:firstLine="540"/>
        <w:jc w:val="both"/>
      </w:pPr>
      <w:r>
        <w:rPr>
          <w:sz w:val="20"/>
        </w:rPr>
        <w:t xml:space="preserve">В целом за последние 10 лет операционный денежный поток крупнейших компаний отечественного ГМК (EBITDA) составил почти 25 трлн рублей при инвестициях за тот же период в размере менее 8,5 трлн рублей. "Условная" доходность на вкладываемый капитал (соотношение EBITDA после произведенных капиталовложений к капиталовложениям) накопленным итогом за 10 лет составляет ~200%. Аналогичный показатель в нефтяной отрасли (ТОП-5) составляет ~90%. В отсутствие рентных налогов (НДПИ, НДД, экспертная пошлина, отрицательный акциз) этот показатель составил бы ~230% по отраслям ГМК и ~350% по нефтяной отрасли.</w:t>
      </w:r>
    </w:p>
    <w:p>
      <w:pPr>
        <w:pStyle w:val="0"/>
        <w:jc w:val="both"/>
      </w:pPr>
      <w:r>
        <w:rPr>
          <w:sz w:val="20"/>
        </w:rPr>
      </w:r>
    </w:p>
    <w:p>
      <w:pPr>
        <w:pStyle w:val="0"/>
        <w:jc w:val="center"/>
      </w:pPr>
      <w:r>
        <w:rPr>
          <w:position w:val="-147"/>
        </w:rPr>
        <w:drawing>
          <wp:inline distT="0" distB="0" distL="0" distR="0">
            <wp:extent cx="5061585" cy="2001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5061585" cy="200152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Оставшийся свободный денежный поток после уплаты налогов и финансирования капиталовложений (за последние 10 лет более 16 трлн рублей) компании отрасли ГМК в соответствии с обычными практиками корпоративного управления распределяют среди акционеров. В то же время значимая часть повышенной доходности объясняется рентной составляющей, что наиболее наглядно демонстрируют периоды благоприятной конъюнктуры, сопровождающиеся кратным ростом денежного потока после финансирования капиталовложений.</w:t>
      </w:r>
    </w:p>
    <w:p>
      <w:pPr>
        <w:pStyle w:val="0"/>
        <w:spacing w:before="200" w:line-rule="auto"/>
        <w:ind w:firstLine="540"/>
        <w:jc w:val="both"/>
      </w:pPr>
      <w:r>
        <w:rPr>
          <w:sz w:val="20"/>
        </w:rPr>
        <w:t xml:space="preserve">Учитывая в значительной степени рентную природу повышенного уровня доходности в отраслях ГМК, актуальным является вопрос справедливости распределения рентного дохода между недропользователями и гражданами (через систему рентного налогообложения и бюджет).</w:t>
      </w:r>
    </w:p>
    <w:p>
      <w:pPr>
        <w:pStyle w:val="0"/>
        <w:spacing w:before="200" w:line-rule="auto"/>
        <w:ind w:firstLine="540"/>
        <w:jc w:val="both"/>
      </w:pPr>
      <w:r>
        <w:rPr>
          <w:sz w:val="20"/>
        </w:rPr>
        <w:t xml:space="preserve">Исторически доля перераспределения через систему рентного налогообложения в отраслях ГМК была незначительной. За период 2012 - 2021 гг. совокупный объем рентных налогов отраслей ГМК достиг 0,8 трлн рублей, что составляет менее 5% свободного денежного потока до фискального раздела (EBITDA за вычетом рентных налогов после финансирования капиталовложений). Аналогичный показатель в нефтяной отрасли за тот же период составил около 70%.</w:t>
      </w:r>
    </w:p>
    <w:p>
      <w:pPr>
        <w:pStyle w:val="0"/>
        <w:spacing w:before="200" w:line-rule="auto"/>
        <w:ind w:firstLine="540"/>
        <w:jc w:val="both"/>
      </w:pPr>
      <w:r>
        <w:rPr>
          <w:sz w:val="20"/>
        </w:rPr>
        <w:t xml:space="preserve">Частичная модернизация с 2022 года принципов налогообложения в отраслях ГМК с привязкой ставок НДПИ к уровню цен на соответствующие сырьевые товары несколько увеличила долю перераспределяемых через рентное налогообложение доходов - в среднем до 12% (от 2% до 16% в зависимости от отрасли).</w:t>
      </w:r>
    </w:p>
    <w:p>
      <w:pPr>
        <w:pStyle w:val="0"/>
        <w:spacing w:before="200" w:line-rule="auto"/>
        <w:ind w:firstLine="540"/>
        <w:jc w:val="both"/>
      </w:pPr>
      <w:r>
        <w:rPr>
          <w:sz w:val="20"/>
        </w:rPr>
        <w:t xml:space="preserve">Учитывая сохраняющуюся невысокую долю перераспределения ренты в отраслях ГМК, предусмотренная в 2023 - 2024 гг. уплата экспортных пошлин на соответствующие товары будет содействовать некоторому улучшению справедливости распределения рентных доходов в этих отраслях.</w:t>
      </w:r>
    </w:p>
    <w:p>
      <w:pPr>
        <w:pStyle w:val="0"/>
        <w:jc w:val="both"/>
      </w:pPr>
      <w:r>
        <w:rPr>
          <w:sz w:val="20"/>
        </w:rPr>
      </w:r>
    </w:p>
    <w:p>
      <w:pPr>
        <w:pStyle w:val="0"/>
        <w:jc w:val="center"/>
      </w:pPr>
      <w:r>
        <w:rPr>
          <w:position w:val="-167"/>
        </w:rPr>
        <w:drawing>
          <wp:inline distT="0" distB="0" distL="0" distR="0">
            <wp:extent cx="5020945" cy="2258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5020945" cy="2258060"/>
                    </a:xfrm>
                    <a:prstGeom prst="rect">
                      <a:avLst/>
                    </a:prstGeom>
                    <a:noFill/>
                    <a:ln>
                      <a:noFill/>
                    </a:ln>
                  </pic:spPr>
                </pic:pic>
              </a:graphicData>
            </a:graphic>
          </wp:inline>
        </w:drawing>
      </w:r>
    </w:p>
    <w:p>
      <w:pPr>
        <w:pStyle w:val="0"/>
        <w:jc w:val="both"/>
      </w:pPr>
      <w:r>
        <w:rPr>
          <w:sz w:val="20"/>
        </w:rPr>
      </w:r>
    </w:p>
    <w:p>
      <w:pPr>
        <w:pStyle w:val="2"/>
        <w:outlineLvl w:val="3"/>
        <w:ind w:firstLine="540"/>
        <w:jc w:val="both"/>
      </w:pPr>
      <w:r>
        <w:rPr>
          <w:sz w:val="20"/>
        </w:rPr>
        <w:t xml:space="preserve">СТРАТЕГИЧЕСКАЯ ПРИОРИТИЗАЦИЯ РАСХОДОВ БЮДЖЕТА</w:t>
      </w:r>
    </w:p>
    <w:p>
      <w:pPr>
        <w:pStyle w:val="0"/>
        <w:spacing w:before="200" w:line-rule="auto"/>
        <w:ind w:firstLine="540"/>
        <w:jc w:val="both"/>
      </w:pPr>
      <w:r>
        <w:rPr>
          <w:sz w:val="20"/>
        </w:rPr>
        <w:t xml:space="preserve">Несмотря на внешние вызовы, достижение национальных целей развития страны остается ключевой задачей бюджетной политики, на решение которой в том числе направлено изменение структуры и повышение результативности расходов.</w:t>
      </w:r>
    </w:p>
    <w:p>
      <w:pPr>
        <w:pStyle w:val="0"/>
        <w:spacing w:before="200" w:line-rule="auto"/>
        <w:ind w:firstLine="540"/>
        <w:jc w:val="both"/>
      </w:pPr>
      <w:r>
        <w:rPr>
          <w:sz w:val="20"/>
        </w:rPr>
        <w:t xml:space="preserve">При этом одними из ключевых инструментов достижения национальных целей являются национальные проекты, меры по реализации Послания Президента и новые инициативы социально-экономического развития Правительства.</w:t>
      </w:r>
    </w:p>
    <w:p>
      <w:pPr>
        <w:pStyle w:val="0"/>
        <w:spacing w:before="200" w:line-rule="auto"/>
        <w:ind w:firstLine="540"/>
        <w:jc w:val="both"/>
      </w:pPr>
      <w:r>
        <w:rPr>
          <w:sz w:val="20"/>
        </w:rPr>
        <w:t xml:space="preserve">В целях обеспечения стратегической приоритизации расходов федерального бюджета на 2024 - 2026 гг. при формировании их структуры предусмотрен рост финансирования мероприятий по реализации Посланий Президента.</w:t>
      </w:r>
    </w:p>
    <w:p>
      <w:pPr>
        <w:pStyle w:val="0"/>
        <w:jc w:val="both"/>
      </w:pPr>
      <w:r>
        <w:rPr>
          <w:sz w:val="20"/>
        </w:rPr>
      </w:r>
    </w:p>
    <w:p>
      <w:pPr>
        <w:pStyle w:val="0"/>
        <w:ind w:firstLine="540"/>
        <w:jc w:val="both"/>
      </w:pPr>
      <w:r>
        <w:rPr>
          <w:sz w:val="20"/>
        </w:rPr>
        <w:t xml:space="preserve">Таблица 3.1.1. Финансовое обеспечение приоритетных расходов</w:t>
      </w:r>
    </w:p>
    <w:p>
      <w:pPr>
        <w:pStyle w:val="0"/>
        <w:jc w:val="both"/>
      </w:pPr>
      <w:r>
        <w:rPr>
          <w:sz w:val="20"/>
        </w:rPr>
      </w:r>
    </w:p>
    <w:p>
      <w:pPr>
        <w:pStyle w:val="0"/>
        <w:jc w:val="right"/>
      </w:pPr>
      <w:r>
        <w:rPr>
          <w:sz w:val="20"/>
        </w:rPr>
        <w:t xml:space="preserve">млрд рублей</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2551"/>
        <w:gridCol w:w="793"/>
        <w:gridCol w:w="907"/>
        <w:gridCol w:w="963"/>
        <w:gridCol w:w="963"/>
        <w:gridCol w:w="963"/>
        <w:gridCol w:w="963"/>
        <w:gridCol w:w="963"/>
      </w:tblGrid>
      <w:tr>
        <w:tblPrEx>
          <w:tblBorders>
            <w:insideH w:val="single" w:sz="4"/>
          </w:tblBorders>
        </w:tblPrEx>
        <w:tc>
          <w:tcPr>
            <w:tcW w:w="2551" w:type="dxa"/>
            <w:tcBorders>
              <w:top w:val="single" w:sz="4"/>
              <w:left w:val="nil"/>
              <w:bottom w:val="single" w:sz="4"/>
              <w:right w:val="nil"/>
            </w:tcBorders>
          </w:tcPr>
          <w:p>
            <w:pPr>
              <w:pStyle w:val="0"/>
              <w:jc w:val="center"/>
            </w:pPr>
            <w:r>
              <w:rPr>
                <w:sz w:val="20"/>
              </w:rPr>
              <w:t xml:space="preserve">Наименование</w:t>
            </w:r>
          </w:p>
        </w:tc>
        <w:tc>
          <w:tcPr>
            <w:tcW w:w="793" w:type="dxa"/>
            <w:tcBorders>
              <w:top w:val="single" w:sz="4"/>
              <w:left w:val="nil"/>
              <w:bottom w:val="single" w:sz="4"/>
              <w:right w:val="nil"/>
            </w:tcBorders>
          </w:tcPr>
          <w:p>
            <w:pPr>
              <w:pStyle w:val="0"/>
              <w:jc w:val="center"/>
            </w:pPr>
            <w:r>
              <w:rPr>
                <w:sz w:val="20"/>
              </w:rPr>
              <w:t xml:space="preserve">2020</w:t>
            </w:r>
          </w:p>
        </w:tc>
        <w:tc>
          <w:tcPr>
            <w:tcW w:w="907" w:type="dxa"/>
            <w:tcBorders>
              <w:top w:val="single" w:sz="4"/>
              <w:left w:val="nil"/>
              <w:bottom w:val="single" w:sz="4"/>
              <w:right w:val="nil"/>
            </w:tcBorders>
          </w:tcPr>
          <w:p>
            <w:pPr>
              <w:pStyle w:val="0"/>
              <w:jc w:val="center"/>
            </w:pPr>
            <w:r>
              <w:rPr>
                <w:sz w:val="20"/>
              </w:rPr>
              <w:t xml:space="preserve">2021</w:t>
            </w:r>
          </w:p>
        </w:tc>
        <w:tc>
          <w:tcPr>
            <w:tcW w:w="963" w:type="dxa"/>
            <w:tcBorders>
              <w:top w:val="single" w:sz="4"/>
              <w:left w:val="nil"/>
              <w:bottom w:val="single" w:sz="4"/>
              <w:right w:val="nil"/>
            </w:tcBorders>
          </w:tcPr>
          <w:p>
            <w:pPr>
              <w:pStyle w:val="0"/>
              <w:jc w:val="center"/>
            </w:pPr>
            <w:r>
              <w:rPr>
                <w:sz w:val="20"/>
              </w:rPr>
              <w:t xml:space="preserve">2022</w:t>
            </w:r>
          </w:p>
        </w:tc>
        <w:tc>
          <w:tcPr>
            <w:tcW w:w="963" w:type="dxa"/>
            <w:tcBorders>
              <w:top w:val="single" w:sz="4"/>
              <w:left w:val="nil"/>
              <w:bottom w:val="single" w:sz="4"/>
              <w:right w:val="nil"/>
            </w:tcBorders>
          </w:tcPr>
          <w:p>
            <w:pPr>
              <w:pStyle w:val="0"/>
              <w:jc w:val="center"/>
            </w:pPr>
            <w:r>
              <w:rPr>
                <w:sz w:val="20"/>
              </w:rPr>
              <w:t xml:space="preserve">2023 </w:t>
            </w:r>
            <w:hyperlink w:history="0" w:anchor="P782" w:tooltip="&lt;*&gt; СБР по состоянию на 01.09.2023">
              <w:r>
                <w:rPr>
                  <w:sz w:val="20"/>
                  <w:color w:val="0000ff"/>
                </w:rPr>
                <w:t xml:space="preserve">&lt;*&gt;</w:t>
              </w:r>
            </w:hyperlink>
          </w:p>
        </w:tc>
        <w:tc>
          <w:tcPr>
            <w:tcW w:w="963" w:type="dxa"/>
            <w:tcBorders>
              <w:top w:val="single" w:sz="4"/>
              <w:left w:val="nil"/>
              <w:bottom w:val="single" w:sz="4"/>
              <w:right w:val="nil"/>
            </w:tcBorders>
          </w:tcPr>
          <w:p>
            <w:pPr>
              <w:pStyle w:val="0"/>
              <w:jc w:val="center"/>
            </w:pPr>
            <w:r>
              <w:rPr>
                <w:sz w:val="20"/>
              </w:rPr>
              <w:t xml:space="preserve">2024</w:t>
            </w:r>
          </w:p>
        </w:tc>
        <w:tc>
          <w:tcPr>
            <w:tcW w:w="963" w:type="dxa"/>
            <w:tcBorders>
              <w:top w:val="single" w:sz="4"/>
              <w:left w:val="nil"/>
              <w:bottom w:val="single" w:sz="4"/>
              <w:right w:val="nil"/>
            </w:tcBorders>
          </w:tcPr>
          <w:p>
            <w:pPr>
              <w:pStyle w:val="0"/>
              <w:jc w:val="center"/>
            </w:pPr>
            <w:r>
              <w:rPr>
                <w:sz w:val="20"/>
              </w:rPr>
              <w:t xml:space="preserve">2025</w:t>
            </w:r>
          </w:p>
        </w:tc>
        <w:tc>
          <w:tcPr>
            <w:tcW w:w="963" w:type="dxa"/>
            <w:tcBorders>
              <w:top w:val="single" w:sz="4"/>
              <w:left w:val="nil"/>
              <w:bottom w:val="single" w:sz="4"/>
              <w:right w:val="nil"/>
            </w:tcBorders>
          </w:tcPr>
          <w:p>
            <w:pPr>
              <w:pStyle w:val="0"/>
              <w:jc w:val="center"/>
            </w:pPr>
            <w:r>
              <w:rPr>
                <w:sz w:val="20"/>
              </w:rPr>
              <w:t xml:space="preserve">2026</w:t>
            </w:r>
          </w:p>
        </w:tc>
      </w:tr>
      <w:tr>
        <w:tc>
          <w:tcPr>
            <w:tcW w:w="2551" w:type="dxa"/>
            <w:vAlign w:val="center"/>
            <w:tcBorders>
              <w:top w:val="single" w:sz="4"/>
              <w:left w:val="nil"/>
              <w:bottom w:val="nil"/>
              <w:right w:val="nil"/>
            </w:tcBorders>
          </w:tcPr>
          <w:p>
            <w:pPr>
              <w:pStyle w:val="0"/>
            </w:pPr>
            <w:r>
              <w:rPr>
                <w:sz w:val="20"/>
              </w:rPr>
              <w:t xml:space="preserve">ПОСЛАНИЯ ПРЕЗИДЕНТА</w:t>
            </w:r>
          </w:p>
        </w:tc>
        <w:tc>
          <w:tcPr>
            <w:tcW w:w="793" w:type="dxa"/>
            <w:vAlign w:val="center"/>
            <w:tcBorders>
              <w:top w:val="single" w:sz="4"/>
              <w:left w:val="nil"/>
              <w:bottom w:val="nil"/>
              <w:right w:val="nil"/>
            </w:tcBorders>
          </w:tcPr>
          <w:p>
            <w:pPr>
              <w:pStyle w:val="0"/>
              <w:jc w:val="center"/>
            </w:pPr>
            <w:r>
              <w:rPr>
                <w:sz w:val="20"/>
              </w:rPr>
              <w:t xml:space="preserve">310,5</w:t>
            </w:r>
          </w:p>
        </w:tc>
        <w:tc>
          <w:tcPr>
            <w:tcW w:w="907" w:type="dxa"/>
            <w:vAlign w:val="center"/>
            <w:tcBorders>
              <w:top w:val="single" w:sz="4"/>
              <w:left w:val="nil"/>
              <w:bottom w:val="nil"/>
              <w:right w:val="nil"/>
            </w:tcBorders>
          </w:tcPr>
          <w:p>
            <w:pPr>
              <w:pStyle w:val="0"/>
              <w:jc w:val="center"/>
            </w:pPr>
            <w:r>
              <w:rPr>
                <w:sz w:val="20"/>
              </w:rPr>
              <w:t xml:space="preserve">1 506,4</w:t>
            </w:r>
          </w:p>
        </w:tc>
        <w:tc>
          <w:tcPr>
            <w:tcW w:w="963" w:type="dxa"/>
            <w:vAlign w:val="center"/>
            <w:tcBorders>
              <w:top w:val="single" w:sz="4"/>
              <w:left w:val="nil"/>
              <w:bottom w:val="nil"/>
              <w:right w:val="nil"/>
            </w:tcBorders>
          </w:tcPr>
          <w:p>
            <w:pPr>
              <w:pStyle w:val="0"/>
              <w:jc w:val="center"/>
            </w:pPr>
            <w:r>
              <w:rPr>
                <w:sz w:val="20"/>
              </w:rPr>
              <w:t xml:space="preserve">2 143,6</w:t>
            </w:r>
          </w:p>
        </w:tc>
        <w:tc>
          <w:tcPr>
            <w:tcW w:w="963" w:type="dxa"/>
            <w:vAlign w:val="center"/>
            <w:tcBorders>
              <w:top w:val="single" w:sz="4"/>
              <w:left w:val="nil"/>
              <w:bottom w:val="nil"/>
              <w:right w:val="nil"/>
            </w:tcBorders>
          </w:tcPr>
          <w:p>
            <w:pPr>
              <w:pStyle w:val="0"/>
              <w:jc w:val="center"/>
            </w:pPr>
            <w:r>
              <w:rPr>
                <w:sz w:val="20"/>
              </w:rPr>
              <w:t xml:space="preserve">2 224,4</w:t>
            </w:r>
          </w:p>
        </w:tc>
        <w:tc>
          <w:tcPr>
            <w:tcW w:w="963" w:type="dxa"/>
            <w:vAlign w:val="center"/>
            <w:tcBorders>
              <w:top w:val="single" w:sz="4"/>
              <w:left w:val="nil"/>
              <w:bottom w:val="nil"/>
              <w:right w:val="nil"/>
            </w:tcBorders>
          </w:tcPr>
          <w:p>
            <w:pPr>
              <w:pStyle w:val="0"/>
              <w:jc w:val="center"/>
            </w:pPr>
            <w:r>
              <w:rPr>
                <w:sz w:val="20"/>
              </w:rPr>
              <w:t xml:space="preserve">2 506,9</w:t>
            </w:r>
          </w:p>
        </w:tc>
        <w:tc>
          <w:tcPr>
            <w:tcW w:w="963" w:type="dxa"/>
            <w:vAlign w:val="center"/>
            <w:tcBorders>
              <w:top w:val="single" w:sz="4"/>
              <w:left w:val="nil"/>
              <w:bottom w:val="nil"/>
              <w:right w:val="nil"/>
            </w:tcBorders>
          </w:tcPr>
          <w:p>
            <w:pPr>
              <w:pStyle w:val="0"/>
              <w:jc w:val="center"/>
            </w:pPr>
            <w:r>
              <w:rPr>
                <w:sz w:val="20"/>
              </w:rPr>
              <w:t xml:space="preserve">2 542,7</w:t>
            </w:r>
          </w:p>
        </w:tc>
        <w:tc>
          <w:tcPr>
            <w:tcW w:w="963" w:type="dxa"/>
            <w:vAlign w:val="center"/>
            <w:tcBorders>
              <w:top w:val="single" w:sz="4"/>
              <w:left w:val="nil"/>
              <w:bottom w:val="nil"/>
              <w:right w:val="nil"/>
            </w:tcBorders>
          </w:tcPr>
          <w:p>
            <w:pPr>
              <w:pStyle w:val="0"/>
              <w:jc w:val="center"/>
            </w:pPr>
            <w:r>
              <w:rPr>
                <w:sz w:val="20"/>
              </w:rPr>
              <w:t xml:space="preserve">2 620,6</w:t>
            </w:r>
          </w:p>
        </w:tc>
      </w:tr>
      <w:tr>
        <w:tc>
          <w:tcPr>
            <w:tcW w:w="2551" w:type="dxa"/>
            <w:vAlign w:val="center"/>
            <w:tcBorders>
              <w:top w:val="nil"/>
              <w:left w:val="nil"/>
              <w:bottom w:val="nil"/>
              <w:right w:val="nil"/>
            </w:tcBorders>
          </w:tcPr>
          <w:p>
            <w:pPr>
              <w:pStyle w:val="0"/>
            </w:pPr>
            <w:r>
              <w:rPr>
                <w:sz w:val="20"/>
              </w:rPr>
              <w:t xml:space="preserve">ЕДВ семьям с детьми 3 - 7 лет</w:t>
            </w:r>
          </w:p>
          <w:p>
            <w:pPr>
              <w:pStyle w:val="0"/>
            </w:pPr>
            <w:r>
              <w:rPr>
                <w:sz w:val="20"/>
              </w:rPr>
              <w:t xml:space="preserve">(по нуждаемости) </w:t>
            </w:r>
            <w:hyperlink w:history="0" w:anchor="P783" w:tooltip="&lt;**&gt; С 1 января 2023 г. введено ежемесячное пособие в связи с рождением и воспитанием ребенка (пункт 5 таблицы).">
              <w:r>
                <w:rPr>
                  <w:sz w:val="20"/>
                  <w:color w:val="0000ff"/>
                </w:rPr>
                <w:t xml:space="preserve">&lt;**&gt;</w:t>
              </w:r>
            </w:hyperlink>
          </w:p>
        </w:tc>
        <w:tc>
          <w:tcPr>
            <w:tcW w:w="793" w:type="dxa"/>
            <w:vAlign w:val="center"/>
            <w:tcBorders>
              <w:top w:val="nil"/>
              <w:left w:val="nil"/>
              <w:bottom w:val="nil"/>
              <w:right w:val="nil"/>
            </w:tcBorders>
          </w:tcPr>
          <w:p>
            <w:pPr>
              <w:pStyle w:val="0"/>
              <w:jc w:val="center"/>
            </w:pPr>
            <w:r>
              <w:rPr>
                <w:sz w:val="20"/>
              </w:rPr>
              <w:t xml:space="preserve">213,7</w:t>
            </w:r>
          </w:p>
        </w:tc>
        <w:tc>
          <w:tcPr>
            <w:tcW w:w="907" w:type="dxa"/>
            <w:vAlign w:val="center"/>
            <w:tcBorders>
              <w:top w:val="nil"/>
              <w:left w:val="nil"/>
              <w:bottom w:val="nil"/>
              <w:right w:val="nil"/>
            </w:tcBorders>
          </w:tcPr>
          <w:p>
            <w:pPr>
              <w:pStyle w:val="0"/>
              <w:jc w:val="center"/>
            </w:pPr>
            <w:r>
              <w:rPr>
                <w:sz w:val="20"/>
              </w:rPr>
              <w:t xml:space="preserve">309,0</w:t>
            </w:r>
          </w:p>
        </w:tc>
        <w:tc>
          <w:tcPr>
            <w:tcW w:w="963" w:type="dxa"/>
            <w:vAlign w:val="center"/>
            <w:tcBorders>
              <w:top w:val="nil"/>
              <w:left w:val="nil"/>
              <w:bottom w:val="nil"/>
              <w:right w:val="nil"/>
            </w:tcBorders>
          </w:tcPr>
          <w:p>
            <w:pPr>
              <w:pStyle w:val="0"/>
              <w:jc w:val="center"/>
            </w:pPr>
            <w:r>
              <w:rPr>
                <w:sz w:val="20"/>
              </w:rPr>
              <w:t xml:space="preserve">341,3</w:t>
            </w:r>
          </w:p>
        </w:tc>
        <w:tc>
          <w:tcPr>
            <w:tcW w:w="963" w:type="dxa"/>
            <w:vAlign w:val="center"/>
            <w:tcBorders>
              <w:top w:val="nil"/>
              <w:left w:val="nil"/>
              <w:bottom w:val="nil"/>
              <w:right w:val="nil"/>
            </w:tcBorders>
          </w:tcPr>
          <w:p>
            <w:pPr>
              <w:pStyle w:val="0"/>
              <w:jc w:val="center"/>
            </w:pPr>
            <w:r>
              <w:rPr>
                <w:sz w:val="20"/>
              </w:rPr>
              <w:t xml:space="preserve">159,6</w:t>
            </w:r>
          </w:p>
        </w:tc>
        <w:tc>
          <w:tcPr>
            <w:tcW w:w="963" w:type="dxa"/>
            <w:vAlign w:val="center"/>
            <w:tcBorders>
              <w:top w:val="nil"/>
              <w:left w:val="nil"/>
              <w:bottom w:val="nil"/>
              <w:right w:val="nil"/>
            </w:tcBorders>
          </w:tcPr>
          <w:p>
            <w:pPr>
              <w:pStyle w:val="0"/>
              <w:jc w:val="center"/>
            </w:pPr>
            <w:r>
              <w:rPr>
                <w:sz w:val="20"/>
              </w:rPr>
              <w:t xml:space="preserve">0,0</w:t>
            </w:r>
          </w:p>
        </w:tc>
        <w:tc>
          <w:tcPr>
            <w:tcW w:w="963" w:type="dxa"/>
            <w:vAlign w:val="center"/>
            <w:tcBorders>
              <w:top w:val="nil"/>
              <w:left w:val="nil"/>
              <w:bottom w:val="nil"/>
              <w:right w:val="nil"/>
            </w:tcBorders>
          </w:tcPr>
          <w:p>
            <w:pPr>
              <w:pStyle w:val="0"/>
              <w:jc w:val="center"/>
            </w:pPr>
            <w:r>
              <w:rPr>
                <w:sz w:val="20"/>
              </w:rPr>
              <w:t xml:space="preserve">0,0</w:t>
            </w:r>
          </w:p>
        </w:tc>
        <w:tc>
          <w:tcPr>
            <w:tcW w:w="963" w:type="dxa"/>
            <w:vAlign w:val="center"/>
            <w:tcBorders>
              <w:top w:val="nil"/>
              <w:left w:val="nil"/>
              <w:bottom w:val="nil"/>
              <w:right w:val="nil"/>
            </w:tcBorders>
          </w:tcPr>
          <w:p>
            <w:pPr>
              <w:pStyle w:val="0"/>
              <w:jc w:val="center"/>
            </w:pPr>
            <w:r>
              <w:rPr>
                <w:sz w:val="20"/>
              </w:rPr>
              <w:t xml:space="preserve">0,0</w:t>
            </w:r>
          </w:p>
        </w:tc>
      </w:tr>
      <w:tr>
        <w:tc>
          <w:tcPr>
            <w:tcW w:w="2551" w:type="dxa"/>
            <w:vAlign w:val="center"/>
            <w:tcBorders>
              <w:top w:val="nil"/>
              <w:left w:val="nil"/>
              <w:bottom w:val="nil"/>
              <w:right w:val="nil"/>
            </w:tcBorders>
          </w:tcPr>
          <w:p>
            <w:pPr>
              <w:pStyle w:val="0"/>
            </w:pPr>
            <w:r>
              <w:rPr>
                <w:sz w:val="20"/>
              </w:rPr>
              <w:t xml:space="preserve">ЕДВ беременным</w:t>
            </w:r>
          </w:p>
          <w:p>
            <w:pPr>
              <w:pStyle w:val="0"/>
            </w:pPr>
            <w:r>
              <w:rPr>
                <w:sz w:val="20"/>
              </w:rPr>
              <w:t xml:space="preserve">(0,5 ПМ по нуждаемости) </w:t>
            </w:r>
            <w:hyperlink w:history="0" w:anchor="P783" w:tooltip="&lt;**&gt; С 1 января 2023 г. введено ежемесячное пособие в связи с рождением и воспитанием ребенка (пункт 5 таблицы).">
              <w:r>
                <w:rPr>
                  <w:sz w:val="20"/>
                  <w:color w:val="0000ff"/>
                </w:rPr>
                <w:t xml:space="preserve">&lt;**&gt;</w:t>
              </w:r>
            </w:hyperlink>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10,4</w:t>
            </w:r>
          </w:p>
        </w:tc>
        <w:tc>
          <w:tcPr>
            <w:tcW w:w="963" w:type="dxa"/>
            <w:vAlign w:val="center"/>
            <w:tcBorders>
              <w:top w:val="nil"/>
              <w:left w:val="nil"/>
              <w:bottom w:val="nil"/>
              <w:right w:val="nil"/>
            </w:tcBorders>
          </w:tcPr>
          <w:p>
            <w:pPr>
              <w:pStyle w:val="0"/>
              <w:jc w:val="center"/>
            </w:pPr>
            <w:r>
              <w:rPr>
                <w:sz w:val="20"/>
              </w:rPr>
              <w:t xml:space="preserve">17,0</w:t>
            </w:r>
          </w:p>
        </w:tc>
        <w:tc>
          <w:tcPr>
            <w:tcW w:w="963" w:type="dxa"/>
            <w:vAlign w:val="center"/>
            <w:tcBorders>
              <w:top w:val="nil"/>
              <w:left w:val="nil"/>
              <w:bottom w:val="nil"/>
              <w:right w:val="nil"/>
            </w:tcBorders>
          </w:tcPr>
          <w:p>
            <w:pPr>
              <w:pStyle w:val="0"/>
              <w:jc w:val="center"/>
            </w:pPr>
            <w:r>
              <w:rPr>
                <w:sz w:val="20"/>
              </w:rPr>
              <w:t xml:space="preserve">2,3</w:t>
            </w:r>
          </w:p>
        </w:tc>
        <w:tc>
          <w:tcPr>
            <w:tcW w:w="963" w:type="dxa"/>
            <w:vAlign w:val="center"/>
            <w:tcBorders>
              <w:top w:val="nil"/>
              <w:left w:val="nil"/>
              <w:bottom w:val="nil"/>
              <w:right w:val="nil"/>
            </w:tcBorders>
          </w:tcPr>
          <w:p>
            <w:pPr>
              <w:pStyle w:val="0"/>
              <w:jc w:val="center"/>
            </w:pPr>
            <w:r>
              <w:rPr>
                <w:sz w:val="20"/>
              </w:rPr>
              <w:t xml:space="preserve">0,0</w:t>
            </w:r>
          </w:p>
        </w:tc>
        <w:tc>
          <w:tcPr>
            <w:tcW w:w="963" w:type="dxa"/>
            <w:vAlign w:val="center"/>
            <w:tcBorders>
              <w:top w:val="nil"/>
              <w:left w:val="nil"/>
              <w:bottom w:val="nil"/>
              <w:right w:val="nil"/>
            </w:tcBorders>
          </w:tcPr>
          <w:p>
            <w:pPr>
              <w:pStyle w:val="0"/>
              <w:jc w:val="center"/>
            </w:pPr>
            <w:r>
              <w:rPr>
                <w:sz w:val="20"/>
              </w:rPr>
              <w:t xml:space="preserve">0,0</w:t>
            </w:r>
          </w:p>
        </w:tc>
        <w:tc>
          <w:tcPr>
            <w:tcW w:w="963" w:type="dxa"/>
            <w:vAlign w:val="center"/>
            <w:tcBorders>
              <w:top w:val="nil"/>
              <w:left w:val="nil"/>
              <w:bottom w:val="nil"/>
              <w:right w:val="nil"/>
            </w:tcBorders>
          </w:tcPr>
          <w:p>
            <w:pPr>
              <w:pStyle w:val="0"/>
              <w:jc w:val="center"/>
            </w:pPr>
            <w:r>
              <w:rPr>
                <w:sz w:val="20"/>
              </w:rPr>
              <w:t xml:space="preserve">0,0</w:t>
            </w:r>
          </w:p>
        </w:tc>
      </w:tr>
      <w:tr>
        <w:tc>
          <w:tcPr>
            <w:tcW w:w="2551" w:type="dxa"/>
            <w:vAlign w:val="center"/>
            <w:tcBorders>
              <w:top w:val="nil"/>
              <w:left w:val="nil"/>
              <w:bottom w:val="nil"/>
              <w:right w:val="nil"/>
            </w:tcBorders>
          </w:tcPr>
          <w:p>
            <w:pPr>
              <w:pStyle w:val="0"/>
            </w:pPr>
            <w:r>
              <w:rPr>
                <w:sz w:val="20"/>
              </w:rPr>
              <w:t xml:space="preserve">ЕДВ одиноким родителям с детьми 8 - 17 лет</w:t>
            </w:r>
          </w:p>
          <w:p>
            <w:pPr>
              <w:pStyle w:val="0"/>
            </w:pPr>
            <w:r>
              <w:rPr>
                <w:sz w:val="20"/>
              </w:rPr>
              <w:t xml:space="preserve">(0,5 ПМ по нуждаемости) </w:t>
            </w:r>
            <w:hyperlink w:history="0" w:anchor="P783" w:tooltip="&lt;**&gt; С 1 января 2023 г. введено ежемесячное пособие в связи с рождением и воспитанием ребенка (пункт 5 таблицы).">
              <w:r>
                <w:rPr>
                  <w:sz w:val="20"/>
                  <w:color w:val="0000ff"/>
                </w:rPr>
                <w:t xml:space="preserve">&lt;**&gt;</w:t>
              </w:r>
            </w:hyperlink>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50,1</w:t>
            </w:r>
          </w:p>
        </w:tc>
        <w:tc>
          <w:tcPr>
            <w:tcW w:w="963" w:type="dxa"/>
            <w:vAlign w:val="center"/>
            <w:tcBorders>
              <w:top w:val="nil"/>
              <w:left w:val="nil"/>
              <w:bottom w:val="nil"/>
              <w:right w:val="nil"/>
            </w:tcBorders>
          </w:tcPr>
          <w:p>
            <w:pPr>
              <w:pStyle w:val="0"/>
              <w:jc w:val="center"/>
            </w:pPr>
            <w:r>
              <w:rPr>
                <w:sz w:val="20"/>
              </w:rPr>
              <w:t xml:space="preserve">60,9</w:t>
            </w:r>
          </w:p>
        </w:tc>
        <w:tc>
          <w:tcPr>
            <w:tcW w:w="963" w:type="dxa"/>
            <w:vAlign w:val="center"/>
            <w:tcBorders>
              <w:top w:val="nil"/>
              <w:left w:val="nil"/>
              <w:bottom w:val="nil"/>
              <w:right w:val="nil"/>
            </w:tcBorders>
          </w:tcPr>
          <w:p>
            <w:pPr>
              <w:pStyle w:val="0"/>
              <w:jc w:val="center"/>
            </w:pPr>
            <w:r>
              <w:rPr>
                <w:sz w:val="20"/>
              </w:rPr>
              <w:t xml:space="preserve">1,9</w:t>
            </w:r>
          </w:p>
        </w:tc>
        <w:tc>
          <w:tcPr>
            <w:tcW w:w="963" w:type="dxa"/>
            <w:vAlign w:val="center"/>
            <w:tcBorders>
              <w:top w:val="nil"/>
              <w:left w:val="nil"/>
              <w:bottom w:val="nil"/>
              <w:right w:val="nil"/>
            </w:tcBorders>
          </w:tcPr>
          <w:p>
            <w:pPr>
              <w:pStyle w:val="0"/>
              <w:jc w:val="center"/>
            </w:pPr>
            <w:r>
              <w:rPr>
                <w:sz w:val="20"/>
              </w:rPr>
              <w:t xml:space="preserve">0,0</w:t>
            </w:r>
          </w:p>
        </w:tc>
        <w:tc>
          <w:tcPr>
            <w:tcW w:w="963" w:type="dxa"/>
            <w:vAlign w:val="center"/>
            <w:tcBorders>
              <w:top w:val="nil"/>
              <w:left w:val="nil"/>
              <w:bottom w:val="nil"/>
              <w:right w:val="nil"/>
            </w:tcBorders>
          </w:tcPr>
          <w:p>
            <w:pPr>
              <w:pStyle w:val="0"/>
              <w:jc w:val="center"/>
            </w:pPr>
            <w:r>
              <w:rPr>
                <w:sz w:val="20"/>
              </w:rPr>
              <w:t xml:space="preserve">0,0</w:t>
            </w:r>
          </w:p>
        </w:tc>
        <w:tc>
          <w:tcPr>
            <w:tcW w:w="963" w:type="dxa"/>
            <w:vAlign w:val="center"/>
            <w:tcBorders>
              <w:top w:val="nil"/>
              <w:left w:val="nil"/>
              <w:bottom w:val="nil"/>
              <w:right w:val="nil"/>
            </w:tcBorders>
          </w:tcPr>
          <w:p>
            <w:pPr>
              <w:pStyle w:val="0"/>
              <w:jc w:val="center"/>
            </w:pPr>
            <w:r>
              <w:rPr>
                <w:sz w:val="20"/>
              </w:rPr>
              <w:t xml:space="preserve">0,0</w:t>
            </w:r>
          </w:p>
        </w:tc>
      </w:tr>
      <w:tr>
        <w:tc>
          <w:tcPr>
            <w:tcW w:w="2551" w:type="dxa"/>
            <w:vAlign w:val="center"/>
            <w:tcBorders>
              <w:top w:val="nil"/>
              <w:left w:val="nil"/>
              <w:bottom w:val="nil"/>
              <w:right w:val="nil"/>
            </w:tcBorders>
          </w:tcPr>
          <w:bookmarkStart w:id="635" w:name="P635"/>
          <w:bookmarkEnd w:id="635"/>
          <w:p>
            <w:pPr>
              <w:pStyle w:val="0"/>
            </w:pPr>
            <w:r>
              <w:rPr>
                <w:sz w:val="20"/>
              </w:rPr>
              <w:t xml:space="preserve">ЕДВ семьям с детьми 8 - 17 лет</w:t>
            </w:r>
          </w:p>
          <w:p>
            <w:pPr>
              <w:pStyle w:val="0"/>
            </w:pPr>
            <w:r>
              <w:rPr>
                <w:sz w:val="20"/>
              </w:rPr>
              <w:t xml:space="preserve">(по нуждаемости) </w:t>
            </w:r>
            <w:hyperlink w:history="0" w:anchor="P782" w:tooltip="&lt;*&gt; СБР по состоянию на 01.09.2023">
              <w:r>
                <w:rPr>
                  <w:sz w:val="20"/>
                  <w:color w:val="0000ff"/>
                </w:rPr>
                <w:t xml:space="preserve">&lt;*&gt;</w:t>
              </w:r>
            </w:hyperlink>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w:t>
            </w:r>
          </w:p>
        </w:tc>
        <w:tc>
          <w:tcPr>
            <w:tcW w:w="963" w:type="dxa"/>
            <w:vAlign w:val="center"/>
            <w:tcBorders>
              <w:top w:val="nil"/>
              <w:left w:val="nil"/>
              <w:bottom w:val="nil"/>
              <w:right w:val="nil"/>
            </w:tcBorders>
          </w:tcPr>
          <w:p>
            <w:pPr>
              <w:pStyle w:val="0"/>
              <w:jc w:val="center"/>
            </w:pPr>
            <w:r>
              <w:rPr>
                <w:sz w:val="20"/>
              </w:rPr>
              <w:t xml:space="preserve">410,5</w:t>
            </w:r>
          </w:p>
        </w:tc>
        <w:tc>
          <w:tcPr>
            <w:tcW w:w="963" w:type="dxa"/>
            <w:vAlign w:val="center"/>
            <w:tcBorders>
              <w:top w:val="nil"/>
              <w:left w:val="nil"/>
              <w:bottom w:val="nil"/>
              <w:right w:val="nil"/>
            </w:tcBorders>
          </w:tcPr>
          <w:p>
            <w:pPr>
              <w:pStyle w:val="0"/>
              <w:jc w:val="center"/>
            </w:pPr>
            <w:r>
              <w:rPr>
                <w:sz w:val="20"/>
              </w:rPr>
              <w:t xml:space="preserve">214,6</w:t>
            </w:r>
          </w:p>
        </w:tc>
        <w:tc>
          <w:tcPr>
            <w:tcW w:w="963" w:type="dxa"/>
            <w:vAlign w:val="center"/>
            <w:tcBorders>
              <w:top w:val="nil"/>
              <w:left w:val="nil"/>
              <w:bottom w:val="nil"/>
              <w:right w:val="nil"/>
            </w:tcBorders>
          </w:tcPr>
          <w:p>
            <w:pPr>
              <w:pStyle w:val="0"/>
              <w:jc w:val="center"/>
            </w:pPr>
            <w:r>
              <w:rPr>
                <w:sz w:val="20"/>
              </w:rPr>
              <w:t xml:space="preserve">0,0</w:t>
            </w:r>
          </w:p>
        </w:tc>
        <w:tc>
          <w:tcPr>
            <w:tcW w:w="963" w:type="dxa"/>
            <w:vAlign w:val="center"/>
            <w:tcBorders>
              <w:top w:val="nil"/>
              <w:left w:val="nil"/>
              <w:bottom w:val="nil"/>
              <w:right w:val="nil"/>
            </w:tcBorders>
          </w:tcPr>
          <w:p>
            <w:pPr>
              <w:pStyle w:val="0"/>
              <w:jc w:val="center"/>
            </w:pPr>
            <w:r>
              <w:rPr>
                <w:sz w:val="20"/>
              </w:rPr>
              <w:t xml:space="preserve">0,0</w:t>
            </w:r>
          </w:p>
        </w:tc>
        <w:tc>
          <w:tcPr>
            <w:tcW w:w="963" w:type="dxa"/>
            <w:vAlign w:val="center"/>
            <w:tcBorders>
              <w:top w:val="nil"/>
              <w:left w:val="nil"/>
              <w:bottom w:val="nil"/>
              <w:right w:val="nil"/>
            </w:tcBorders>
          </w:tcPr>
          <w:p>
            <w:pPr>
              <w:pStyle w:val="0"/>
              <w:jc w:val="center"/>
            </w:pPr>
            <w:r>
              <w:rPr>
                <w:sz w:val="20"/>
              </w:rPr>
              <w:t xml:space="preserve">0,0</w:t>
            </w:r>
          </w:p>
        </w:tc>
      </w:tr>
      <w:tr>
        <w:tc>
          <w:tcPr>
            <w:tcW w:w="2551" w:type="dxa"/>
            <w:vAlign w:val="center"/>
            <w:tcBorders>
              <w:top w:val="nil"/>
              <w:left w:val="nil"/>
              <w:bottom w:val="nil"/>
              <w:right w:val="nil"/>
            </w:tcBorders>
          </w:tcPr>
          <w:p>
            <w:pPr>
              <w:pStyle w:val="0"/>
            </w:pPr>
            <w:r>
              <w:rPr>
                <w:sz w:val="20"/>
              </w:rPr>
              <w:t xml:space="preserve">ежемесячное пособие в связи с рождением и воспитанием ребенка</w:t>
            </w:r>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w:t>
            </w:r>
          </w:p>
        </w:tc>
        <w:tc>
          <w:tcPr>
            <w:tcW w:w="963" w:type="dxa"/>
            <w:vAlign w:val="center"/>
            <w:tcBorders>
              <w:top w:val="nil"/>
              <w:left w:val="nil"/>
              <w:bottom w:val="nil"/>
              <w:right w:val="nil"/>
            </w:tcBorders>
          </w:tcPr>
          <w:p>
            <w:pPr>
              <w:pStyle w:val="0"/>
              <w:jc w:val="center"/>
            </w:pPr>
            <w:r>
              <w:rPr>
                <w:sz w:val="20"/>
              </w:rPr>
              <w:t xml:space="preserve">-</w:t>
            </w:r>
          </w:p>
        </w:tc>
        <w:tc>
          <w:tcPr>
            <w:tcW w:w="963" w:type="dxa"/>
            <w:vAlign w:val="center"/>
            <w:tcBorders>
              <w:top w:val="nil"/>
              <w:left w:val="nil"/>
              <w:bottom w:val="nil"/>
              <w:right w:val="nil"/>
            </w:tcBorders>
          </w:tcPr>
          <w:p>
            <w:pPr>
              <w:pStyle w:val="0"/>
              <w:jc w:val="center"/>
            </w:pPr>
            <w:r>
              <w:rPr>
                <w:sz w:val="20"/>
              </w:rPr>
              <w:t xml:space="preserve">725,6</w:t>
            </w:r>
          </w:p>
        </w:tc>
        <w:tc>
          <w:tcPr>
            <w:tcW w:w="963" w:type="dxa"/>
            <w:vAlign w:val="center"/>
            <w:tcBorders>
              <w:top w:val="nil"/>
              <w:left w:val="nil"/>
              <w:bottom w:val="nil"/>
              <w:right w:val="nil"/>
            </w:tcBorders>
          </w:tcPr>
          <w:p>
            <w:pPr>
              <w:pStyle w:val="0"/>
              <w:jc w:val="center"/>
            </w:pPr>
            <w:r>
              <w:rPr>
                <w:sz w:val="20"/>
              </w:rPr>
              <w:t xml:space="preserve">1 340,3</w:t>
            </w:r>
          </w:p>
        </w:tc>
        <w:tc>
          <w:tcPr>
            <w:tcW w:w="963" w:type="dxa"/>
            <w:vAlign w:val="center"/>
            <w:tcBorders>
              <w:top w:val="nil"/>
              <w:left w:val="nil"/>
              <w:bottom w:val="nil"/>
              <w:right w:val="nil"/>
            </w:tcBorders>
          </w:tcPr>
          <w:p>
            <w:pPr>
              <w:pStyle w:val="0"/>
              <w:jc w:val="center"/>
            </w:pPr>
            <w:r>
              <w:rPr>
                <w:sz w:val="20"/>
              </w:rPr>
              <w:t xml:space="preserve">1 437,1</w:t>
            </w:r>
          </w:p>
        </w:tc>
        <w:tc>
          <w:tcPr>
            <w:tcW w:w="963" w:type="dxa"/>
            <w:vAlign w:val="center"/>
            <w:tcBorders>
              <w:top w:val="nil"/>
              <w:left w:val="nil"/>
              <w:bottom w:val="nil"/>
              <w:right w:val="nil"/>
            </w:tcBorders>
          </w:tcPr>
          <w:p>
            <w:pPr>
              <w:pStyle w:val="0"/>
              <w:jc w:val="center"/>
            </w:pPr>
            <w:r>
              <w:rPr>
                <w:sz w:val="20"/>
              </w:rPr>
              <w:t xml:space="preserve">1 626,4</w:t>
            </w:r>
          </w:p>
        </w:tc>
      </w:tr>
      <w:tr>
        <w:tc>
          <w:tcPr>
            <w:tcW w:w="2551" w:type="dxa"/>
            <w:vAlign w:val="center"/>
            <w:tcBorders>
              <w:top w:val="nil"/>
              <w:left w:val="nil"/>
              <w:bottom w:val="nil"/>
              <w:right w:val="nil"/>
            </w:tcBorders>
          </w:tcPr>
          <w:p>
            <w:pPr>
              <w:pStyle w:val="0"/>
            </w:pPr>
            <w:r>
              <w:rPr>
                <w:sz w:val="20"/>
              </w:rPr>
              <w:t xml:space="preserve">выплата материнского капитала</w:t>
            </w:r>
          </w:p>
        </w:tc>
        <w:tc>
          <w:tcPr>
            <w:tcW w:w="793" w:type="dxa"/>
            <w:vAlign w:val="center"/>
            <w:tcBorders>
              <w:top w:val="nil"/>
              <w:left w:val="nil"/>
              <w:bottom w:val="nil"/>
              <w:right w:val="nil"/>
            </w:tcBorders>
          </w:tcPr>
          <w:p>
            <w:pPr>
              <w:pStyle w:val="0"/>
              <w:jc w:val="center"/>
            </w:pPr>
            <w:r>
              <w:rPr>
                <w:sz w:val="20"/>
              </w:rPr>
              <w:t xml:space="preserve">38,9</w:t>
            </w:r>
          </w:p>
        </w:tc>
        <w:tc>
          <w:tcPr>
            <w:tcW w:w="907" w:type="dxa"/>
            <w:vAlign w:val="center"/>
            <w:tcBorders>
              <w:top w:val="nil"/>
              <w:left w:val="nil"/>
              <w:bottom w:val="nil"/>
              <w:right w:val="nil"/>
            </w:tcBorders>
          </w:tcPr>
          <w:p>
            <w:pPr>
              <w:pStyle w:val="0"/>
              <w:jc w:val="center"/>
            </w:pPr>
            <w:r>
              <w:rPr>
                <w:sz w:val="20"/>
              </w:rPr>
              <w:t xml:space="preserve">108,9</w:t>
            </w:r>
          </w:p>
        </w:tc>
        <w:tc>
          <w:tcPr>
            <w:tcW w:w="963" w:type="dxa"/>
            <w:vAlign w:val="center"/>
            <w:tcBorders>
              <w:top w:val="nil"/>
              <w:left w:val="nil"/>
              <w:bottom w:val="nil"/>
              <w:right w:val="nil"/>
            </w:tcBorders>
          </w:tcPr>
          <w:p>
            <w:pPr>
              <w:pStyle w:val="0"/>
              <w:jc w:val="center"/>
            </w:pPr>
            <w:r>
              <w:rPr>
                <w:sz w:val="20"/>
              </w:rPr>
              <w:t xml:space="preserve">136,5</w:t>
            </w:r>
          </w:p>
        </w:tc>
        <w:tc>
          <w:tcPr>
            <w:tcW w:w="963" w:type="dxa"/>
            <w:vAlign w:val="center"/>
            <w:tcBorders>
              <w:top w:val="nil"/>
              <w:left w:val="nil"/>
              <w:bottom w:val="nil"/>
              <w:right w:val="nil"/>
            </w:tcBorders>
          </w:tcPr>
          <w:p>
            <w:pPr>
              <w:pStyle w:val="0"/>
              <w:jc w:val="center"/>
            </w:pPr>
            <w:r>
              <w:rPr>
                <w:sz w:val="20"/>
              </w:rPr>
              <w:t xml:space="preserve">165,2</w:t>
            </w:r>
          </w:p>
        </w:tc>
        <w:tc>
          <w:tcPr>
            <w:tcW w:w="963" w:type="dxa"/>
            <w:vAlign w:val="center"/>
            <w:tcBorders>
              <w:top w:val="nil"/>
              <w:left w:val="nil"/>
              <w:bottom w:val="nil"/>
              <w:right w:val="nil"/>
            </w:tcBorders>
          </w:tcPr>
          <w:p>
            <w:pPr>
              <w:pStyle w:val="0"/>
              <w:jc w:val="center"/>
            </w:pPr>
            <w:r>
              <w:rPr>
                <w:sz w:val="20"/>
              </w:rPr>
              <w:t xml:space="preserve">207,2</w:t>
            </w:r>
          </w:p>
        </w:tc>
        <w:tc>
          <w:tcPr>
            <w:tcW w:w="963" w:type="dxa"/>
            <w:vAlign w:val="center"/>
            <w:tcBorders>
              <w:top w:val="nil"/>
              <w:left w:val="nil"/>
              <w:bottom w:val="nil"/>
              <w:right w:val="nil"/>
            </w:tcBorders>
          </w:tcPr>
          <w:p>
            <w:pPr>
              <w:pStyle w:val="0"/>
              <w:jc w:val="center"/>
            </w:pPr>
            <w:r>
              <w:rPr>
                <w:sz w:val="20"/>
              </w:rPr>
              <w:t xml:space="preserve">231,7</w:t>
            </w:r>
          </w:p>
        </w:tc>
        <w:tc>
          <w:tcPr>
            <w:tcW w:w="963" w:type="dxa"/>
            <w:vAlign w:val="center"/>
            <w:tcBorders>
              <w:top w:val="nil"/>
              <w:left w:val="nil"/>
              <w:bottom w:val="nil"/>
              <w:right w:val="nil"/>
            </w:tcBorders>
          </w:tcPr>
          <w:p>
            <w:pPr>
              <w:pStyle w:val="0"/>
              <w:jc w:val="center"/>
            </w:pPr>
            <w:r>
              <w:rPr>
                <w:sz w:val="20"/>
              </w:rPr>
              <w:t xml:space="preserve">255,6</w:t>
            </w:r>
          </w:p>
        </w:tc>
      </w:tr>
      <w:tr>
        <w:tc>
          <w:tcPr>
            <w:tcW w:w="2551" w:type="dxa"/>
            <w:vAlign w:val="center"/>
            <w:tcBorders>
              <w:top w:val="nil"/>
              <w:left w:val="nil"/>
              <w:bottom w:val="nil"/>
              <w:right w:val="nil"/>
            </w:tcBorders>
          </w:tcPr>
          <w:p>
            <w:pPr>
              <w:pStyle w:val="0"/>
            </w:pPr>
            <w:r>
              <w:rPr>
                <w:sz w:val="20"/>
              </w:rPr>
              <w:t xml:space="preserve">Дополнительное повышением с 1 января 2024 г. минимального размера оплаты труда</w:t>
            </w:r>
          </w:p>
        </w:tc>
        <w:tc>
          <w:tcPr>
            <w:tcW w:w="793" w:type="dxa"/>
            <w:vAlign w:val="center"/>
            <w:tcBorders>
              <w:top w:val="nil"/>
              <w:left w:val="nil"/>
              <w:bottom w:val="nil"/>
              <w:right w:val="nil"/>
            </w:tcBorders>
          </w:tcPr>
          <w:p>
            <w:pPr>
              <w:pStyle w:val="0"/>
            </w:pPr>
            <w:r>
              <w:rPr>
                <w:sz w:val="20"/>
              </w:rPr>
            </w:r>
          </w:p>
        </w:tc>
        <w:tc>
          <w:tcPr>
            <w:tcW w:w="907" w:type="dxa"/>
            <w:vAlign w:val="center"/>
            <w:tcBorders>
              <w:top w:val="nil"/>
              <w:left w:val="nil"/>
              <w:bottom w:val="nil"/>
              <w:right w:val="nil"/>
            </w:tcBorders>
          </w:tcPr>
          <w:p>
            <w:pPr>
              <w:pStyle w:val="0"/>
            </w:pPr>
            <w:r>
              <w:rPr>
                <w:sz w:val="20"/>
              </w:rPr>
            </w:r>
          </w:p>
        </w:tc>
        <w:tc>
          <w:tcPr>
            <w:tcW w:w="963" w:type="dxa"/>
            <w:vAlign w:val="center"/>
            <w:tcBorders>
              <w:top w:val="nil"/>
              <w:left w:val="nil"/>
              <w:bottom w:val="nil"/>
              <w:right w:val="nil"/>
            </w:tcBorders>
          </w:tcPr>
          <w:p>
            <w:pPr>
              <w:pStyle w:val="0"/>
            </w:pPr>
            <w:r>
              <w:rPr>
                <w:sz w:val="20"/>
              </w:rPr>
            </w:r>
          </w:p>
        </w:tc>
        <w:tc>
          <w:tcPr>
            <w:tcW w:w="963" w:type="dxa"/>
            <w:vAlign w:val="center"/>
            <w:tcBorders>
              <w:top w:val="nil"/>
              <w:left w:val="nil"/>
              <w:bottom w:val="nil"/>
              <w:right w:val="nil"/>
            </w:tcBorders>
          </w:tcPr>
          <w:p>
            <w:pPr>
              <w:pStyle w:val="0"/>
              <w:jc w:val="center"/>
            </w:pPr>
            <w:r>
              <w:rPr>
                <w:sz w:val="20"/>
              </w:rPr>
              <w:t xml:space="preserve">-</w:t>
            </w:r>
          </w:p>
        </w:tc>
        <w:tc>
          <w:tcPr>
            <w:tcW w:w="963" w:type="dxa"/>
            <w:vAlign w:val="center"/>
            <w:tcBorders>
              <w:top w:val="nil"/>
              <w:left w:val="nil"/>
              <w:bottom w:val="nil"/>
              <w:right w:val="nil"/>
            </w:tcBorders>
          </w:tcPr>
          <w:p>
            <w:pPr>
              <w:pStyle w:val="0"/>
              <w:jc w:val="center"/>
            </w:pPr>
            <w:r>
              <w:rPr>
                <w:sz w:val="20"/>
              </w:rPr>
              <w:t xml:space="preserve">29,7</w:t>
            </w:r>
          </w:p>
        </w:tc>
        <w:tc>
          <w:tcPr>
            <w:tcW w:w="963" w:type="dxa"/>
            <w:vAlign w:val="center"/>
            <w:tcBorders>
              <w:top w:val="nil"/>
              <w:left w:val="nil"/>
              <w:bottom w:val="nil"/>
              <w:right w:val="nil"/>
            </w:tcBorders>
          </w:tcPr>
          <w:p>
            <w:pPr>
              <w:pStyle w:val="0"/>
              <w:jc w:val="center"/>
            </w:pPr>
            <w:r>
              <w:rPr>
                <w:sz w:val="20"/>
              </w:rPr>
              <w:t xml:space="preserve">43,7</w:t>
            </w:r>
          </w:p>
        </w:tc>
        <w:tc>
          <w:tcPr>
            <w:tcW w:w="963" w:type="dxa"/>
            <w:vAlign w:val="center"/>
            <w:tcBorders>
              <w:top w:val="nil"/>
              <w:left w:val="nil"/>
              <w:bottom w:val="nil"/>
              <w:right w:val="nil"/>
            </w:tcBorders>
          </w:tcPr>
          <w:p>
            <w:pPr>
              <w:pStyle w:val="0"/>
              <w:jc w:val="center"/>
            </w:pPr>
            <w:r>
              <w:rPr>
                <w:sz w:val="20"/>
              </w:rPr>
              <w:t xml:space="preserve">64,0</w:t>
            </w:r>
          </w:p>
        </w:tc>
      </w:tr>
      <w:tr>
        <w:tc>
          <w:tcPr>
            <w:tcW w:w="2551" w:type="dxa"/>
            <w:vAlign w:val="center"/>
            <w:tcBorders>
              <w:top w:val="nil"/>
              <w:left w:val="nil"/>
              <w:bottom w:val="nil"/>
              <w:right w:val="nil"/>
            </w:tcBorders>
          </w:tcPr>
          <w:p>
            <w:pPr>
              <w:pStyle w:val="0"/>
            </w:pPr>
            <w:r>
              <w:rPr>
                <w:sz w:val="20"/>
              </w:rPr>
              <w:t xml:space="preserve">горячее питание детей в начальной школе</w:t>
            </w:r>
          </w:p>
        </w:tc>
        <w:tc>
          <w:tcPr>
            <w:tcW w:w="793" w:type="dxa"/>
            <w:vAlign w:val="center"/>
            <w:tcBorders>
              <w:top w:val="nil"/>
              <w:left w:val="nil"/>
              <w:bottom w:val="nil"/>
              <w:right w:val="nil"/>
            </w:tcBorders>
          </w:tcPr>
          <w:p>
            <w:pPr>
              <w:pStyle w:val="0"/>
              <w:jc w:val="center"/>
            </w:pPr>
            <w:r>
              <w:rPr>
                <w:sz w:val="20"/>
              </w:rPr>
              <w:t xml:space="preserve">21,9</w:t>
            </w:r>
          </w:p>
        </w:tc>
        <w:tc>
          <w:tcPr>
            <w:tcW w:w="907" w:type="dxa"/>
            <w:vAlign w:val="center"/>
            <w:tcBorders>
              <w:top w:val="nil"/>
              <w:left w:val="nil"/>
              <w:bottom w:val="nil"/>
              <w:right w:val="nil"/>
            </w:tcBorders>
          </w:tcPr>
          <w:p>
            <w:pPr>
              <w:pStyle w:val="0"/>
              <w:jc w:val="center"/>
            </w:pPr>
            <w:r>
              <w:rPr>
                <w:sz w:val="20"/>
              </w:rPr>
              <w:t xml:space="preserve">54,3</w:t>
            </w:r>
          </w:p>
        </w:tc>
        <w:tc>
          <w:tcPr>
            <w:tcW w:w="963" w:type="dxa"/>
            <w:vAlign w:val="center"/>
            <w:tcBorders>
              <w:top w:val="nil"/>
              <w:left w:val="nil"/>
              <w:bottom w:val="nil"/>
              <w:right w:val="nil"/>
            </w:tcBorders>
          </w:tcPr>
          <w:p>
            <w:pPr>
              <w:pStyle w:val="0"/>
              <w:jc w:val="center"/>
            </w:pPr>
            <w:r>
              <w:rPr>
                <w:sz w:val="20"/>
              </w:rPr>
              <w:t xml:space="preserve">57,1</w:t>
            </w:r>
          </w:p>
        </w:tc>
        <w:tc>
          <w:tcPr>
            <w:tcW w:w="963" w:type="dxa"/>
            <w:vAlign w:val="center"/>
            <w:tcBorders>
              <w:top w:val="nil"/>
              <w:left w:val="nil"/>
              <w:bottom w:val="nil"/>
              <w:right w:val="nil"/>
            </w:tcBorders>
          </w:tcPr>
          <w:p>
            <w:pPr>
              <w:pStyle w:val="0"/>
              <w:jc w:val="center"/>
            </w:pPr>
            <w:r>
              <w:rPr>
                <w:sz w:val="20"/>
              </w:rPr>
              <w:t xml:space="preserve">68,3</w:t>
            </w:r>
          </w:p>
        </w:tc>
        <w:tc>
          <w:tcPr>
            <w:tcW w:w="963" w:type="dxa"/>
            <w:vAlign w:val="center"/>
            <w:tcBorders>
              <w:top w:val="nil"/>
              <w:left w:val="nil"/>
              <w:bottom w:val="nil"/>
              <w:right w:val="nil"/>
            </w:tcBorders>
          </w:tcPr>
          <w:p>
            <w:pPr>
              <w:pStyle w:val="0"/>
              <w:jc w:val="center"/>
            </w:pPr>
            <w:r>
              <w:rPr>
                <w:sz w:val="20"/>
              </w:rPr>
              <w:t xml:space="preserve">72,8</w:t>
            </w:r>
          </w:p>
        </w:tc>
        <w:tc>
          <w:tcPr>
            <w:tcW w:w="963" w:type="dxa"/>
            <w:vAlign w:val="center"/>
            <w:tcBorders>
              <w:top w:val="nil"/>
              <w:left w:val="nil"/>
              <w:bottom w:val="nil"/>
              <w:right w:val="nil"/>
            </w:tcBorders>
          </w:tcPr>
          <w:p>
            <w:pPr>
              <w:pStyle w:val="0"/>
              <w:jc w:val="center"/>
            </w:pPr>
            <w:r>
              <w:rPr>
                <w:sz w:val="20"/>
              </w:rPr>
              <w:t xml:space="preserve">73,4</w:t>
            </w:r>
          </w:p>
        </w:tc>
        <w:tc>
          <w:tcPr>
            <w:tcW w:w="963" w:type="dxa"/>
            <w:vAlign w:val="center"/>
            <w:tcBorders>
              <w:top w:val="nil"/>
              <w:left w:val="nil"/>
              <w:bottom w:val="nil"/>
              <w:right w:val="nil"/>
            </w:tcBorders>
          </w:tcPr>
          <w:p>
            <w:pPr>
              <w:pStyle w:val="0"/>
              <w:jc w:val="center"/>
            </w:pPr>
            <w:r>
              <w:rPr>
                <w:sz w:val="20"/>
              </w:rPr>
              <w:t xml:space="preserve">72,1</w:t>
            </w:r>
          </w:p>
        </w:tc>
      </w:tr>
      <w:tr>
        <w:tc>
          <w:tcPr>
            <w:tcW w:w="2551" w:type="dxa"/>
            <w:vAlign w:val="center"/>
            <w:tcBorders>
              <w:top w:val="nil"/>
              <w:left w:val="nil"/>
              <w:bottom w:val="nil"/>
              <w:right w:val="nil"/>
            </w:tcBorders>
          </w:tcPr>
          <w:p>
            <w:pPr>
              <w:pStyle w:val="0"/>
            </w:pPr>
            <w:r>
              <w:rPr>
                <w:sz w:val="20"/>
              </w:rPr>
              <w:t xml:space="preserve">распространение социального контракта </w:t>
            </w:r>
            <w:hyperlink w:history="0" w:anchor="P784" w:tooltip="&lt;***&gt; Общий объем бюджетных ассигнований, предусмотренный на оказание государственной социальной помощи на основании социального контракта отдельным категориям граждан в 2023 году, составляет 35,0 млрд рублей (кассовое исполнение по состоянию на 01.09.2023 - 23,8 млрд рублей). В соответствии с бюджетными проектировками на 2024 - 2026 гг. объем бюджетных ассигнований составит: в 2024 г. - 31,6 млрд рублей, в 2025 г. - 36,4 млрд рублей, в 2026 г. - 37,5 млрд рублей.">
              <w:r>
                <w:rPr>
                  <w:sz w:val="20"/>
                  <w:color w:val="0000ff"/>
                </w:rPr>
                <w:t xml:space="preserve">&lt;***&gt;</w:t>
              </w:r>
            </w:hyperlink>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21,7</w:t>
            </w:r>
          </w:p>
        </w:tc>
        <w:tc>
          <w:tcPr>
            <w:tcW w:w="963" w:type="dxa"/>
            <w:vAlign w:val="center"/>
            <w:tcBorders>
              <w:top w:val="nil"/>
              <w:left w:val="nil"/>
              <w:bottom w:val="nil"/>
              <w:right w:val="nil"/>
            </w:tcBorders>
          </w:tcPr>
          <w:p>
            <w:pPr>
              <w:pStyle w:val="0"/>
              <w:jc w:val="center"/>
            </w:pPr>
            <w:r>
              <w:rPr>
                <w:sz w:val="20"/>
              </w:rPr>
              <w:t xml:space="preserve">29,9</w:t>
            </w:r>
          </w:p>
        </w:tc>
        <w:tc>
          <w:tcPr>
            <w:tcW w:w="963" w:type="dxa"/>
            <w:vAlign w:val="center"/>
            <w:tcBorders>
              <w:top w:val="nil"/>
              <w:left w:val="nil"/>
              <w:bottom w:val="nil"/>
              <w:right w:val="nil"/>
            </w:tcBorders>
          </w:tcPr>
          <w:p>
            <w:pPr>
              <w:pStyle w:val="0"/>
              <w:jc w:val="center"/>
            </w:pPr>
            <w:r>
              <w:rPr>
                <w:sz w:val="20"/>
              </w:rPr>
              <w:t xml:space="preserve">22,2</w:t>
            </w:r>
          </w:p>
        </w:tc>
        <w:tc>
          <w:tcPr>
            <w:tcW w:w="963" w:type="dxa"/>
            <w:vAlign w:val="center"/>
            <w:tcBorders>
              <w:top w:val="nil"/>
              <w:left w:val="nil"/>
              <w:bottom w:val="nil"/>
              <w:right w:val="nil"/>
            </w:tcBorders>
          </w:tcPr>
          <w:p>
            <w:pPr>
              <w:pStyle w:val="0"/>
              <w:jc w:val="center"/>
            </w:pPr>
            <w:r>
              <w:rPr>
                <w:sz w:val="20"/>
              </w:rPr>
              <w:t xml:space="preserve">22,2</w:t>
            </w:r>
          </w:p>
        </w:tc>
        <w:tc>
          <w:tcPr>
            <w:tcW w:w="963" w:type="dxa"/>
            <w:vAlign w:val="center"/>
            <w:tcBorders>
              <w:top w:val="nil"/>
              <w:left w:val="nil"/>
              <w:bottom w:val="nil"/>
              <w:right w:val="nil"/>
            </w:tcBorders>
          </w:tcPr>
          <w:p>
            <w:pPr>
              <w:pStyle w:val="0"/>
              <w:jc w:val="center"/>
            </w:pPr>
            <w:r>
              <w:rPr>
                <w:sz w:val="20"/>
              </w:rPr>
              <w:t xml:space="preserve">22,2</w:t>
            </w:r>
          </w:p>
        </w:tc>
        <w:tc>
          <w:tcPr>
            <w:tcW w:w="963" w:type="dxa"/>
            <w:vAlign w:val="center"/>
            <w:tcBorders>
              <w:top w:val="nil"/>
              <w:left w:val="nil"/>
              <w:bottom w:val="nil"/>
              <w:right w:val="nil"/>
            </w:tcBorders>
          </w:tcPr>
          <w:p>
            <w:pPr>
              <w:pStyle w:val="0"/>
              <w:jc w:val="center"/>
            </w:pPr>
            <w:r>
              <w:rPr>
                <w:sz w:val="20"/>
              </w:rPr>
              <w:t xml:space="preserve">22,2</w:t>
            </w:r>
          </w:p>
        </w:tc>
      </w:tr>
      <w:tr>
        <w:tc>
          <w:tcPr>
            <w:tcW w:w="2551" w:type="dxa"/>
            <w:vAlign w:val="center"/>
            <w:tcBorders>
              <w:top w:val="nil"/>
              <w:left w:val="nil"/>
              <w:bottom w:val="nil"/>
              <w:right w:val="nil"/>
            </w:tcBorders>
          </w:tcPr>
          <w:p>
            <w:pPr>
              <w:pStyle w:val="0"/>
            </w:pPr>
            <w:r>
              <w:rPr>
                <w:sz w:val="20"/>
              </w:rPr>
              <w:t xml:space="preserve">единовременная выплата на школьников (10 т.р. без нуждаемости)</w:t>
            </w:r>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209,6</w:t>
            </w:r>
          </w:p>
        </w:tc>
        <w:tc>
          <w:tcPr>
            <w:tcW w:w="963" w:type="dxa"/>
            <w:vAlign w:val="center"/>
            <w:tcBorders>
              <w:top w:val="nil"/>
              <w:left w:val="nil"/>
              <w:bottom w:val="nil"/>
              <w:right w:val="nil"/>
            </w:tcBorders>
          </w:tcPr>
          <w:p>
            <w:pPr>
              <w:pStyle w:val="0"/>
              <w:jc w:val="center"/>
            </w:pPr>
            <w:r>
              <w:rPr>
                <w:sz w:val="20"/>
              </w:rPr>
              <w:t xml:space="preserve">-</w:t>
            </w:r>
          </w:p>
        </w:tc>
        <w:tc>
          <w:tcPr>
            <w:tcW w:w="963" w:type="dxa"/>
            <w:vAlign w:val="center"/>
            <w:tcBorders>
              <w:top w:val="nil"/>
              <w:left w:val="nil"/>
              <w:bottom w:val="nil"/>
              <w:right w:val="nil"/>
            </w:tcBorders>
          </w:tcPr>
          <w:p>
            <w:pPr>
              <w:pStyle w:val="0"/>
              <w:jc w:val="center"/>
            </w:pPr>
            <w:r>
              <w:rPr>
                <w:sz w:val="20"/>
              </w:rPr>
              <w:t xml:space="preserve">-</w:t>
            </w:r>
          </w:p>
        </w:tc>
        <w:tc>
          <w:tcPr>
            <w:tcW w:w="963" w:type="dxa"/>
            <w:vAlign w:val="center"/>
            <w:tcBorders>
              <w:top w:val="nil"/>
              <w:left w:val="nil"/>
              <w:bottom w:val="nil"/>
              <w:right w:val="nil"/>
            </w:tcBorders>
          </w:tcPr>
          <w:p>
            <w:pPr>
              <w:pStyle w:val="0"/>
              <w:jc w:val="center"/>
            </w:pPr>
            <w:r>
              <w:rPr>
                <w:sz w:val="20"/>
              </w:rPr>
              <w:t xml:space="preserve">-</w:t>
            </w:r>
          </w:p>
        </w:tc>
        <w:tc>
          <w:tcPr>
            <w:tcW w:w="963" w:type="dxa"/>
            <w:vAlign w:val="center"/>
            <w:tcBorders>
              <w:top w:val="nil"/>
              <w:left w:val="nil"/>
              <w:bottom w:val="nil"/>
              <w:right w:val="nil"/>
            </w:tcBorders>
          </w:tcPr>
          <w:p>
            <w:pPr>
              <w:pStyle w:val="0"/>
              <w:jc w:val="center"/>
            </w:pPr>
            <w:r>
              <w:rPr>
                <w:sz w:val="20"/>
              </w:rPr>
              <w:t xml:space="preserve">-</w:t>
            </w:r>
          </w:p>
        </w:tc>
        <w:tc>
          <w:tcPr>
            <w:tcW w:w="963" w:type="dxa"/>
            <w:vAlign w:val="center"/>
            <w:tcBorders>
              <w:top w:val="nil"/>
              <w:left w:val="nil"/>
              <w:bottom w:val="nil"/>
              <w:right w:val="nil"/>
            </w:tcBorders>
          </w:tcPr>
          <w:p>
            <w:pPr>
              <w:pStyle w:val="0"/>
              <w:jc w:val="center"/>
            </w:pPr>
            <w:r>
              <w:rPr>
                <w:sz w:val="20"/>
              </w:rPr>
              <w:t xml:space="preserve">-</w:t>
            </w:r>
          </w:p>
        </w:tc>
      </w:tr>
      <w:tr>
        <w:tc>
          <w:tcPr>
            <w:tcW w:w="2551" w:type="dxa"/>
            <w:vAlign w:val="center"/>
            <w:tcBorders>
              <w:top w:val="nil"/>
              <w:left w:val="nil"/>
              <w:bottom w:val="nil"/>
              <w:right w:val="nil"/>
            </w:tcBorders>
          </w:tcPr>
          <w:p>
            <w:pPr>
              <w:pStyle w:val="0"/>
            </w:pPr>
            <w:r>
              <w:rPr>
                <w:sz w:val="20"/>
              </w:rPr>
              <w:t xml:space="preserve">модернизация первичного звена здравоохранения</w:t>
            </w:r>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77,9</w:t>
            </w:r>
          </w:p>
        </w:tc>
        <w:tc>
          <w:tcPr>
            <w:tcW w:w="963" w:type="dxa"/>
            <w:vAlign w:val="center"/>
            <w:tcBorders>
              <w:top w:val="nil"/>
              <w:left w:val="nil"/>
              <w:bottom w:val="nil"/>
              <w:right w:val="nil"/>
            </w:tcBorders>
          </w:tcPr>
          <w:p>
            <w:pPr>
              <w:pStyle w:val="0"/>
              <w:jc w:val="center"/>
            </w:pPr>
            <w:r>
              <w:rPr>
                <w:sz w:val="20"/>
              </w:rPr>
              <w:t xml:space="preserve">96,8</w:t>
            </w:r>
          </w:p>
        </w:tc>
        <w:tc>
          <w:tcPr>
            <w:tcW w:w="963" w:type="dxa"/>
            <w:vAlign w:val="center"/>
            <w:tcBorders>
              <w:top w:val="nil"/>
              <w:left w:val="nil"/>
              <w:bottom w:val="nil"/>
              <w:right w:val="nil"/>
            </w:tcBorders>
          </w:tcPr>
          <w:p>
            <w:pPr>
              <w:pStyle w:val="0"/>
              <w:jc w:val="center"/>
            </w:pPr>
            <w:r>
              <w:rPr>
                <w:sz w:val="20"/>
              </w:rPr>
              <w:t xml:space="preserve">94,6</w:t>
            </w:r>
          </w:p>
        </w:tc>
        <w:tc>
          <w:tcPr>
            <w:tcW w:w="963" w:type="dxa"/>
            <w:vAlign w:val="center"/>
            <w:tcBorders>
              <w:top w:val="nil"/>
              <w:left w:val="nil"/>
              <w:bottom w:val="nil"/>
              <w:right w:val="nil"/>
            </w:tcBorders>
          </w:tcPr>
          <w:p>
            <w:pPr>
              <w:pStyle w:val="0"/>
              <w:jc w:val="center"/>
            </w:pPr>
            <w:r>
              <w:rPr>
                <w:sz w:val="20"/>
              </w:rPr>
              <w:t xml:space="preserve">81,6</w:t>
            </w:r>
          </w:p>
        </w:tc>
        <w:tc>
          <w:tcPr>
            <w:tcW w:w="963" w:type="dxa"/>
            <w:vAlign w:val="center"/>
            <w:tcBorders>
              <w:top w:val="nil"/>
              <w:left w:val="nil"/>
              <w:bottom w:val="nil"/>
              <w:right w:val="nil"/>
            </w:tcBorders>
          </w:tcPr>
          <w:p>
            <w:pPr>
              <w:pStyle w:val="0"/>
              <w:jc w:val="center"/>
            </w:pPr>
            <w:r>
              <w:rPr>
                <w:sz w:val="20"/>
              </w:rPr>
              <w:t xml:space="preserve">121,5</w:t>
            </w:r>
          </w:p>
        </w:tc>
        <w:tc>
          <w:tcPr>
            <w:tcW w:w="963" w:type="dxa"/>
            <w:vAlign w:val="center"/>
            <w:tcBorders>
              <w:top w:val="nil"/>
              <w:left w:val="nil"/>
              <w:bottom w:val="nil"/>
              <w:right w:val="nil"/>
            </w:tcBorders>
          </w:tcPr>
          <w:p>
            <w:pPr>
              <w:pStyle w:val="0"/>
              <w:jc w:val="center"/>
            </w:pPr>
            <w:r>
              <w:rPr>
                <w:sz w:val="20"/>
              </w:rPr>
              <w:t xml:space="preserve">0,0</w:t>
            </w:r>
          </w:p>
        </w:tc>
      </w:tr>
      <w:tr>
        <w:tc>
          <w:tcPr>
            <w:tcW w:w="2551" w:type="dxa"/>
            <w:vAlign w:val="center"/>
            <w:tcBorders>
              <w:top w:val="nil"/>
              <w:left w:val="nil"/>
              <w:bottom w:val="nil"/>
              <w:right w:val="nil"/>
            </w:tcBorders>
          </w:tcPr>
          <w:p>
            <w:pPr>
              <w:pStyle w:val="0"/>
            </w:pPr>
            <w:r>
              <w:rPr>
                <w:sz w:val="20"/>
              </w:rPr>
              <w:t xml:space="preserve">программы лечения и реабилитации</w:t>
            </w:r>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w:t>
            </w:r>
          </w:p>
        </w:tc>
        <w:tc>
          <w:tcPr>
            <w:tcW w:w="963" w:type="dxa"/>
            <w:vAlign w:val="center"/>
            <w:tcBorders>
              <w:top w:val="nil"/>
              <w:left w:val="nil"/>
              <w:bottom w:val="nil"/>
              <w:right w:val="nil"/>
            </w:tcBorders>
          </w:tcPr>
          <w:p>
            <w:pPr>
              <w:pStyle w:val="0"/>
              <w:jc w:val="center"/>
            </w:pPr>
            <w:r>
              <w:rPr>
                <w:sz w:val="20"/>
              </w:rPr>
              <w:t xml:space="preserve">18,8</w:t>
            </w:r>
          </w:p>
        </w:tc>
        <w:tc>
          <w:tcPr>
            <w:tcW w:w="963" w:type="dxa"/>
            <w:vAlign w:val="center"/>
            <w:tcBorders>
              <w:top w:val="nil"/>
              <w:left w:val="nil"/>
              <w:bottom w:val="nil"/>
              <w:right w:val="nil"/>
            </w:tcBorders>
          </w:tcPr>
          <w:p>
            <w:pPr>
              <w:pStyle w:val="0"/>
              <w:jc w:val="center"/>
            </w:pPr>
            <w:r>
              <w:rPr>
                <w:sz w:val="20"/>
              </w:rPr>
              <w:t xml:space="preserve">20,5</w:t>
            </w:r>
          </w:p>
        </w:tc>
        <w:tc>
          <w:tcPr>
            <w:tcW w:w="963" w:type="dxa"/>
            <w:vAlign w:val="center"/>
            <w:tcBorders>
              <w:top w:val="nil"/>
              <w:left w:val="nil"/>
              <w:bottom w:val="nil"/>
              <w:right w:val="nil"/>
            </w:tcBorders>
          </w:tcPr>
          <w:p>
            <w:pPr>
              <w:pStyle w:val="0"/>
              <w:jc w:val="center"/>
            </w:pPr>
            <w:r>
              <w:rPr>
                <w:sz w:val="20"/>
              </w:rPr>
              <w:t xml:space="preserve">19,4</w:t>
            </w:r>
          </w:p>
        </w:tc>
        <w:tc>
          <w:tcPr>
            <w:tcW w:w="963" w:type="dxa"/>
            <w:vAlign w:val="center"/>
            <w:tcBorders>
              <w:top w:val="nil"/>
              <w:left w:val="nil"/>
              <w:bottom w:val="nil"/>
              <w:right w:val="nil"/>
            </w:tcBorders>
          </w:tcPr>
          <w:p>
            <w:pPr>
              <w:pStyle w:val="0"/>
              <w:jc w:val="center"/>
            </w:pPr>
            <w:r>
              <w:rPr>
                <w:sz w:val="20"/>
              </w:rPr>
              <w:t xml:space="preserve">19,3</w:t>
            </w:r>
          </w:p>
        </w:tc>
        <w:tc>
          <w:tcPr>
            <w:tcW w:w="963" w:type="dxa"/>
            <w:vAlign w:val="center"/>
            <w:tcBorders>
              <w:top w:val="nil"/>
              <w:left w:val="nil"/>
              <w:bottom w:val="nil"/>
              <w:right w:val="nil"/>
            </w:tcBorders>
          </w:tcPr>
          <w:p>
            <w:pPr>
              <w:pStyle w:val="0"/>
              <w:jc w:val="center"/>
            </w:pPr>
            <w:r>
              <w:rPr>
                <w:sz w:val="20"/>
              </w:rPr>
              <w:t xml:space="preserve">10,8</w:t>
            </w:r>
          </w:p>
        </w:tc>
      </w:tr>
      <w:tr>
        <w:tc>
          <w:tcPr>
            <w:tcW w:w="2551" w:type="dxa"/>
            <w:vAlign w:val="center"/>
            <w:tcBorders>
              <w:top w:val="nil"/>
              <w:left w:val="nil"/>
              <w:bottom w:val="nil"/>
              <w:right w:val="nil"/>
            </w:tcBorders>
          </w:tcPr>
          <w:p>
            <w:pPr>
              <w:pStyle w:val="0"/>
            </w:pPr>
            <w:r>
              <w:rPr>
                <w:sz w:val="20"/>
              </w:rPr>
              <w:t xml:space="preserve">борьба с сердечно-сосудистыми и онкологическими заболеваниями</w:t>
            </w:r>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197,4</w:t>
            </w:r>
          </w:p>
        </w:tc>
        <w:tc>
          <w:tcPr>
            <w:tcW w:w="963" w:type="dxa"/>
            <w:vAlign w:val="center"/>
            <w:tcBorders>
              <w:top w:val="nil"/>
              <w:left w:val="nil"/>
              <w:bottom w:val="nil"/>
              <w:right w:val="nil"/>
            </w:tcBorders>
          </w:tcPr>
          <w:p>
            <w:pPr>
              <w:pStyle w:val="0"/>
              <w:jc w:val="center"/>
            </w:pPr>
            <w:r>
              <w:rPr>
                <w:sz w:val="20"/>
              </w:rPr>
              <w:t xml:space="preserve">209,4</w:t>
            </w:r>
          </w:p>
        </w:tc>
        <w:tc>
          <w:tcPr>
            <w:tcW w:w="963" w:type="dxa"/>
            <w:vAlign w:val="center"/>
            <w:tcBorders>
              <w:top w:val="nil"/>
              <w:left w:val="nil"/>
              <w:bottom w:val="nil"/>
              <w:right w:val="nil"/>
            </w:tcBorders>
          </w:tcPr>
          <w:p>
            <w:pPr>
              <w:pStyle w:val="0"/>
              <w:jc w:val="center"/>
            </w:pPr>
            <w:r>
              <w:rPr>
                <w:sz w:val="20"/>
              </w:rPr>
              <w:t xml:space="preserve">177,3</w:t>
            </w:r>
          </w:p>
        </w:tc>
        <w:tc>
          <w:tcPr>
            <w:tcW w:w="963" w:type="dxa"/>
            <w:vAlign w:val="center"/>
            <w:tcBorders>
              <w:top w:val="nil"/>
              <w:left w:val="nil"/>
              <w:bottom w:val="nil"/>
              <w:right w:val="nil"/>
            </w:tcBorders>
          </w:tcPr>
          <w:p>
            <w:pPr>
              <w:pStyle w:val="0"/>
              <w:jc w:val="center"/>
            </w:pPr>
            <w:r>
              <w:rPr>
                <w:sz w:val="20"/>
              </w:rPr>
              <w:t xml:space="preserve">167,8</w:t>
            </w:r>
          </w:p>
        </w:tc>
        <w:tc>
          <w:tcPr>
            <w:tcW w:w="963" w:type="dxa"/>
            <w:vAlign w:val="center"/>
            <w:tcBorders>
              <w:top w:val="nil"/>
              <w:left w:val="nil"/>
              <w:bottom w:val="nil"/>
              <w:right w:val="nil"/>
            </w:tcBorders>
          </w:tcPr>
          <w:p>
            <w:pPr>
              <w:pStyle w:val="0"/>
              <w:jc w:val="center"/>
            </w:pPr>
            <w:r>
              <w:rPr>
                <w:sz w:val="20"/>
              </w:rPr>
              <w:t xml:space="preserve">150,0</w:t>
            </w:r>
          </w:p>
        </w:tc>
        <w:tc>
          <w:tcPr>
            <w:tcW w:w="963" w:type="dxa"/>
            <w:vAlign w:val="center"/>
            <w:tcBorders>
              <w:top w:val="nil"/>
              <w:left w:val="nil"/>
              <w:bottom w:val="nil"/>
              <w:right w:val="nil"/>
            </w:tcBorders>
          </w:tcPr>
          <w:p>
            <w:pPr>
              <w:pStyle w:val="0"/>
              <w:jc w:val="center"/>
            </w:pPr>
            <w:r>
              <w:rPr>
                <w:sz w:val="20"/>
              </w:rPr>
              <w:t xml:space="preserve">154,8</w:t>
            </w:r>
          </w:p>
        </w:tc>
      </w:tr>
      <w:tr>
        <w:tc>
          <w:tcPr>
            <w:tcW w:w="2551" w:type="dxa"/>
            <w:vAlign w:val="center"/>
            <w:tcBorders>
              <w:top w:val="nil"/>
              <w:left w:val="nil"/>
              <w:bottom w:val="nil"/>
              <w:right w:val="nil"/>
            </w:tcBorders>
          </w:tcPr>
          <w:p>
            <w:pPr>
              <w:pStyle w:val="0"/>
            </w:pPr>
            <w:r>
              <w:rPr>
                <w:sz w:val="20"/>
              </w:rPr>
              <w:t xml:space="preserve">борьба с гепатитом C</w:t>
            </w:r>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31,8</w:t>
            </w:r>
          </w:p>
        </w:tc>
        <w:tc>
          <w:tcPr>
            <w:tcW w:w="963" w:type="dxa"/>
            <w:vAlign w:val="center"/>
            <w:tcBorders>
              <w:top w:val="nil"/>
              <w:left w:val="nil"/>
              <w:bottom w:val="nil"/>
              <w:right w:val="nil"/>
            </w:tcBorders>
          </w:tcPr>
          <w:p>
            <w:pPr>
              <w:pStyle w:val="0"/>
              <w:jc w:val="center"/>
            </w:pPr>
            <w:r>
              <w:rPr>
                <w:sz w:val="20"/>
              </w:rPr>
              <w:t xml:space="preserve">33,3</w:t>
            </w:r>
          </w:p>
        </w:tc>
        <w:tc>
          <w:tcPr>
            <w:tcW w:w="963" w:type="dxa"/>
            <w:vAlign w:val="center"/>
            <w:tcBorders>
              <w:top w:val="nil"/>
              <w:left w:val="nil"/>
              <w:bottom w:val="nil"/>
              <w:right w:val="nil"/>
            </w:tcBorders>
          </w:tcPr>
          <w:p>
            <w:pPr>
              <w:pStyle w:val="0"/>
              <w:jc w:val="center"/>
            </w:pPr>
            <w:r>
              <w:rPr>
                <w:sz w:val="20"/>
              </w:rPr>
              <w:t xml:space="preserve">35,1</w:t>
            </w:r>
          </w:p>
        </w:tc>
        <w:tc>
          <w:tcPr>
            <w:tcW w:w="963" w:type="dxa"/>
            <w:vAlign w:val="center"/>
            <w:tcBorders>
              <w:top w:val="nil"/>
              <w:left w:val="nil"/>
              <w:bottom w:val="nil"/>
              <w:right w:val="nil"/>
            </w:tcBorders>
          </w:tcPr>
          <w:p>
            <w:pPr>
              <w:pStyle w:val="0"/>
              <w:jc w:val="center"/>
            </w:pPr>
            <w:r>
              <w:rPr>
                <w:sz w:val="20"/>
              </w:rPr>
              <w:t xml:space="preserve">38,6</w:t>
            </w:r>
          </w:p>
        </w:tc>
        <w:tc>
          <w:tcPr>
            <w:tcW w:w="963" w:type="dxa"/>
            <w:vAlign w:val="center"/>
            <w:tcBorders>
              <w:top w:val="nil"/>
              <w:left w:val="nil"/>
              <w:bottom w:val="nil"/>
              <w:right w:val="nil"/>
            </w:tcBorders>
          </w:tcPr>
          <w:p>
            <w:pPr>
              <w:pStyle w:val="0"/>
              <w:jc w:val="center"/>
            </w:pPr>
            <w:r>
              <w:rPr>
                <w:sz w:val="20"/>
              </w:rPr>
              <w:t xml:space="preserve">38,8</w:t>
            </w:r>
          </w:p>
        </w:tc>
        <w:tc>
          <w:tcPr>
            <w:tcW w:w="963" w:type="dxa"/>
            <w:vAlign w:val="center"/>
            <w:tcBorders>
              <w:top w:val="nil"/>
              <w:left w:val="nil"/>
              <w:bottom w:val="nil"/>
              <w:right w:val="nil"/>
            </w:tcBorders>
          </w:tcPr>
          <w:p>
            <w:pPr>
              <w:pStyle w:val="0"/>
              <w:jc w:val="center"/>
            </w:pPr>
            <w:r>
              <w:rPr>
                <w:sz w:val="20"/>
              </w:rPr>
              <w:t xml:space="preserve">39,9</w:t>
            </w:r>
          </w:p>
        </w:tc>
      </w:tr>
      <w:tr>
        <w:tc>
          <w:tcPr>
            <w:tcW w:w="2551" w:type="dxa"/>
            <w:vAlign w:val="center"/>
            <w:tcBorders>
              <w:top w:val="nil"/>
              <w:left w:val="nil"/>
              <w:bottom w:val="nil"/>
              <w:right w:val="nil"/>
            </w:tcBorders>
          </w:tcPr>
          <w:p>
            <w:pPr>
              <w:pStyle w:val="0"/>
            </w:pPr>
            <w:r>
              <w:rPr>
                <w:sz w:val="20"/>
              </w:rPr>
              <w:t xml:space="preserve">строительство 1300 новых школ до 2024 г.</w:t>
            </w:r>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61,1</w:t>
            </w:r>
          </w:p>
        </w:tc>
        <w:tc>
          <w:tcPr>
            <w:tcW w:w="963" w:type="dxa"/>
            <w:vAlign w:val="center"/>
            <w:tcBorders>
              <w:top w:val="nil"/>
              <w:left w:val="nil"/>
              <w:bottom w:val="nil"/>
              <w:right w:val="nil"/>
            </w:tcBorders>
          </w:tcPr>
          <w:p>
            <w:pPr>
              <w:pStyle w:val="0"/>
              <w:jc w:val="center"/>
            </w:pPr>
            <w:r>
              <w:rPr>
                <w:sz w:val="20"/>
              </w:rPr>
              <w:t xml:space="preserve">116,2</w:t>
            </w:r>
          </w:p>
        </w:tc>
        <w:tc>
          <w:tcPr>
            <w:tcW w:w="963" w:type="dxa"/>
            <w:vAlign w:val="center"/>
            <w:tcBorders>
              <w:top w:val="nil"/>
              <w:left w:val="nil"/>
              <w:bottom w:val="nil"/>
              <w:right w:val="nil"/>
            </w:tcBorders>
          </w:tcPr>
          <w:p>
            <w:pPr>
              <w:pStyle w:val="0"/>
              <w:jc w:val="center"/>
            </w:pPr>
            <w:r>
              <w:rPr>
                <w:sz w:val="20"/>
              </w:rPr>
              <w:t xml:space="preserve">115,7</w:t>
            </w:r>
          </w:p>
        </w:tc>
        <w:tc>
          <w:tcPr>
            <w:tcW w:w="963" w:type="dxa"/>
            <w:vAlign w:val="center"/>
            <w:tcBorders>
              <w:top w:val="nil"/>
              <w:left w:val="nil"/>
              <w:bottom w:val="nil"/>
              <w:right w:val="nil"/>
            </w:tcBorders>
          </w:tcPr>
          <w:p>
            <w:pPr>
              <w:pStyle w:val="0"/>
              <w:jc w:val="center"/>
            </w:pPr>
            <w:r>
              <w:rPr>
                <w:sz w:val="20"/>
              </w:rPr>
              <w:t xml:space="preserve">111,1</w:t>
            </w:r>
          </w:p>
        </w:tc>
        <w:tc>
          <w:tcPr>
            <w:tcW w:w="963" w:type="dxa"/>
            <w:vAlign w:val="center"/>
            <w:tcBorders>
              <w:top w:val="nil"/>
              <w:left w:val="nil"/>
              <w:bottom w:val="nil"/>
              <w:right w:val="nil"/>
            </w:tcBorders>
          </w:tcPr>
          <w:p>
            <w:pPr>
              <w:pStyle w:val="0"/>
              <w:jc w:val="center"/>
            </w:pPr>
            <w:r>
              <w:rPr>
                <w:sz w:val="20"/>
              </w:rPr>
              <w:t xml:space="preserve">0,0</w:t>
            </w:r>
          </w:p>
        </w:tc>
        <w:tc>
          <w:tcPr>
            <w:tcW w:w="963" w:type="dxa"/>
            <w:vAlign w:val="center"/>
            <w:tcBorders>
              <w:top w:val="nil"/>
              <w:left w:val="nil"/>
              <w:bottom w:val="nil"/>
              <w:right w:val="nil"/>
            </w:tcBorders>
          </w:tcPr>
          <w:p>
            <w:pPr>
              <w:pStyle w:val="0"/>
              <w:jc w:val="center"/>
            </w:pPr>
            <w:r>
              <w:rPr>
                <w:sz w:val="20"/>
              </w:rPr>
              <w:t xml:space="preserve">0,0</w:t>
            </w:r>
          </w:p>
        </w:tc>
      </w:tr>
      <w:tr>
        <w:tc>
          <w:tcPr>
            <w:tcW w:w="2551" w:type="dxa"/>
            <w:vAlign w:val="center"/>
            <w:tcBorders>
              <w:top w:val="nil"/>
              <w:left w:val="nil"/>
              <w:bottom w:val="nil"/>
              <w:right w:val="nil"/>
            </w:tcBorders>
          </w:tcPr>
          <w:p>
            <w:pPr>
              <w:pStyle w:val="0"/>
            </w:pPr>
            <w:r>
              <w:rPr>
                <w:sz w:val="20"/>
              </w:rPr>
              <w:t xml:space="preserve">дополнительные места в школах</w:t>
            </w:r>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21,4</w:t>
            </w:r>
          </w:p>
        </w:tc>
        <w:tc>
          <w:tcPr>
            <w:tcW w:w="963" w:type="dxa"/>
            <w:vAlign w:val="center"/>
            <w:tcBorders>
              <w:top w:val="nil"/>
              <w:left w:val="nil"/>
              <w:bottom w:val="nil"/>
              <w:right w:val="nil"/>
            </w:tcBorders>
          </w:tcPr>
          <w:p>
            <w:pPr>
              <w:pStyle w:val="0"/>
              <w:jc w:val="center"/>
            </w:pPr>
            <w:r>
              <w:rPr>
                <w:sz w:val="20"/>
              </w:rPr>
              <w:t xml:space="preserve">58,8</w:t>
            </w:r>
          </w:p>
        </w:tc>
        <w:tc>
          <w:tcPr>
            <w:tcW w:w="963" w:type="dxa"/>
            <w:vAlign w:val="center"/>
            <w:tcBorders>
              <w:top w:val="nil"/>
              <w:left w:val="nil"/>
              <w:bottom w:val="nil"/>
              <w:right w:val="nil"/>
            </w:tcBorders>
          </w:tcPr>
          <w:p>
            <w:pPr>
              <w:pStyle w:val="0"/>
              <w:jc w:val="center"/>
            </w:pPr>
            <w:r>
              <w:rPr>
                <w:sz w:val="20"/>
              </w:rPr>
              <w:t xml:space="preserve">73,5</w:t>
            </w:r>
          </w:p>
        </w:tc>
        <w:tc>
          <w:tcPr>
            <w:tcW w:w="963" w:type="dxa"/>
            <w:vAlign w:val="center"/>
            <w:tcBorders>
              <w:top w:val="nil"/>
              <w:left w:val="nil"/>
              <w:bottom w:val="nil"/>
              <w:right w:val="nil"/>
            </w:tcBorders>
          </w:tcPr>
          <w:p>
            <w:pPr>
              <w:pStyle w:val="0"/>
              <w:jc w:val="center"/>
            </w:pPr>
            <w:r>
              <w:rPr>
                <w:sz w:val="20"/>
              </w:rPr>
              <w:t xml:space="preserve">77,6</w:t>
            </w:r>
          </w:p>
        </w:tc>
        <w:tc>
          <w:tcPr>
            <w:tcW w:w="963" w:type="dxa"/>
            <w:vAlign w:val="center"/>
            <w:tcBorders>
              <w:top w:val="nil"/>
              <w:left w:val="nil"/>
              <w:bottom w:val="nil"/>
              <w:right w:val="nil"/>
            </w:tcBorders>
          </w:tcPr>
          <w:p>
            <w:pPr>
              <w:pStyle w:val="0"/>
              <w:jc w:val="center"/>
            </w:pPr>
            <w:r>
              <w:rPr>
                <w:sz w:val="20"/>
              </w:rPr>
              <w:t xml:space="preserve">0,0</w:t>
            </w:r>
          </w:p>
        </w:tc>
        <w:tc>
          <w:tcPr>
            <w:tcW w:w="963" w:type="dxa"/>
            <w:vAlign w:val="center"/>
            <w:tcBorders>
              <w:top w:val="nil"/>
              <w:left w:val="nil"/>
              <w:bottom w:val="nil"/>
              <w:right w:val="nil"/>
            </w:tcBorders>
          </w:tcPr>
          <w:p>
            <w:pPr>
              <w:pStyle w:val="0"/>
              <w:jc w:val="center"/>
            </w:pPr>
            <w:r>
              <w:rPr>
                <w:sz w:val="20"/>
              </w:rPr>
              <w:t xml:space="preserve">0,0</w:t>
            </w:r>
          </w:p>
        </w:tc>
      </w:tr>
      <w:tr>
        <w:tc>
          <w:tcPr>
            <w:tcW w:w="2551" w:type="dxa"/>
            <w:vAlign w:val="center"/>
            <w:tcBorders>
              <w:top w:val="nil"/>
              <w:left w:val="nil"/>
              <w:bottom w:val="nil"/>
              <w:right w:val="nil"/>
            </w:tcBorders>
          </w:tcPr>
          <w:p>
            <w:pPr>
              <w:pStyle w:val="0"/>
            </w:pPr>
            <w:r>
              <w:rPr>
                <w:sz w:val="20"/>
              </w:rPr>
              <w:t xml:space="preserve">капитальный ремонт школ</w:t>
            </w:r>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w:t>
            </w:r>
          </w:p>
        </w:tc>
        <w:tc>
          <w:tcPr>
            <w:tcW w:w="963" w:type="dxa"/>
            <w:vAlign w:val="center"/>
            <w:tcBorders>
              <w:top w:val="nil"/>
              <w:left w:val="nil"/>
              <w:bottom w:val="nil"/>
              <w:right w:val="nil"/>
            </w:tcBorders>
          </w:tcPr>
          <w:p>
            <w:pPr>
              <w:pStyle w:val="0"/>
              <w:jc w:val="center"/>
            </w:pPr>
            <w:r>
              <w:rPr>
                <w:sz w:val="20"/>
              </w:rPr>
              <w:t xml:space="preserve">64,9</w:t>
            </w:r>
          </w:p>
        </w:tc>
        <w:tc>
          <w:tcPr>
            <w:tcW w:w="963" w:type="dxa"/>
            <w:vAlign w:val="center"/>
            <w:tcBorders>
              <w:top w:val="nil"/>
              <w:left w:val="nil"/>
              <w:bottom w:val="nil"/>
              <w:right w:val="nil"/>
            </w:tcBorders>
          </w:tcPr>
          <w:p>
            <w:pPr>
              <w:pStyle w:val="0"/>
              <w:jc w:val="center"/>
            </w:pPr>
            <w:r>
              <w:rPr>
                <w:sz w:val="20"/>
              </w:rPr>
              <w:t xml:space="preserve">67,0</w:t>
            </w:r>
          </w:p>
        </w:tc>
        <w:tc>
          <w:tcPr>
            <w:tcW w:w="963" w:type="dxa"/>
            <w:vAlign w:val="center"/>
            <w:tcBorders>
              <w:top w:val="nil"/>
              <w:left w:val="nil"/>
              <w:bottom w:val="nil"/>
              <w:right w:val="nil"/>
            </w:tcBorders>
          </w:tcPr>
          <w:p>
            <w:pPr>
              <w:pStyle w:val="0"/>
              <w:jc w:val="center"/>
            </w:pPr>
            <w:r>
              <w:rPr>
                <w:sz w:val="20"/>
              </w:rPr>
              <w:t xml:space="preserve">60,2</w:t>
            </w:r>
          </w:p>
        </w:tc>
        <w:tc>
          <w:tcPr>
            <w:tcW w:w="963" w:type="dxa"/>
            <w:vAlign w:val="center"/>
            <w:tcBorders>
              <w:top w:val="nil"/>
              <w:left w:val="nil"/>
              <w:bottom w:val="nil"/>
              <w:right w:val="nil"/>
            </w:tcBorders>
          </w:tcPr>
          <w:p>
            <w:pPr>
              <w:pStyle w:val="0"/>
              <w:jc w:val="center"/>
            </w:pPr>
            <w:r>
              <w:rPr>
                <w:sz w:val="20"/>
              </w:rPr>
              <w:t xml:space="preserve">60,2</w:t>
            </w:r>
          </w:p>
        </w:tc>
        <w:tc>
          <w:tcPr>
            <w:tcW w:w="963" w:type="dxa"/>
            <w:vAlign w:val="center"/>
            <w:tcBorders>
              <w:top w:val="nil"/>
              <w:left w:val="nil"/>
              <w:bottom w:val="nil"/>
              <w:right w:val="nil"/>
            </w:tcBorders>
          </w:tcPr>
          <w:p>
            <w:pPr>
              <w:pStyle w:val="0"/>
              <w:jc w:val="center"/>
            </w:pPr>
            <w:r>
              <w:rPr>
                <w:sz w:val="20"/>
              </w:rPr>
              <w:t xml:space="preserve">60,9</w:t>
            </w:r>
          </w:p>
        </w:tc>
      </w:tr>
      <w:tr>
        <w:tc>
          <w:tcPr>
            <w:tcW w:w="2551" w:type="dxa"/>
            <w:vAlign w:val="center"/>
            <w:tcBorders>
              <w:top w:val="nil"/>
              <w:left w:val="nil"/>
              <w:bottom w:val="nil"/>
              <w:right w:val="nil"/>
            </w:tcBorders>
          </w:tcPr>
          <w:p>
            <w:pPr>
              <w:pStyle w:val="0"/>
            </w:pPr>
            <w:r>
              <w:rPr>
                <w:sz w:val="20"/>
              </w:rPr>
              <w:t xml:space="preserve">выплаты за классное руководство</w:t>
            </w:r>
          </w:p>
        </w:tc>
        <w:tc>
          <w:tcPr>
            <w:tcW w:w="793" w:type="dxa"/>
            <w:vAlign w:val="center"/>
            <w:tcBorders>
              <w:top w:val="nil"/>
              <w:left w:val="nil"/>
              <w:bottom w:val="nil"/>
              <w:right w:val="nil"/>
            </w:tcBorders>
          </w:tcPr>
          <w:p>
            <w:pPr>
              <w:pStyle w:val="0"/>
              <w:jc w:val="center"/>
            </w:pPr>
            <w:r>
              <w:rPr>
                <w:sz w:val="20"/>
              </w:rPr>
              <w:t xml:space="preserve">24,7</w:t>
            </w:r>
          </w:p>
        </w:tc>
        <w:tc>
          <w:tcPr>
            <w:tcW w:w="907" w:type="dxa"/>
            <w:vAlign w:val="center"/>
            <w:tcBorders>
              <w:top w:val="nil"/>
              <w:left w:val="nil"/>
              <w:bottom w:val="nil"/>
              <w:right w:val="nil"/>
            </w:tcBorders>
          </w:tcPr>
          <w:p>
            <w:pPr>
              <w:pStyle w:val="0"/>
              <w:jc w:val="center"/>
            </w:pPr>
            <w:r>
              <w:rPr>
                <w:sz w:val="20"/>
              </w:rPr>
              <w:t xml:space="preserve">73,3</w:t>
            </w:r>
          </w:p>
        </w:tc>
        <w:tc>
          <w:tcPr>
            <w:tcW w:w="963" w:type="dxa"/>
            <w:vAlign w:val="center"/>
            <w:tcBorders>
              <w:top w:val="nil"/>
              <w:left w:val="nil"/>
              <w:bottom w:val="nil"/>
              <w:right w:val="nil"/>
            </w:tcBorders>
          </w:tcPr>
          <w:p>
            <w:pPr>
              <w:pStyle w:val="0"/>
              <w:jc w:val="center"/>
            </w:pPr>
            <w:r>
              <w:rPr>
                <w:sz w:val="20"/>
              </w:rPr>
              <w:t xml:space="preserve">72,8</w:t>
            </w:r>
          </w:p>
        </w:tc>
        <w:tc>
          <w:tcPr>
            <w:tcW w:w="963" w:type="dxa"/>
            <w:vAlign w:val="center"/>
            <w:tcBorders>
              <w:top w:val="nil"/>
              <w:left w:val="nil"/>
              <w:bottom w:val="nil"/>
              <w:right w:val="nil"/>
            </w:tcBorders>
          </w:tcPr>
          <w:p>
            <w:pPr>
              <w:pStyle w:val="0"/>
              <w:jc w:val="center"/>
            </w:pPr>
            <w:r>
              <w:rPr>
                <w:sz w:val="20"/>
              </w:rPr>
              <w:t xml:space="preserve">77,9</w:t>
            </w:r>
          </w:p>
        </w:tc>
        <w:tc>
          <w:tcPr>
            <w:tcW w:w="963" w:type="dxa"/>
            <w:vAlign w:val="center"/>
            <w:tcBorders>
              <w:top w:val="nil"/>
              <w:left w:val="nil"/>
              <w:bottom w:val="nil"/>
              <w:right w:val="nil"/>
            </w:tcBorders>
          </w:tcPr>
          <w:p>
            <w:pPr>
              <w:pStyle w:val="0"/>
              <w:jc w:val="center"/>
            </w:pPr>
            <w:r>
              <w:rPr>
                <w:sz w:val="20"/>
              </w:rPr>
              <w:t xml:space="preserve">79,6</w:t>
            </w:r>
          </w:p>
        </w:tc>
        <w:tc>
          <w:tcPr>
            <w:tcW w:w="963" w:type="dxa"/>
            <w:vAlign w:val="center"/>
            <w:tcBorders>
              <w:top w:val="nil"/>
              <w:left w:val="nil"/>
              <w:bottom w:val="nil"/>
              <w:right w:val="nil"/>
            </w:tcBorders>
          </w:tcPr>
          <w:p>
            <w:pPr>
              <w:pStyle w:val="0"/>
              <w:jc w:val="center"/>
            </w:pPr>
            <w:r>
              <w:rPr>
                <w:sz w:val="20"/>
              </w:rPr>
              <w:t xml:space="preserve">80,0</w:t>
            </w:r>
          </w:p>
        </w:tc>
        <w:tc>
          <w:tcPr>
            <w:tcW w:w="963" w:type="dxa"/>
            <w:vAlign w:val="center"/>
            <w:tcBorders>
              <w:top w:val="nil"/>
              <w:left w:val="nil"/>
              <w:bottom w:val="nil"/>
              <w:right w:val="nil"/>
            </w:tcBorders>
          </w:tcPr>
          <w:p>
            <w:pPr>
              <w:pStyle w:val="0"/>
              <w:jc w:val="center"/>
            </w:pPr>
            <w:r>
              <w:rPr>
                <w:sz w:val="20"/>
              </w:rPr>
              <w:t xml:space="preserve">81,1</w:t>
            </w:r>
          </w:p>
        </w:tc>
      </w:tr>
      <w:tr>
        <w:tc>
          <w:tcPr>
            <w:tcW w:w="2551" w:type="dxa"/>
            <w:vAlign w:val="center"/>
            <w:tcBorders>
              <w:top w:val="nil"/>
              <w:left w:val="nil"/>
              <w:bottom w:val="nil"/>
              <w:right w:val="nil"/>
            </w:tcBorders>
          </w:tcPr>
          <w:p>
            <w:pPr>
              <w:pStyle w:val="0"/>
            </w:pPr>
            <w:r>
              <w:rPr>
                <w:sz w:val="20"/>
              </w:rPr>
              <w:t xml:space="preserve">гранты 100 региональным ВУЗам</w:t>
            </w:r>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15,6</w:t>
            </w:r>
          </w:p>
        </w:tc>
        <w:tc>
          <w:tcPr>
            <w:tcW w:w="963" w:type="dxa"/>
            <w:vAlign w:val="center"/>
            <w:tcBorders>
              <w:top w:val="nil"/>
              <w:left w:val="nil"/>
              <w:bottom w:val="nil"/>
              <w:right w:val="nil"/>
            </w:tcBorders>
          </w:tcPr>
          <w:p>
            <w:pPr>
              <w:pStyle w:val="0"/>
              <w:jc w:val="center"/>
            </w:pPr>
            <w:r>
              <w:rPr>
                <w:sz w:val="20"/>
              </w:rPr>
              <w:t xml:space="preserve">33,4</w:t>
            </w:r>
          </w:p>
        </w:tc>
        <w:tc>
          <w:tcPr>
            <w:tcW w:w="963" w:type="dxa"/>
            <w:vAlign w:val="center"/>
            <w:tcBorders>
              <w:top w:val="nil"/>
              <w:left w:val="nil"/>
              <w:bottom w:val="nil"/>
              <w:right w:val="nil"/>
            </w:tcBorders>
          </w:tcPr>
          <w:p>
            <w:pPr>
              <w:pStyle w:val="0"/>
              <w:jc w:val="center"/>
            </w:pPr>
            <w:r>
              <w:rPr>
                <w:sz w:val="20"/>
              </w:rPr>
              <w:t xml:space="preserve">34,3</w:t>
            </w:r>
          </w:p>
        </w:tc>
        <w:tc>
          <w:tcPr>
            <w:tcW w:w="963" w:type="dxa"/>
            <w:vAlign w:val="center"/>
            <w:tcBorders>
              <w:top w:val="nil"/>
              <w:left w:val="nil"/>
              <w:bottom w:val="nil"/>
              <w:right w:val="nil"/>
            </w:tcBorders>
          </w:tcPr>
          <w:p>
            <w:pPr>
              <w:pStyle w:val="0"/>
              <w:jc w:val="center"/>
            </w:pPr>
            <w:r>
              <w:rPr>
                <w:sz w:val="20"/>
              </w:rPr>
              <w:t xml:space="preserve">23,5</w:t>
            </w:r>
          </w:p>
        </w:tc>
        <w:tc>
          <w:tcPr>
            <w:tcW w:w="963" w:type="dxa"/>
            <w:vAlign w:val="center"/>
            <w:tcBorders>
              <w:top w:val="nil"/>
              <w:left w:val="nil"/>
              <w:bottom w:val="nil"/>
              <w:right w:val="nil"/>
            </w:tcBorders>
          </w:tcPr>
          <w:p>
            <w:pPr>
              <w:pStyle w:val="0"/>
              <w:jc w:val="center"/>
            </w:pPr>
            <w:r>
              <w:rPr>
                <w:sz w:val="20"/>
              </w:rPr>
              <w:t xml:space="preserve">0,0</w:t>
            </w:r>
          </w:p>
        </w:tc>
        <w:tc>
          <w:tcPr>
            <w:tcW w:w="963" w:type="dxa"/>
            <w:vAlign w:val="center"/>
            <w:tcBorders>
              <w:top w:val="nil"/>
              <w:left w:val="nil"/>
              <w:bottom w:val="nil"/>
              <w:right w:val="nil"/>
            </w:tcBorders>
          </w:tcPr>
          <w:p>
            <w:pPr>
              <w:pStyle w:val="0"/>
              <w:jc w:val="center"/>
            </w:pPr>
            <w:r>
              <w:rPr>
                <w:sz w:val="20"/>
              </w:rPr>
              <w:t xml:space="preserve">0,0</w:t>
            </w:r>
          </w:p>
        </w:tc>
      </w:tr>
      <w:tr>
        <w:tc>
          <w:tcPr>
            <w:tcW w:w="2551" w:type="dxa"/>
            <w:vAlign w:val="center"/>
            <w:tcBorders>
              <w:top w:val="nil"/>
              <w:left w:val="nil"/>
              <w:bottom w:val="nil"/>
              <w:right w:val="nil"/>
            </w:tcBorders>
          </w:tcPr>
          <w:p>
            <w:pPr>
              <w:pStyle w:val="0"/>
            </w:pPr>
            <w:r>
              <w:rPr>
                <w:sz w:val="20"/>
              </w:rPr>
              <w:t xml:space="preserve">автодорога Москва - Казань - Екатеринбург</w:t>
            </w:r>
          </w:p>
        </w:tc>
        <w:tc>
          <w:tcPr>
            <w:tcW w:w="793" w:type="dxa"/>
            <w:vAlign w:val="center"/>
            <w:tcBorders>
              <w:top w:val="nil"/>
              <w:left w:val="nil"/>
              <w:bottom w:val="nil"/>
              <w:right w:val="nil"/>
            </w:tcBorders>
          </w:tcPr>
          <w:p>
            <w:pPr>
              <w:pStyle w:val="0"/>
              <w:jc w:val="center"/>
            </w:pPr>
            <w:r>
              <w:rPr>
                <w:sz w:val="20"/>
              </w:rPr>
              <w:t xml:space="preserve">-</w:t>
            </w:r>
          </w:p>
        </w:tc>
        <w:tc>
          <w:tcPr>
            <w:tcW w:w="907" w:type="dxa"/>
            <w:vAlign w:val="center"/>
            <w:tcBorders>
              <w:top w:val="nil"/>
              <w:left w:val="nil"/>
              <w:bottom w:val="nil"/>
              <w:right w:val="nil"/>
            </w:tcBorders>
          </w:tcPr>
          <w:p>
            <w:pPr>
              <w:pStyle w:val="0"/>
              <w:jc w:val="center"/>
            </w:pPr>
            <w:r>
              <w:rPr>
                <w:sz w:val="20"/>
              </w:rPr>
              <w:t xml:space="preserve">194,0</w:t>
            </w:r>
          </w:p>
        </w:tc>
        <w:tc>
          <w:tcPr>
            <w:tcW w:w="963" w:type="dxa"/>
            <w:vAlign w:val="center"/>
            <w:tcBorders>
              <w:top w:val="nil"/>
              <w:left w:val="nil"/>
              <w:bottom w:val="nil"/>
              <w:right w:val="nil"/>
            </w:tcBorders>
          </w:tcPr>
          <w:p>
            <w:pPr>
              <w:pStyle w:val="0"/>
              <w:jc w:val="center"/>
            </w:pPr>
            <w:r>
              <w:rPr>
                <w:sz w:val="20"/>
              </w:rPr>
              <w:t xml:space="preserve">259,4</w:t>
            </w:r>
          </w:p>
        </w:tc>
        <w:tc>
          <w:tcPr>
            <w:tcW w:w="963" w:type="dxa"/>
            <w:vAlign w:val="center"/>
            <w:tcBorders>
              <w:top w:val="nil"/>
              <w:left w:val="nil"/>
              <w:bottom w:val="nil"/>
              <w:right w:val="nil"/>
            </w:tcBorders>
          </w:tcPr>
          <w:p>
            <w:pPr>
              <w:pStyle w:val="0"/>
              <w:jc w:val="center"/>
            </w:pPr>
            <w:r>
              <w:rPr>
                <w:sz w:val="20"/>
              </w:rPr>
              <w:t xml:space="preserve">56,7</w:t>
            </w:r>
          </w:p>
        </w:tc>
        <w:tc>
          <w:tcPr>
            <w:tcW w:w="963" w:type="dxa"/>
            <w:vAlign w:val="center"/>
            <w:tcBorders>
              <w:top w:val="nil"/>
              <w:left w:val="nil"/>
              <w:bottom w:val="nil"/>
              <w:right w:val="nil"/>
            </w:tcBorders>
          </w:tcPr>
          <w:p>
            <w:pPr>
              <w:pStyle w:val="0"/>
              <w:jc w:val="center"/>
            </w:pPr>
            <w:r>
              <w:rPr>
                <w:sz w:val="20"/>
              </w:rPr>
              <w:t xml:space="preserve">51,7</w:t>
            </w:r>
          </w:p>
        </w:tc>
        <w:tc>
          <w:tcPr>
            <w:tcW w:w="963" w:type="dxa"/>
            <w:vAlign w:val="center"/>
            <w:tcBorders>
              <w:top w:val="nil"/>
              <w:left w:val="nil"/>
              <w:bottom w:val="nil"/>
              <w:right w:val="nil"/>
            </w:tcBorders>
          </w:tcPr>
          <w:p>
            <w:pPr>
              <w:pStyle w:val="0"/>
              <w:jc w:val="center"/>
            </w:pPr>
            <w:r>
              <w:rPr>
                <w:sz w:val="20"/>
              </w:rPr>
              <w:t xml:space="preserve">152,3</w:t>
            </w:r>
          </w:p>
        </w:tc>
        <w:tc>
          <w:tcPr>
            <w:tcW w:w="963" w:type="dxa"/>
            <w:vAlign w:val="center"/>
            <w:tcBorders>
              <w:top w:val="nil"/>
              <w:left w:val="nil"/>
              <w:bottom w:val="nil"/>
              <w:right w:val="nil"/>
            </w:tcBorders>
          </w:tcPr>
          <w:p>
            <w:pPr>
              <w:pStyle w:val="0"/>
              <w:jc w:val="center"/>
            </w:pPr>
            <w:r>
              <w:rPr>
                <w:sz w:val="20"/>
              </w:rPr>
              <w:t xml:space="preserve">99,9</w:t>
            </w:r>
          </w:p>
        </w:tc>
      </w:tr>
      <w:tr>
        <w:tc>
          <w:tcPr>
            <w:tcW w:w="2551" w:type="dxa"/>
            <w:vAlign w:val="center"/>
            <w:tcBorders>
              <w:top w:val="nil"/>
              <w:left w:val="nil"/>
              <w:bottom w:val="single" w:sz="4"/>
              <w:right w:val="nil"/>
            </w:tcBorders>
          </w:tcPr>
          <w:p>
            <w:pPr>
              <w:pStyle w:val="0"/>
            </w:pPr>
            <w:r>
              <w:rPr>
                <w:sz w:val="20"/>
              </w:rPr>
              <w:t xml:space="preserve">Прочие</w:t>
            </w:r>
          </w:p>
        </w:tc>
        <w:tc>
          <w:tcPr>
            <w:tcW w:w="793" w:type="dxa"/>
            <w:vAlign w:val="center"/>
            <w:tcBorders>
              <w:top w:val="nil"/>
              <w:left w:val="nil"/>
              <w:bottom w:val="single" w:sz="4"/>
              <w:right w:val="nil"/>
            </w:tcBorders>
          </w:tcPr>
          <w:p>
            <w:pPr>
              <w:pStyle w:val="0"/>
              <w:jc w:val="center"/>
            </w:pPr>
            <w:r>
              <w:rPr>
                <w:sz w:val="20"/>
              </w:rPr>
              <w:t xml:space="preserve">11,3</w:t>
            </w:r>
          </w:p>
        </w:tc>
        <w:tc>
          <w:tcPr>
            <w:tcW w:w="907" w:type="dxa"/>
            <w:vAlign w:val="center"/>
            <w:tcBorders>
              <w:top w:val="nil"/>
              <w:left w:val="nil"/>
              <w:bottom w:val="single" w:sz="4"/>
              <w:right w:val="nil"/>
            </w:tcBorders>
          </w:tcPr>
          <w:p>
            <w:pPr>
              <w:pStyle w:val="0"/>
              <w:jc w:val="center"/>
            </w:pPr>
            <w:r>
              <w:rPr>
                <w:sz w:val="20"/>
              </w:rPr>
              <w:t xml:space="preserve">70,0</w:t>
            </w:r>
          </w:p>
        </w:tc>
        <w:tc>
          <w:tcPr>
            <w:tcW w:w="963" w:type="dxa"/>
            <w:vAlign w:val="center"/>
            <w:tcBorders>
              <w:top w:val="nil"/>
              <w:left w:val="nil"/>
              <w:bottom w:val="single" w:sz="4"/>
              <w:right w:val="nil"/>
            </w:tcBorders>
          </w:tcPr>
          <w:p>
            <w:pPr>
              <w:pStyle w:val="0"/>
              <w:jc w:val="center"/>
            </w:pPr>
            <w:r>
              <w:rPr>
                <w:sz w:val="20"/>
              </w:rPr>
              <w:t xml:space="preserve">126,5</w:t>
            </w:r>
          </w:p>
        </w:tc>
        <w:tc>
          <w:tcPr>
            <w:tcW w:w="963" w:type="dxa"/>
            <w:vAlign w:val="center"/>
            <w:tcBorders>
              <w:top w:val="nil"/>
              <w:left w:val="nil"/>
              <w:bottom w:val="single" w:sz="4"/>
              <w:right w:val="nil"/>
            </w:tcBorders>
          </w:tcPr>
          <w:p>
            <w:pPr>
              <w:pStyle w:val="0"/>
              <w:jc w:val="center"/>
            </w:pPr>
            <w:r>
              <w:rPr>
                <w:sz w:val="20"/>
              </w:rPr>
              <w:t xml:space="preserve">112,1</w:t>
            </w:r>
          </w:p>
        </w:tc>
        <w:tc>
          <w:tcPr>
            <w:tcW w:w="963" w:type="dxa"/>
            <w:vAlign w:val="center"/>
            <w:tcBorders>
              <w:top w:val="nil"/>
              <w:left w:val="nil"/>
              <w:bottom w:val="single" w:sz="4"/>
              <w:right w:val="nil"/>
            </w:tcBorders>
          </w:tcPr>
          <w:p>
            <w:pPr>
              <w:pStyle w:val="0"/>
              <w:jc w:val="center"/>
            </w:pPr>
            <w:r>
              <w:rPr>
                <w:sz w:val="20"/>
              </w:rPr>
              <w:t xml:space="preserve">123,6</w:t>
            </w:r>
          </w:p>
        </w:tc>
        <w:tc>
          <w:tcPr>
            <w:tcW w:w="963" w:type="dxa"/>
            <w:vAlign w:val="center"/>
            <w:tcBorders>
              <w:top w:val="nil"/>
              <w:left w:val="nil"/>
              <w:bottom w:val="single" w:sz="4"/>
              <w:right w:val="nil"/>
            </w:tcBorders>
          </w:tcPr>
          <w:p>
            <w:pPr>
              <w:pStyle w:val="0"/>
              <w:jc w:val="center"/>
            </w:pPr>
            <w:r>
              <w:rPr>
                <w:sz w:val="20"/>
              </w:rPr>
              <w:t xml:space="preserve">112,5</w:t>
            </w:r>
          </w:p>
        </w:tc>
        <w:tc>
          <w:tcPr>
            <w:tcW w:w="963" w:type="dxa"/>
            <w:vAlign w:val="center"/>
            <w:tcBorders>
              <w:top w:val="nil"/>
              <w:left w:val="nil"/>
              <w:bottom w:val="single" w:sz="4"/>
              <w:right w:val="nil"/>
            </w:tcBorders>
          </w:tcPr>
          <w:p>
            <w:pPr>
              <w:pStyle w:val="0"/>
              <w:jc w:val="center"/>
            </w:pPr>
            <w:r>
              <w:rPr>
                <w:sz w:val="20"/>
              </w:rPr>
              <w:t xml:space="preserve">132,9</w:t>
            </w:r>
          </w:p>
        </w:tc>
      </w:tr>
    </w:tbl>
    <w:p>
      <w:pPr>
        <w:pStyle w:val="0"/>
        <w:jc w:val="both"/>
      </w:pPr>
      <w:r>
        <w:rPr>
          <w:sz w:val="20"/>
        </w:rPr>
      </w:r>
    </w:p>
    <w:p>
      <w:pPr>
        <w:pStyle w:val="0"/>
        <w:ind w:firstLine="540"/>
        <w:jc w:val="both"/>
      </w:pPr>
      <w:r>
        <w:rPr>
          <w:sz w:val="20"/>
        </w:rPr>
        <w:t xml:space="preserve">--------------------------------</w:t>
      </w:r>
    </w:p>
    <w:bookmarkStart w:id="782" w:name="P782"/>
    <w:bookmarkEnd w:id="782"/>
    <w:p>
      <w:pPr>
        <w:pStyle w:val="0"/>
        <w:spacing w:before="200" w:line-rule="auto"/>
        <w:ind w:firstLine="540"/>
        <w:jc w:val="both"/>
      </w:pPr>
      <w:r>
        <w:rPr>
          <w:sz w:val="20"/>
        </w:rPr>
        <w:t xml:space="preserve">&lt;*&gt; СБР по состоянию на 01.09.2023</w:t>
      </w:r>
    </w:p>
    <w:bookmarkStart w:id="783" w:name="P783"/>
    <w:bookmarkEnd w:id="783"/>
    <w:p>
      <w:pPr>
        <w:pStyle w:val="0"/>
        <w:spacing w:before="200" w:line-rule="auto"/>
        <w:ind w:firstLine="540"/>
        <w:jc w:val="both"/>
      </w:pPr>
      <w:r>
        <w:rPr>
          <w:sz w:val="20"/>
        </w:rPr>
        <w:t xml:space="preserve">&lt;**&gt; С 1 января 2023 г. введено ежемесячное пособие в связи с рождением и воспитанием ребенка (</w:t>
      </w:r>
      <w:hyperlink w:history="0" w:anchor="P635" w:tooltip="ЕДВ семьям с детьми 8 - 17 лет">
        <w:r>
          <w:rPr>
            <w:sz w:val="20"/>
            <w:color w:val="0000ff"/>
          </w:rPr>
          <w:t xml:space="preserve">пункт 5</w:t>
        </w:r>
      </w:hyperlink>
      <w:r>
        <w:rPr>
          <w:sz w:val="20"/>
        </w:rPr>
        <w:t xml:space="preserve"> таблицы).</w:t>
      </w:r>
    </w:p>
    <w:bookmarkStart w:id="784" w:name="P784"/>
    <w:bookmarkEnd w:id="784"/>
    <w:p>
      <w:pPr>
        <w:pStyle w:val="0"/>
        <w:spacing w:before="200" w:line-rule="auto"/>
        <w:ind w:firstLine="540"/>
        <w:jc w:val="both"/>
      </w:pPr>
      <w:r>
        <w:rPr>
          <w:sz w:val="20"/>
        </w:rPr>
        <w:t xml:space="preserve">&lt;***&gt; Общий объем бюджетных ассигнований, предусмотренный на оказание государственной социальной помощи на основании социального контракта отдельным категориям граждан в 2023 году, составляет 35,0 млрд рублей (кассовое исполнение по состоянию на 01.09.2023 - 23,8 млрд рублей). В соответствии с бюджетными проектировками на 2024 - 2026 гг. объем бюджетных ассигнований составит: в 2024 г. - 31,6 млрд рублей, в 2025 г. - 36,4 млрд рублей, в 2026 г. - 37,5 млрд рублей.</w:t>
      </w:r>
    </w:p>
    <w:p>
      <w:pPr>
        <w:pStyle w:val="0"/>
        <w:jc w:val="both"/>
      </w:pPr>
      <w:r>
        <w:rPr>
          <w:sz w:val="20"/>
        </w:rPr>
      </w:r>
    </w:p>
    <w:p>
      <w:pPr>
        <w:pStyle w:val="0"/>
        <w:ind w:firstLine="540"/>
        <w:jc w:val="both"/>
      </w:pPr>
      <w:r>
        <w:rPr>
          <w:sz w:val="20"/>
        </w:rPr>
        <w:t xml:space="preserve">На реализацию Нацпроектов по 15 ключевым направлениям предусмотрено в 2024 году более 2,9 трлн рублей.</w:t>
      </w:r>
    </w:p>
    <w:p>
      <w:pPr>
        <w:pStyle w:val="0"/>
        <w:jc w:val="both"/>
      </w:pPr>
      <w:r>
        <w:rPr>
          <w:sz w:val="20"/>
        </w:rPr>
      </w:r>
    </w:p>
    <w:p>
      <w:pPr>
        <w:pStyle w:val="0"/>
        <w:ind w:firstLine="540"/>
        <w:jc w:val="both"/>
      </w:pPr>
      <w:r>
        <w:rPr>
          <w:sz w:val="20"/>
        </w:rPr>
        <w:t xml:space="preserve">Таблица 3.1.2. Финансовое обеспечение нацпроектов</w:t>
      </w:r>
    </w:p>
    <w:p>
      <w:pPr>
        <w:pStyle w:val="0"/>
        <w:jc w:val="both"/>
      </w:pPr>
      <w:r>
        <w:rPr>
          <w:sz w:val="20"/>
        </w:rPr>
      </w:r>
    </w:p>
    <w:p>
      <w:pPr>
        <w:pStyle w:val="0"/>
        <w:jc w:val="right"/>
      </w:pPr>
      <w:r>
        <w:rPr>
          <w:sz w:val="20"/>
        </w:rPr>
        <w:t xml:space="preserve">млрд рублей</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2834"/>
        <w:gridCol w:w="1247"/>
        <w:gridCol w:w="1238"/>
        <w:gridCol w:w="1238"/>
        <w:gridCol w:w="1234"/>
        <w:gridCol w:w="1258"/>
      </w:tblGrid>
      <w:tr>
        <w:tblPrEx>
          <w:tblBorders>
            <w:insideH w:val="single" w:sz="4"/>
          </w:tblBorders>
        </w:tblPrEx>
        <w:tc>
          <w:tcPr>
            <w:tcW w:w="2834" w:type="dxa"/>
            <w:tcBorders>
              <w:top w:val="single" w:sz="4"/>
              <w:left w:val="nil"/>
              <w:bottom w:val="single" w:sz="4"/>
              <w:right w:val="nil"/>
            </w:tcBorders>
          </w:tcPr>
          <w:p>
            <w:pPr>
              <w:pStyle w:val="0"/>
              <w:jc w:val="center"/>
            </w:pPr>
            <w:r>
              <w:rPr>
                <w:sz w:val="20"/>
              </w:rPr>
              <w:t xml:space="preserve">Наименование</w:t>
            </w:r>
          </w:p>
        </w:tc>
        <w:tc>
          <w:tcPr>
            <w:tcW w:w="1247" w:type="dxa"/>
            <w:tcBorders>
              <w:top w:val="single" w:sz="4"/>
              <w:left w:val="nil"/>
              <w:bottom w:val="single" w:sz="4"/>
              <w:right w:val="nil"/>
            </w:tcBorders>
          </w:tcPr>
          <w:p>
            <w:pPr>
              <w:pStyle w:val="0"/>
              <w:jc w:val="center"/>
            </w:pPr>
            <w:r>
              <w:rPr>
                <w:sz w:val="20"/>
              </w:rPr>
              <w:t xml:space="preserve">2020</w:t>
            </w:r>
          </w:p>
        </w:tc>
        <w:tc>
          <w:tcPr>
            <w:tcW w:w="1238" w:type="dxa"/>
            <w:tcBorders>
              <w:top w:val="single" w:sz="4"/>
              <w:left w:val="nil"/>
              <w:bottom w:val="single" w:sz="4"/>
              <w:right w:val="nil"/>
            </w:tcBorders>
          </w:tcPr>
          <w:p>
            <w:pPr>
              <w:pStyle w:val="0"/>
              <w:jc w:val="center"/>
            </w:pPr>
            <w:r>
              <w:rPr>
                <w:sz w:val="20"/>
              </w:rPr>
              <w:t xml:space="preserve">2021</w:t>
            </w:r>
          </w:p>
        </w:tc>
        <w:tc>
          <w:tcPr>
            <w:tcW w:w="1238" w:type="dxa"/>
            <w:tcBorders>
              <w:top w:val="single" w:sz="4"/>
              <w:left w:val="nil"/>
              <w:bottom w:val="single" w:sz="4"/>
              <w:right w:val="nil"/>
            </w:tcBorders>
          </w:tcPr>
          <w:p>
            <w:pPr>
              <w:pStyle w:val="0"/>
              <w:jc w:val="center"/>
            </w:pPr>
            <w:r>
              <w:rPr>
                <w:sz w:val="20"/>
              </w:rPr>
              <w:t xml:space="preserve">2022</w:t>
            </w:r>
          </w:p>
        </w:tc>
        <w:tc>
          <w:tcPr>
            <w:tcW w:w="1234" w:type="dxa"/>
            <w:tcBorders>
              <w:top w:val="single" w:sz="4"/>
              <w:left w:val="nil"/>
              <w:bottom w:val="single" w:sz="4"/>
              <w:right w:val="nil"/>
            </w:tcBorders>
          </w:tcPr>
          <w:p>
            <w:pPr>
              <w:pStyle w:val="0"/>
              <w:jc w:val="center"/>
            </w:pPr>
            <w:r>
              <w:rPr>
                <w:sz w:val="20"/>
              </w:rPr>
              <w:t xml:space="preserve">2023 </w:t>
            </w:r>
            <w:hyperlink w:history="0" w:anchor="P895" w:tooltip="&lt;*&gt; Сводная бюджетная роспись по состоянию на 01.09.2023 года.">
              <w:r>
                <w:rPr>
                  <w:sz w:val="20"/>
                  <w:color w:val="0000ff"/>
                </w:rPr>
                <w:t xml:space="preserve">&lt;*&gt;</w:t>
              </w:r>
            </w:hyperlink>
          </w:p>
        </w:tc>
        <w:tc>
          <w:tcPr>
            <w:tcW w:w="1258" w:type="dxa"/>
            <w:tcBorders>
              <w:top w:val="single" w:sz="4"/>
              <w:left w:val="nil"/>
              <w:bottom w:val="single" w:sz="4"/>
              <w:right w:val="nil"/>
            </w:tcBorders>
          </w:tcPr>
          <w:p>
            <w:pPr>
              <w:pStyle w:val="0"/>
              <w:jc w:val="center"/>
            </w:pPr>
            <w:r>
              <w:rPr>
                <w:sz w:val="20"/>
              </w:rPr>
              <w:t xml:space="preserve">2024</w:t>
            </w:r>
          </w:p>
        </w:tc>
      </w:tr>
      <w:tr>
        <w:tc>
          <w:tcPr>
            <w:tcW w:w="2834" w:type="dxa"/>
            <w:vAlign w:val="center"/>
            <w:tcBorders>
              <w:top w:val="single" w:sz="4"/>
              <w:left w:val="nil"/>
              <w:bottom w:val="nil"/>
              <w:right w:val="nil"/>
            </w:tcBorders>
          </w:tcPr>
          <w:p>
            <w:pPr>
              <w:pStyle w:val="0"/>
            </w:pPr>
            <w:r>
              <w:rPr>
                <w:sz w:val="20"/>
              </w:rPr>
              <w:t xml:space="preserve">НАЦПРОЕКТЫ</w:t>
            </w:r>
          </w:p>
        </w:tc>
        <w:tc>
          <w:tcPr>
            <w:tcW w:w="1247" w:type="dxa"/>
            <w:vAlign w:val="center"/>
            <w:tcBorders>
              <w:top w:val="single" w:sz="4"/>
              <w:left w:val="nil"/>
              <w:bottom w:val="nil"/>
              <w:right w:val="nil"/>
            </w:tcBorders>
          </w:tcPr>
          <w:p>
            <w:pPr>
              <w:pStyle w:val="0"/>
              <w:jc w:val="center"/>
            </w:pPr>
            <w:r>
              <w:rPr>
                <w:sz w:val="20"/>
              </w:rPr>
              <w:t xml:space="preserve">2 149,1</w:t>
            </w:r>
          </w:p>
        </w:tc>
        <w:tc>
          <w:tcPr>
            <w:tcW w:w="1238" w:type="dxa"/>
            <w:vAlign w:val="center"/>
            <w:tcBorders>
              <w:top w:val="single" w:sz="4"/>
              <w:left w:val="nil"/>
              <w:bottom w:val="nil"/>
              <w:right w:val="nil"/>
            </w:tcBorders>
          </w:tcPr>
          <w:p>
            <w:pPr>
              <w:pStyle w:val="0"/>
              <w:jc w:val="center"/>
            </w:pPr>
            <w:r>
              <w:rPr>
                <w:sz w:val="20"/>
              </w:rPr>
              <w:t xml:space="preserve">2 549,0</w:t>
            </w:r>
          </w:p>
        </w:tc>
        <w:tc>
          <w:tcPr>
            <w:tcW w:w="1238" w:type="dxa"/>
            <w:vAlign w:val="center"/>
            <w:tcBorders>
              <w:top w:val="single" w:sz="4"/>
              <w:left w:val="nil"/>
              <w:bottom w:val="nil"/>
              <w:right w:val="nil"/>
            </w:tcBorders>
          </w:tcPr>
          <w:p>
            <w:pPr>
              <w:pStyle w:val="0"/>
              <w:jc w:val="center"/>
            </w:pPr>
            <w:r>
              <w:rPr>
                <w:sz w:val="20"/>
              </w:rPr>
              <w:t xml:space="preserve">3 268,8</w:t>
            </w:r>
          </w:p>
        </w:tc>
        <w:tc>
          <w:tcPr>
            <w:tcW w:w="1234" w:type="dxa"/>
            <w:vAlign w:val="center"/>
            <w:tcBorders>
              <w:top w:val="single" w:sz="4"/>
              <w:left w:val="nil"/>
              <w:bottom w:val="nil"/>
              <w:right w:val="nil"/>
            </w:tcBorders>
          </w:tcPr>
          <w:p>
            <w:pPr>
              <w:pStyle w:val="0"/>
              <w:jc w:val="center"/>
            </w:pPr>
            <w:r>
              <w:rPr>
                <w:sz w:val="20"/>
              </w:rPr>
              <w:t xml:space="preserve">2 867,8</w:t>
            </w:r>
          </w:p>
        </w:tc>
        <w:tc>
          <w:tcPr>
            <w:tcW w:w="1258" w:type="dxa"/>
            <w:vAlign w:val="center"/>
            <w:tcBorders>
              <w:top w:val="single" w:sz="4"/>
              <w:left w:val="nil"/>
              <w:bottom w:val="nil"/>
              <w:right w:val="nil"/>
            </w:tcBorders>
          </w:tcPr>
          <w:p>
            <w:pPr>
              <w:pStyle w:val="0"/>
              <w:jc w:val="center"/>
            </w:pPr>
            <w:r>
              <w:rPr>
                <w:sz w:val="20"/>
              </w:rPr>
              <w:t xml:space="preserve">2 936,4</w:t>
            </w:r>
          </w:p>
        </w:tc>
      </w:tr>
      <w:tr>
        <w:tc>
          <w:tcPr>
            <w:tcW w:w="2834" w:type="dxa"/>
            <w:vAlign w:val="center"/>
            <w:tcBorders>
              <w:top w:val="nil"/>
              <w:left w:val="nil"/>
              <w:bottom w:val="nil"/>
              <w:right w:val="nil"/>
            </w:tcBorders>
          </w:tcPr>
          <w:p>
            <w:pPr>
              <w:pStyle w:val="0"/>
            </w:pPr>
            <w:r>
              <w:rPr>
                <w:sz w:val="20"/>
              </w:rPr>
              <w:t xml:space="preserve">Демография</w:t>
            </w:r>
          </w:p>
        </w:tc>
        <w:tc>
          <w:tcPr>
            <w:tcW w:w="1247" w:type="dxa"/>
            <w:vAlign w:val="center"/>
            <w:tcBorders>
              <w:top w:val="nil"/>
              <w:left w:val="nil"/>
              <w:bottom w:val="nil"/>
              <w:right w:val="nil"/>
            </w:tcBorders>
          </w:tcPr>
          <w:p>
            <w:pPr>
              <w:pStyle w:val="0"/>
              <w:jc w:val="center"/>
            </w:pPr>
            <w:r>
              <w:rPr>
                <w:sz w:val="20"/>
              </w:rPr>
              <w:t xml:space="preserve">689,6</w:t>
            </w:r>
          </w:p>
        </w:tc>
        <w:tc>
          <w:tcPr>
            <w:tcW w:w="1238" w:type="dxa"/>
            <w:vAlign w:val="center"/>
            <w:tcBorders>
              <w:top w:val="nil"/>
              <w:left w:val="nil"/>
              <w:bottom w:val="nil"/>
              <w:right w:val="nil"/>
            </w:tcBorders>
          </w:tcPr>
          <w:p>
            <w:pPr>
              <w:pStyle w:val="0"/>
              <w:jc w:val="center"/>
            </w:pPr>
            <w:r>
              <w:rPr>
                <w:sz w:val="20"/>
              </w:rPr>
              <w:t xml:space="preserve">631,2</w:t>
            </w:r>
          </w:p>
        </w:tc>
        <w:tc>
          <w:tcPr>
            <w:tcW w:w="1238" w:type="dxa"/>
            <w:vAlign w:val="center"/>
            <w:tcBorders>
              <w:top w:val="nil"/>
              <w:left w:val="nil"/>
              <w:bottom w:val="nil"/>
              <w:right w:val="nil"/>
            </w:tcBorders>
          </w:tcPr>
          <w:p>
            <w:pPr>
              <w:pStyle w:val="0"/>
              <w:jc w:val="center"/>
            </w:pPr>
            <w:r>
              <w:rPr>
                <w:sz w:val="20"/>
              </w:rPr>
              <w:t xml:space="preserve">744,2</w:t>
            </w:r>
          </w:p>
        </w:tc>
        <w:tc>
          <w:tcPr>
            <w:tcW w:w="1234" w:type="dxa"/>
            <w:vAlign w:val="center"/>
            <w:tcBorders>
              <w:top w:val="nil"/>
              <w:left w:val="nil"/>
              <w:bottom w:val="nil"/>
              <w:right w:val="nil"/>
            </w:tcBorders>
          </w:tcPr>
          <w:p>
            <w:pPr>
              <w:pStyle w:val="0"/>
              <w:jc w:val="center"/>
            </w:pPr>
            <w:r>
              <w:rPr>
                <w:sz w:val="20"/>
              </w:rPr>
              <w:t xml:space="preserve">786,4</w:t>
            </w:r>
          </w:p>
        </w:tc>
        <w:tc>
          <w:tcPr>
            <w:tcW w:w="1258" w:type="dxa"/>
            <w:vAlign w:val="center"/>
            <w:tcBorders>
              <w:top w:val="nil"/>
              <w:left w:val="nil"/>
              <w:bottom w:val="nil"/>
              <w:right w:val="nil"/>
            </w:tcBorders>
          </w:tcPr>
          <w:p>
            <w:pPr>
              <w:pStyle w:val="0"/>
              <w:jc w:val="center"/>
            </w:pPr>
            <w:r>
              <w:rPr>
                <w:sz w:val="20"/>
              </w:rPr>
              <w:t xml:space="preserve">882,5</w:t>
            </w:r>
          </w:p>
        </w:tc>
      </w:tr>
      <w:tr>
        <w:tc>
          <w:tcPr>
            <w:tcW w:w="2834" w:type="dxa"/>
            <w:vAlign w:val="center"/>
            <w:tcBorders>
              <w:top w:val="nil"/>
              <w:left w:val="nil"/>
              <w:bottom w:val="nil"/>
              <w:right w:val="nil"/>
            </w:tcBorders>
          </w:tcPr>
          <w:p>
            <w:pPr>
              <w:pStyle w:val="0"/>
            </w:pPr>
            <w:r>
              <w:rPr>
                <w:sz w:val="20"/>
              </w:rPr>
              <w:t xml:space="preserve">Здравоохранение</w:t>
            </w:r>
          </w:p>
        </w:tc>
        <w:tc>
          <w:tcPr>
            <w:tcW w:w="1247" w:type="dxa"/>
            <w:vAlign w:val="center"/>
            <w:tcBorders>
              <w:top w:val="nil"/>
              <w:left w:val="nil"/>
              <w:bottom w:val="nil"/>
              <w:right w:val="nil"/>
            </w:tcBorders>
          </w:tcPr>
          <w:p>
            <w:pPr>
              <w:pStyle w:val="0"/>
              <w:jc w:val="center"/>
            </w:pPr>
            <w:r>
              <w:rPr>
                <w:sz w:val="20"/>
              </w:rPr>
              <w:t xml:space="preserve">295,7</w:t>
            </w:r>
          </w:p>
        </w:tc>
        <w:tc>
          <w:tcPr>
            <w:tcW w:w="1238" w:type="dxa"/>
            <w:vAlign w:val="center"/>
            <w:tcBorders>
              <w:top w:val="nil"/>
              <w:left w:val="nil"/>
              <w:bottom w:val="nil"/>
              <w:right w:val="nil"/>
            </w:tcBorders>
          </w:tcPr>
          <w:p>
            <w:pPr>
              <w:pStyle w:val="0"/>
              <w:jc w:val="center"/>
            </w:pPr>
            <w:r>
              <w:rPr>
                <w:sz w:val="20"/>
              </w:rPr>
              <w:t xml:space="preserve">243,4</w:t>
            </w:r>
          </w:p>
        </w:tc>
        <w:tc>
          <w:tcPr>
            <w:tcW w:w="1238" w:type="dxa"/>
            <w:vAlign w:val="center"/>
            <w:tcBorders>
              <w:top w:val="nil"/>
              <w:left w:val="nil"/>
              <w:bottom w:val="nil"/>
              <w:right w:val="nil"/>
            </w:tcBorders>
          </w:tcPr>
          <w:p>
            <w:pPr>
              <w:pStyle w:val="0"/>
              <w:jc w:val="center"/>
            </w:pPr>
            <w:r>
              <w:rPr>
                <w:sz w:val="20"/>
              </w:rPr>
              <w:t xml:space="preserve">360,8</w:t>
            </w:r>
          </w:p>
        </w:tc>
        <w:tc>
          <w:tcPr>
            <w:tcW w:w="1234" w:type="dxa"/>
            <w:vAlign w:val="center"/>
            <w:tcBorders>
              <w:top w:val="nil"/>
              <w:left w:val="nil"/>
              <w:bottom w:val="nil"/>
              <w:right w:val="nil"/>
            </w:tcBorders>
          </w:tcPr>
          <w:p>
            <w:pPr>
              <w:pStyle w:val="0"/>
              <w:jc w:val="center"/>
            </w:pPr>
            <w:r>
              <w:rPr>
                <w:sz w:val="20"/>
              </w:rPr>
              <w:t xml:space="preserve">321,3</w:t>
            </w:r>
          </w:p>
        </w:tc>
        <w:tc>
          <w:tcPr>
            <w:tcW w:w="1258" w:type="dxa"/>
            <w:vAlign w:val="center"/>
            <w:tcBorders>
              <w:top w:val="nil"/>
              <w:left w:val="nil"/>
              <w:bottom w:val="nil"/>
              <w:right w:val="nil"/>
            </w:tcBorders>
          </w:tcPr>
          <w:p>
            <w:pPr>
              <w:pStyle w:val="0"/>
              <w:jc w:val="center"/>
            </w:pPr>
            <w:r>
              <w:rPr>
                <w:sz w:val="20"/>
              </w:rPr>
              <w:t xml:space="preserve">289,9</w:t>
            </w:r>
          </w:p>
        </w:tc>
      </w:tr>
      <w:tr>
        <w:tc>
          <w:tcPr>
            <w:tcW w:w="2834" w:type="dxa"/>
            <w:vAlign w:val="center"/>
            <w:tcBorders>
              <w:top w:val="nil"/>
              <w:left w:val="nil"/>
              <w:bottom w:val="nil"/>
              <w:right w:val="nil"/>
            </w:tcBorders>
          </w:tcPr>
          <w:p>
            <w:pPr>
              <w:pStyle w:val="0"/>
            </w:pPr>
            <w:r>
              <w:rPr>
                <w:sz w:val="20"/>
              </w:rPr>
              <w:t xml:space="preserve">Образование</w:t>
            </w:r>
          </w:p>
        </w:tc>
        <w:tc>
          <w:tcPr>
            <w:tcW w:w="1247" w:type="dxa"/>
            <w:vAlign w:val="center"/>
            <w:tcBorders>
              <w:top w:val="nil"/>
              <w:left w:val="nil"/>
              <w:bottom w:val="nil"/>
              <w:right w:val="nil"/>
            </w:tcBorders>
          </w:tcPr>
          <w:p>
            <w:pPr>
              <w:pStyle w:val="0"/>
              <w:jc w:val="center"/>
            </w:pPr>
            <w:r>
              <w:rPr>
                <w:sz w:val="20"/>
              </w:rPr>
              <w:t xml:space="preserve">115,0</w:t>
            </w:r>
          </w:p>
        </w:tc>
        <w:tc>
          <w:tcPr>
            <w:tcW w:w="1238" w:type="dxa"/>
            <w:vAlign w:val="center"/>
            <w:tcBorders>
              <w:top w:val="nil"/>
              <w:left w:val="nil"/>
              <w:bottom w:val="nil"/>
              <w:right w:val="nil"/>
            </w:tcBorders>
          </w:tcPr>
          <w:p>
            <w:pPr>
              <w:pStyle w:val="0"/>
              <w:jc w:val="center"/>
            </w:pPr>
            <w:r>
              <w:rPr>
                <w:sz w:val="20"/>
              </w:rPr>
              <w:t xml:space="preserve">131,5</w:t>
            </w:r>
          </w:p>
        </w:tc>
        <w:tc>
          <w:tcPr>
            <w:tcW w:w="1238" w:type="dxa"/>
            <w:vAlign w:val="center"/>
            <w:tcBorders>
              <w:top w:val="nil"/>
              <w:left w:val="nil"/>
              <w:bottom w:val="nil"/>
              <w:right w:val="nil"/>
            </w:tcBorders>
          </w:tcPr>
          <w:p>
            <w:pPr>
              <w:pStyle w:val="0"/>
              <w:jc w:val="center"/>
            </w:pPr>
            <w:r>
              <w:rPr>
                <w:sz w:val="20"/>
              </w:rPr>
              <w:t xml:space="preserve">208,0</w:t>
            </w:r>
          </w:p>
        </w:tc>
        <w:tc>
          <w:tcPr>
            <w:tcW w:w="1234" w:type="dxa"/>
            <w:vAlign w:val="center"/>
            <w:tcBorders>
              <w:top w:val="nil"/>
              <w:left w:val="nil"/>
              <w:bottom w:val="nil"/>
              <w:right w:val="nil"/>
            </w:tcBorders>
          </w:tcPr>
          <w:p>
            <w:pPr>
              <w:pStyle w:val="0"/>
              <w:jc w:val="center"/>
            </w:pPr>
            <w:r>
              <w:rPr>
                <w:sz w:val="20"/>
              </w:rPr>
              <w:t xml:space="preserve">230,1</w:t>
            </w:r>
          </w:p>
        </w:tc>
        <w:tc>
          <w:tcPr>
            <w:tcW w:w="1258" w:type="dxa"/>
            <w:vAlign w:val="center"/>
            <w:tcBorders>
              <w:top w:val="nil"/>
              <w:left w:val="nil"/>
              <w:bottom w:val="nil"/>
              <w:right w:val="nil"/>
            </w:tcBorders>
          </w:tcPr>
          <w:p>
            <w:pPr>
              <w:pStyle w:val="0"/>
              <w:jc w:val="center"/>
            </w:pPr>
            <w:r>
              <w:rPr>
                <w:sz w:val="20"/>
              </w:rPr>
              <w:t xml:space="preserve">230,8</w:t>
            </w:r>
          </w:p>
        </w:tc>
      </w:tr>
      <w:tr>
        <w:tc>
          <w:tcPr>
            <w:tcW w:w="2834" w:type="dxa"/>
            <w:vAlign w:val="center"/>
            <w:tcBorders>
              <w:top w:val="nil"/>
              <w:left w:val="nil"/>
              <w:bottom w:val="nil"/>
              <w:right w:val="nil"/>
            </w:tcBorders>
          </w:tcPr>
          <w:p>
            <w:pPr>
              <w:pStyle w:val="0"/>
            </w:pPr>
            <w:r>
              <w:rPr>
                <w:sz w:val="20"/>
              </w:rPr>
              <w:t xml:space="preserve">Жилье и городская среда</w:t>
            </w:r>
          </w:p>
        </w:tc>
        <w:tc>
          <w:tcPr>
            <w:tcW w:w="1247" w:type="dxa"/>
            <w:vAlign w:val="center"/>
            <w:tcBorders>
              <w:top w:val="nil"/>
              <w:left w:val="nil"/>
              <w:bottom w:val="nil"/>
              <w:right w:val="nil"/>
            </w:tcBorders>
          </w:tcPr>
          <w:p>
            <w:pPr>
              <w:pStyle w:val="0"/>
              <w:jc w:val="center"/>
            </w:pPr>
            <w:r>
              <w:rPr>
                <w:sz w:val="20"/>
              </w:rPr>
              <w:t xml:space="preserve">168,7</w:t>
            </w:r>
          </w:p>
        </w:tc>
        <w:tc>
          <w:tcPr>
            <w:tcW w:w="1238" w:type="dxa"/>
            <w:vAlign w:val="center"/>
            <w:tcBorders>
              <w:top w:val="nil"/>
              <w:left w:val="nil"/>
              <w:bottom w:val="nil"/>
              <w:right w:val="nil"/>
            </w:tcBorders>
          </w:tcPr>
          <w:p>
            <w:pPr>
              <w:pStyle w:val="0"/>
              <w:jc w:val="center"/>
            </w:pPr>
            <w:r>
              <w:rPr>
                <w:sz w:val="20"/>
              </w:rPr>
              <w:t xml:space="preserve">263,0</w:t>
            </w:r>
          </w:p>
        </w:tc>
        <w:tc>
          <w:tcPr>
            <w:tcW w:w="1238" w:type="dxa"/>
            <w:vAlign w:val="center"/>
            <w:tcBorders>
              <w:top w:val="nil"/>
              <w:left w:val="nil"/>
              <w:bottom w:val="nil"/>
              <w:right w:val="nil"/>
            </w:tcBorders>
          </w:tcPr>
          <w:p>
            <w:pPr>
              <w:pStyle w:val="0"/>
              <w:jc w:val="center"/>
            </w:pPr>
            <w:r>
              <w:rPr>
                <w:sz w:val="20"/>
              </w:rPr>
              <w:t xml:space="preserve">258,4</w:t>
            </w:r>
          </w:p>
        </w:tc>
        <w:tc>
          <w:tcPr>
            <w:tcW w:w="1234" w:type="dxa"/>
            <w:vAlign w:val="center"/>
            <w:tcBorders>
              <w:top w:val="nil"/>
              <w:left w:val="nil"/>
              <w:bottom w:val="nil"/>
              <w:right w:val="nil"/>
            </w:tcBorders>
          </w:tcPr>
          <w:p>
            <w:pPr>
              <w:pStyle w:val="0"/>
              <w:jc w:val="center"/>
            </w:pPr>
            <w:r>
              <w:rPr>
                <w:sz w:val="20"/>
              </w:rPr>
              <w:t xml:space="preserve">176,0</w:t>
            </w:r>
          </w:p>
        </w:tc>
        <w:tc>
          <w:tcPr>
            <w:tcW w:w="1258" w:type="dxa"/>
            <w:vAlign w:val="center"/>
            <w:tcBorders>
              <w:top w:val="nil"/>
              <w:left w:val="nil"/>
              <w:bottom w:val="nil"/>
              <w:right w:val="nil"/>
            </w:tcBorders>
          </w:tcPr>
          <w:p>
            <w:pPr>
              <w:pStyle w:val="0"/>
              <w:jc w:val="center"/>
            </w:pPr>
            <w:r>
              <w:rPr>
                <w:sz w:val="20"/>
              </w:rPr>
              <w:t xml:space="preserve">125,5</w:t>
            </w:r>
          </w:p>
        </w:tc>
      </w:tr>
      <w:tr>
        <w:tc>
          <w:tcPr>
            <w:tcW w:w="2834" w:type="dxa"/>
            <w:vAlign w:val="center"/>
            <w:tcBorders>
              <w:top w:val="nil"/>
              <w:left w:val="nil"/>
              <w:bottom w:val="nil"/>
              <w:right w:val="nil"/>
            </w:tcBorders>
          </w:tcPr>
          <w:p>
            <w:pPr>
              <w:pStyle w:val="0"/>
            </w:pPr>
            <w:r>
              <w:rPr>
                <w:sz w:val="20"/>
              </w:rPr>
              <w:t xml:space="preserve">Экология</w:t>
            </w:r>
          </w:p>
        </w:tc>
        <w:tc>
          <w:tcPr>
            <w:tcW w:w="1247" w:type="dxa"/>
            <w:vAlign w:val="center"/>
            <w:tcBorders>
              <w:top w:val="nil"/>
              <w:left w:val="nil"/>
              <w:bottom w:val="nil"/>
              <w:right w:val="nil"/>
            </w:tcBorders>
          </w:tcPr>
          <w:p>
            <w:pPr>
              <w:pStyle w:val="0"/>
              <w:jc w:val="center"/>
            </w:pPr>
            <w:r>
              <w:rPr>
                <w:sz w:val="20"/>
              </w:rPr>
              <w:t xml:space="preserve">63,1</w:t>
            </w:r>
          </w:p>
        </w:tc>
        <w:tc>
          <w:tcPr>
            <w:tcW w:w="1238" w:type="dxa"/>
            <w:vAlign w:val="center"/>
            <w:tcBorders>
              <w:top w:val="nil"/>
              <w:left w:val="nil"/>
              <w:bottom w:val="nil"/>
              <w:right w:val="nil"/>
            </w:tcBorders>
          </w:tcPr>
          <w:p>
            <w:pPr>
              <w:pStyle w:val="0"/>
              <w:jc w:val="center"/>
            </w:pPr>
            <w:r>
              <w:rPr>
                <w:sz w:val="20"/>
              </w:rPr>
              <w:t xml:space="preserve">78,1</w:t>
            </w:r>
          </w:p>
        </w:tc>
        <w:tc>
          <w:tcPr>
            <w:tcW w:w="1238" w:type="dxa"/>
            <w:vAlign w:val="center"/>
            <w:tcBorders>
              <w:top w:val="nil"/>
              <w:left w:val="nil"/>
              <w:bottom w:val="nil"/>
              <w:right w:val="nil"/>
            </w:tcBorders>
          </w:tcPr>
          <w:p>
            <w:pPr>
              <w:pStyle w:val="0"/>
              <w:jc w:val="center"/>
            </w:pPr>
            <w:r>
              <w:rPr>
                <w:sz w:val="20"/>
              </w:rPr>
              <w:t xml:space="preserve">135,6</w:t>
            </w:r>
          </w:p>
        </w:tc>
        <w:tc>
          <w:tcPr>
            <w:tcW w:w="1234" w:type="dxa"/>
            <w:vAlign w:val="center"/>
            <w:tcBorders>
              <w:top w:val="nil"/>
              <w:left w:val="nil"/>
              <w:bottom w:val="nil"/>
              <w:right w:val="nil"/>
            </w:tcBorders>
          </w:tcPr>
          <w:p>
            <w:pPr>
              <w:pStyle w:val="0"/>
              <w:jc w:val="center"/>
            </w:pPr>
            <w:r>
              <w:rPr>
                <w:sz w:val="20"/>
              </w:rPr>
              <w:t xml:space="preserve">124,7</w:t>
            </w:r>
          </w:p>
        </w:tc>
        <w:tc>
          <w:tcPr>
            <w:tcW w:w="1258" w:type="dxa"/>
            <w:vAlign w:val="center"/>
            <w:tcBorders>
              <w:top w:val="nil"/>
              <w:left w:val="nil"/>
              <w:bottom w:val="nil"/>
              <w:right w:val="nil"/>
            </w:tcBorders>
          </w:tcPr>
          <w:p>
            <w:pPr>
              <w:pStyle w:val="0"/>
              <w:jc w:val="center"/>
            </w:pPr>
            <w:r>
              <w:rPr>
                <w:sz w:val="20"/>
              </w:rPr>
              <w:t xml:space="preserve">78,5</w:t>
            </w:r>
          </w:p>
        </w:tc>
      </w:tr>
      <w:tr>
        <w:tc>
          <w:tcPr>
            <w:tcW w:w="2834" w:type="dxa"/>
            <w:vAlign w:val="center"/>
            <w:tcBorders>
              <w:top w:val="nil"/>
              <w:left w:val="nil"/>
              <w:bottom w:val="nil"/>
              <w:right w:val="nil"/>
            </w:tcBorders>
          </w:tcPr>
          <w:p>
            <w:pPr>
              <w:pStyle w:val="0"/>
            </w:pPr>
            <w:r>
              <w:rPr>
                <w:sz w:val="20"/>
              </w:rPr>
              <w:t xml:space="preserve">Безопасные качественные дороги</w:t>
            </w:r>
          </w:p>
        </w:tc>
        <w:tc>
          <w:tcPr>
            <w:tcW w:w="1247" w:type="dxa"/>
            <w:vAlign w:val="center"/>
            <w:tcBorders>
              <w:top w:val="nil"/>
              <w:left w:val="nil"/>
              <w:bottom w:val="nil"/>
              <w:right w:val="nil"/>
            </w:tcBorders>
          </w:tcPr>
          <w:p>
            <w:pPr>
              <w:pStyle w:val="0"/>
              <w:jc w:val="center"/>
            </w:pPr>
            <w:r>
              <w:rPr>
                <w:sz w:val="20"/>
              </w:rPr>
              <w:t xml:space="preserve">155,7</w:t>
            </w:r>
          </w:p>
        </w:tc>
        <w:tc>
          <w:tcPr>
            <w:tcW w:w="1238" w:type="dxa"/>
            <w:vAlign w:val="center"/>
            <w:tcBorders>
              <w:top w:val="nil"/>
              <w:left w:val="nil"/>
              <w:bottom w:val="nil"/>
              <w:right w:val="nil"/>
            </w:tcBorders>
          </w:tcPr>
          <w:p>
            <w:pPr>
              <w:pStyle w:val="0"/>
              <w:jc w:val="center"/>
            </w:pPr>
            <w:r>
              <w:rPr>
                <w:sz w:val="20"/>
              </w:rPr>
              <w:t xml:space="preserve">364,2</w:t>
            </w:r>
          </w:p>
        </w:tc>
        <w:tc>
          <w:tcPr>
            <w:tcW w:w="1238" w:type="dxa"/>
            <w:vAlign w:val="center"/>
            <w:tcBorders>
              <w:top w:val="nil"/>
              <w:left w:val="nil"/>
              <w:bottom w:val="nil"/>
              <w:right w:val="nil"/>
            </w:tcBorders>
          </w:tcPr>
          <w:p>
            <w:pPr>
              <w:pStyle w:val="0"/>
              <w:jc w:val="center"/>
            </w:pPr>
            <w:r>
              <w:rPr>
                <w:sz w:val="20"/>
              </w:rPr>
              <w:t xml:space="preserve">490,4</w:t>
            </w:r>
          </w:p>
        </w:tc>
        <w:tc>
          <w:tcPr>
            <w:tcW w:w="1234" w:type="dxa"/>
            <w:vAlign w:val="center"/>
            <w:tcBorders>
              <w:top w:val="nil"/>
              <w:left w:val="nil"/>
              <w:bottom w:val="nil"/>
              <w:right w:val="nil"/>
            </w:tcBorders>
          </w:tcPr>
          <w:p>
            <w:pPr>
              <w:pStyle w:val="0"/>
              <w:jc w:val="center"/>
            </w:pPr>
            <w:r>
              <w:rPr>
                <w:sz w:val="20"/>
              </w:rPr>
              <w:t xml:space="preserve">454,4</w:t>
            </w:r>
          </w:p>
        </w:tc>
        <w:tc>
          <w:tcPr>
            <w:tcW w:w="1258" w:type="dxa"/>
            <w:vAlign w:val="center"/>
            <w:tcBorders>
              <w:top w:val="nil"/>
              <w:left w:val="nil"/>
              <w:bottom w:val="nil"/>
              <w:right w:val="nil"/>
            </w:tcBorders>
          </w:tcPr>
          <w:p>
            <w:pPr>
              <w:pStyle w:val="0"/>
              <w:jc w:val="center"/>
            </w:pPr>
            <w:r>
              <w:rPr>
                <w:sz w:val="20"/>
              </w:rPr>
              <w:t xml:space="preserve">606,5</w:t>
            </w:r>
          </w:p>
        </w:tc>
      </w:tr>
      <w:tr>
        <w:tc>
          <w:tcPr>
            <w:tcW w:w="2834" w:type="dxa"/>
            <w:vAlign w:val="center"/>
            <w:tcBorders>
              <w:top w:val="nil"/>
              <w:left w:val="nil"/>
              <w:bottom w:val="nil"/>
              <w:right w:val="nil"/>
            </w:tcBorders>
          </w:tcPr>
          <w:p>
            <w:pPr>
              <w:pStyle w:val="0"/>
            </w:pPr>
            <w:r>
              <w:rPr>
                <w:sz w:val="20"/>
              </w:rPr>
              <w:t xml:space="preserve">КПМИ</w:t>
            </w:r>
          </w:p>
        </w:tc>
        <w:tc>
          <w:tcPr>
            <w:tcW w:w="1247" w:type="dxa"/>
            <w:vAlign w:val="center"/>
            <w:tcBorders>
              <w:top w:val="nil"/>
              <w:left w:val="nil"/>
              <w:bottom w:val="nil"/>
              <w:right w:val="nil"/>
            </w:tcBorders>
          </w:tcPr>
          <w:p>
            <w:pPr>
              <w:pStyle w:val="0"/>
              <w:jc w:val="center"/>
            </w:pPr>
            <w:r>
              <w:rPr>
                <w:sz w:val="20"/>
              </w:rPr>
              <w:t xml:space="preserve">382,6</w:t>
            </w:r>
          </w:p>
        </w:tc>
        <w:tc>
          <w:tcPr>
            <w:tcW w:w="1238" w:type="dxa"/>
            <w:vAlign w:val="center"/>
            <w:tcBorders>
              <w:top w:val="nil"/>
              <w:left w:val="nil"/>
              <w:bottom w:val="nil"/>
              <w:right w:val="nil"/>
            </w:tcBorders>
          </w:tcPr>
          <w:p>
            <w:pPr>
              <w:pStyle w:val="0"/>
              <w:jc w:val="center"/>
            </w:pPr>
            <w:r>
              <w:rPr>
                <w:sz w:val="20"/>
              </w:rPr>
              <w:t xml:space="preserve">373,3</w:t>
            </w:r>
          </w:p>
        </w:tc>
        <w:tc>
          <w:tcPr>
            <w:tcW w:w="1238" w:type="dxa"/>
            <w:vAlign w:val="center"/>
            <w:tcBorders>
              <w:top w:val="nil"/>
              <w:left w:val="nil"/>
              <w:bottom w:val="nil"/>
              <w:right w:val="nil"/>
            </w:tcBorders>
          </w:tcPr>
          <w:p>
            <w:pPr>
              <w:pStyle w:val="0"/>
              <w:jc w:val="center"/>
            </w:pPr>
            <w:r>
              <w:rPr>
                <w:sz w:val="20"/>
              </w:rPr>
              <w:t xml:space="preserve">465,3</w:t>
            </w:r>
          </w:p>
        </w:tc>
        <w:tc>
          <w:tcPr>
            <w:tcW w:w="1234" w:type="dxa"/>
            <w:vAlign w:val="center"/>
            <w:tcBorders>
              <w:top w:val="nil"/>
              <w:left w:val="nil"/>
              <w:bottom w:val="nil"/>
              <w:right w:val="nil"/>
            </w:tcBorders>
          </w:tcPr>
          <w:p>
            <w:pPr>
              <w:pStyle w:val="0"/>
              <w:jc w:val="center"/>
            </w:pPr>
            <w:r>
              <w:rPr>
                <w:sz w:val="20"/>
              </w:rPr>
              <w:t xml:space="preserve">162,4</w:t>
            </w:r>
          </w:p>
        </w:tc>
        <w:tc>
          <w:tcPr>
            <w:tcW w:w="1258" w:type="dxa"/>
            <w:vAlign w:val="center"/>
            <w:tcBorders>
              <w:top w:val="nil"/>
              <w:left w:val="nil"/>
              <w:bottom w:val="nil"/>
              <w:right w:val="nil"/>
            </w:tcBorders>
          </w:tcPr>
          <w:p>
            <w:pPr>
              <w:pStyle w:val="0"/>
              <w:jc w:val="center"/>
            </w:pPr>
            <w:r>
              <w:rPr>
                <w:sz w:val="20"/>
              </w:rPr>
              <w:t xml:space="preserve">101,6</w:t>
            </w:r>
          </w:p>
        </w:tc>
      </w:tr>
      <w:tr>
        <w:tc>
          <w:tcPr>
            <w:tcW w:w="2834" w:type="dxa"/>
            <w:vAlign w:val="center"/>
            <w:tcBorders>
              <w:top w:val="nil"/>
              <w:left w:val="nil"/>
              <w:bottom w:val="nil"/>
              <w:right w:val="nil"/>
            </w:tcBorders>
          </w:tcPr>
          <w:p>
            <w:pPr>
              <w:pStyle w:val="0"/>
            </w:pPr>
            <w:r>
              <w:rPr>
                <w:sz w:val="20"/>
              </w:rPr>
              <w:t xml:space="preserve">Производительность труда</w:t>
            </w:r>
          </w:p>
        </w:tc>
        <w:tc>
          <w:tcPr>
            <w:tcW w:w="1247" w:type="dxa"/>
            <w:vAlign w:val="center"/>
            <w:tcBorders>
              <w:top w:val="nil"/>
              <w:left w:val="nil"/>
              <w:bottom w:val="nil"/>
              <w:right w:val="nil"/>
            </w:tcBorders>
          </w:tcPr>
          <w:p>
            <w:pPr>
              <w:pStyle w:val="0"/>
              <w:jc w:val="center"/>
            </w:pPr>
            <w:r>
              <w:rPr>
                <w:sz w:val="20"/>
              </w:rPr>
              <w:t xml:space="preserve">4,1</w:t>
            </w:r>
          </w:p>
        </w:tc>
        <w:tc>
          <w:tcPr>
            <w:tcW w:w="1238" w:type="dxa"/>
            <w:vAlign w:val="center"/>
            <w:tcBorders>
              <w:top w:val="nil"/>
              <w:left w:val="nil"/>
              <w:bottom w:val="nil"/>
              <w:right w:val="nil"/>
            </w:tcBorders>
          </w:tcPr>
          <w:p>
            <w:pPr>
              <w:pStyle w:val="0"/>
              <w:jc w:val="center"/>
            </w:pPr>
            <w:r>
              <w:rPr>
                <w:sz w:val="20"/>
              </w:rPr>
              <w:t xml:space="preserve">4,8</w:t>
            </w:r>
          </w:p>
        </w:tc>
        <w:tc>
          <w:tcPr>
            <w:tcW w:w="1238" w:type="dxa"/>
            <w:vAlign w:val="center"/>
            <w:tcBorders>
              <w:top w:val="nil"/>
              <w:left w:val="nil"/>
              <w:bottom w:val="nil"/>
              <w:right w:val="nil"/>
            </w:tcBorders>
          </w:tcPr>
          <w:p>
            <w:pPr>
              <w:pStyle w:val="0"/>
              <w:jc w:val="center"/>
            </w:pPr>
            <w:r>
              <w:rPr>
                <w:sz w:val="20"/>
              </w:rPr>
              <w:t xml:space="preserve">5,5</w:t>
            </w:r>
          </w:p>
        </w:tc>
        <w:tc>
          <w:tcPr>
            <w:tcW w:w="1234" w:type="dxa"/>
            <w:vAlign w:val="center"/>
            <w:tcBorders>
              <w:top w:val="nil"/>
              <w:left w:val="nil"/>
              <w:bottom w:val="nil"/>
              <w:right w:val="nil"/>
            </w:tcBorders>
          </w:tcPr>
          <w:p>
            <w:pPr>
              <w:pStyle w:val="0"/>
              <w:jc w:val="center"/>
            </w:pPr>
            <w:r>
              <w:rPr>
                <w:sz w:val="20"/>
              </w:rPr>
              <w:t xml:space="preserve">5,1</w:t>
            </w:r>
          </w:p>
        </w:tc>
        <w:tc>
          <w:tcPr>
            <w:tcW w:w="1258" w:type="dxa"/>
            <w:vAlign w:val="center"/>
            <w:tcBorders>
              <w:top w:val="nil"/>
              <w:left w:val="nil"/>
              <w:bottom w:val="nil"/>
              <w:right w:val="nil"/>
            </w:tcBorders>
          </w:tcPr>
          <w:p>
            <w:pPr>
              <w:pStyle w:val="0"/>
              <w:jc w:val="center"/>
            </w:pPr>
            <w:r>
              <w:rPr>
                <w:sz w:val="20"/>
              </w:rPr>
              <w:t xml:space="preserve">5,4</w:t>
            </w:r>
          </w:p>
        </w:tc>
      </w:tr>
      <w:tr>
        <w:tc>
          <w:tcPr>
            <w:tcW w:w="2834" w:type="dxa"/>
            <w:vAlign w:val="center"/>
            <w:tcBorders>
              <w:top w:val="nil"/>
              <w:left w:val="nil"/>
              <w:bottom w:val="nil"/>
              <w:right w:val="nil"/>
            </w:tcBorders>
          </w:tcPr>
          <w:p>
            <w:pPr>
              <w:pStyle w:val="0"/>
            </w:pPr>
            <w:r>
              <w:rPr>
                <w:sz w:val="20"/>
              </w:rPr>
              <w:t xml:space="preserve">Наука и университеты</w:t>
            </w:r>
          </w:p>
        </w:tc>
        <w:tc>
          <w:tcPr>
            <w:tcW w:w="1247" w:type="dxa"/>
            <w:vAlign w:val="center"/>
            <w:tcBorders>
              <w:top w:val="nil"/>
              <w:left w:val="nil"/>
              <w:bottom w:val="nil"/>
              <w:right w:val="nil"/>
            </w:tcBorders>
          </w:tcPr>
          <w:p>
            <w:pPr>
              <w:pStyle w:val="0"/>
              <w:jc w:val="center"/>
            </w:pPr>
            <w:r>
              <w:rPr>
                <w:sz w:val="20"/>
              </w:rPr>
              <w:t xml:space="preserve">40,3</w:t>
            </w:r>
          </w:p>
        </w:tc>
        <w:tc>
          <w:tcPr>
            <w:tcW w:w="1238" w:type="dxa"/>
            <w:vAlign w:val="center"/>
            <w:tcBorders>
              <w:top w:val="nil"/>
              <w:left w:val="nil"/>
              <w:bottom w:val="nil"/>
              <w:right w:val="nil"/>
            </w:tcBorders>
          </w:tcPr>
          <w:p>
            <w:pPr>
              <w:pStyle w:val="0"/>
              <w:jc w:val="center"/>
            </w:pPr>
            <w:r>
              <w:rPr>
                <w:sz w:val="20"/>
              </w:rPr>
              <w:t xml:space="preserve">80,1</w:t>
            </w:r>
          </w:p>
        </w:tc>
        <w:tc>
          <w:tcPr>
            <w:tcW w:w="1238" w:type="dxa"/>
            <w:vAlign w:val="center"/>
            <w:tcBorders>
              <w:top w:val="nil"/>
              <w:left w:val="nil"/>
              <w:bottom w:val="nil"/>
              <w:right w:val="nil"/>
            </w:tcBorders>
          </w:tcPr>
          <w:p>
            <w:pPr>
              <w:pStyle w:val="0"/>
              <w:jc w:val="center"/>
            </w:pPr>
            <w:r>
              <w:rPr>
                <w:sz w:val="20"/>
              </w:rPr>
              <w:t xml:space="preserve">120,0</w:t>
            </w:r>
          </w:p>
        </w:tc>
        <w:tc>
          <w:tcPr>
            <w:tcW w:w="1234" w:type="dxa"/>
            <w:vAlign w:val="center"/>
            <w:tcBorders>
              <w:top w:val="nil"/>
              <w:left w:val="nil"/>
              <w:bottom w:val="nil"/>
              <w:right w:val="nil"/>
            </w:tcBorders>
          </w:tcPr>
          <w:p>
            <w:pPr>
              <w:pStyle w:val="0"/>
              <w:jc w:val="center"/>
            </w:pPr>
            <w:r>
              <w:rPr>
                <w:sz w:val="20"/>
              </w:rPr>
              <w:t xml:space="preserve">147,4</w:t>
            </w:r>
          </w:p>
        </w:tc>
        <w:tc>
          <w:tcPr>
            <w:tcW w:w="1258" w:type="dxa"/>
            <w:vAlign w:val="center"/>
            <w:tcBorders>
              <w:top w:val="nil"/>
              <w:left w:val="nil"/>
              <w:bottom w:val="nil"/>
              <w:right w:val="nil"/>
            </w:tcBorders>
          </w:tcPr>
          <w:p>
            <w:pPr>
              <w:pStyle w:val="0"/>
              <w:jc w:val="center"/>
            </w:pPr>
            <w:r>
              <w:rPr>
                <w:sz w:val="20"/>
              </w:rPr>
              <w:t xml:space="preserve">152,4</w:t>
            </w:r>
          </w:p>
        </w:tc>
      </w:tr>
      <w:tr>
        <w:tc>
          <w:tcPr>
            <w:tcW w:w="2834" w:type="dxa"/>
            <w:vAlign w:val="center"/>
            <w:tcBorders>
              <w:top w:val="nil"/>
              <w:left w:val="nil"/>
              <w:bottom w:val="nil"/>
              <w:right w:val="nil"/>
            </w:tcBorders>
          </w:tcPr>
          <w:p>
            <w:pPr>
              <w:pStyle w:val="0"/>
            </w:pPr>
            <w:r>
              <w:rPr>
                <w:sz w:val="20"/>
              </w:rPr>
              <w:t xml:space="preserve">Цифровая экономика</w:t>
            </w:r>
          </w:p>
        </w:tc>
        <w:tc>
          <w:tcPr>
            <w:tcW w:w="1247" w:type="dxa"/>
            <w:vAlign w:val="center"/>
            <w:tcBorders>
              <w:top w:val="nil"/>
              <w:left w:val="nil"/>
              <w:bottom w:val="nil"/>
              <w:right w:val="nil"/>
            </w:tcBorders>
          </w:tcPr>
          <w:p>
            <w:pPr>
              <w:pStyle w:val="0"/>
              <w:jc w:val="center"/>
            </w:pPr>
            <w:r>
              <w:rPr>
                <w:sz w:val="20"/>
              </w:rPr>
              <w:t xml:space="preserve">86,3</w:t>
            </w:r>
          </w:p>
        </w:tc>
        <w:tc>
          <w:tcPr>
            <w:tcW w:w="1238" w:type="dxa"/>
            <w:vAlign w:val="center"/>
            <w:tcBorders>
              <w:top w:val="nil"/>
              <w:left w:val="nil"/>
              <w:bottom w:val="nil"/>
              <w:right w:val="nil"/>
            </w:tcBorders>
          </w:tcPr>
          <w:p>
            <w:pPr>
              <w:pStyle w:val="0"/>
              <w:jc w:val="center"/>
            </w:pPr>
            <w:r>
              <w:rPr>
                <w:sz w:val="20"/>
              </w:rPr>
              <w:t xml:space="preserve">131,1</w:t>
            </w:r>
          </w:p>
        </w:tc>
        <w:tc>
          <w:tcPr>
            <w:tcW w:w="1238" w:type="dxa"/>
            <w:vAlign w:val="center"/>
            <w:tcBorders>
              <w:top w:val="nil"/>
              <w:left w:val="nil"/>
              <w:bottom w:val="nil"/>
              <w:right w:val="nil"/>
            </w:tcBorders>
          </w:tcPr>
          <w:p>
            <w:pPr>
              <w:pStyle w:val="0"/>
              <w:jc w:val="center"/>
            </w:pPr>
            <w:r>
              <w:rPr>
                <w:sz w:val="20"/>
              </w:rPr>
              <w:t xml:space="preserve">164,7</w:t>
            </w:r>
          </w:p>
        </w:tc>
        <w:tc>
          <w:tcPr>
            <w:tcW w:w="1234" w:type="dxa"/>
            <w:vAlign w:val="center"/>
            <w:tcBorders>
              <w:top w:val="nil"/>
              <w:left w:val="nil"/>
              <w:bottom w:val="nil"/>
              <w:right w:val="nil"/>
            </w:tcBorders>
          </w:tcPr>
          <w:p>
            <w:pPr>
              <w:pStyle w:val="0"/>
              <w:jc w:val="center"/>
            </w:pPr>
            <w:r>
              <w:rPr>
                <w:sz w:val="20"/>
              </w:rPr>
              <w:t xml:space="preserve">135,6</w:t>
            </w:r>
          </w:p>
        </w:tc>
        <w:tc>
          <w:tcPr>
            <w:tcW w:w="1258" w:type="dxa"/>
            <w:vAlign w:val="center"/>
            <w:tcBorders>
              <w:top w:val="nil"/>
              <w:left w:val="nil"/>
              <w:bottom w:val="nil"/>
              <w:right w:val="nil"/>
            </w:tcBorders>
          </w:tcPr>
          <w:p>
            <w:pPr>
              <w:pStyle w:val="0"/>
              <w:jc w:val="center"/>
            </w:pPr>
            <w:r>
              <w:rPr>
                <w:sz w:val="20"/>
              </w:rPr>
              <w:t xml:space="preserve">121,7</w:t>
            </w:r>
          </w:p>
        </w:tc>
      </w:tr>
      <w:tr>
        <w:tc>
          <w:tcPr>
            <w:tcW w:w="2834" w:type="dxa"/>
            <w:vAlign w:val="center"/>
            <w:tcBorders>
              <w:top w:val="nil"/>
              <w:left w:val="nil"/>
              <w:bottom w:val="nil"/>
              <w:right w:val="nil"/>
            </w:tcBorders>
          </w:tcPr>
          <w:p>
            <w:pPr>
              <w:pStyle w:val="0"/>
            </w:pPr>
            <w:r>
              <w:rPr>
                <w:sz w:val="20"/>
              </w:rPr>
              <w:t xml:space="preserve">Культура</w:t>
            </w:r>
          </w:p>
        </w:tc>
        <w:tc>
          <w:tcPr>
            <w:tcW w:w="1247" w:type="dxa"/>
            <w:vAlign w:val="center"/>
            <w:tcBorders>
              <w:top w:val="nil"/>
              <w:left w:val="nil"/>
              <w:bottom w:val="nil"/>
              <w:right w:val="nil"/>
            </w:tcBorders>
          </w:tcPr>
          <w:p>
            <w:pPr>
              <w:pStyle w:val="0"/>
              <w:jc w:val="center"/>
            </w:pPr>
            <w:r>
              <w:rPr>
                <w:sz w:val="20"/>
              </w:rPr>
              <w:t xml:space="preserve">15,8</w:t>
            </w:r>
          </w:p>
        </w:tc>
        <w:tc>
          <w:tcPr>
            <w:tcW w:w="1238" w:type="dxa"/>
            <w:vAlign w:val="center"/>
            <w:tcBorders>
              <w:top w:val="nil"/>
              <w:left w:val="nil"/>
              <w:bottom w:val="nil"/>
              <w:right w:val="nil"/>
            </w:tcBorders>
          </w:tcPr>
          <w:p>
            <w:pPr>
              <w:pStyle w:val="0"/>
              <w:jc w:val="center"/>
            </w:pPr>
            <w:r>
              <w:rPr>
                <w:sz w:val="20"/>
              </w:rPr>
              <w:t xml:space="preserve">23,5</w:t>
            </w:r>
          </w:p>
        </w:tc>
        <w:tc>
          <w:tcPr>
            <w:tcW w:w="1238" w:type="dxa"/>
            <w:vAlign w:val="center"/>
            <w:tcBorders>
              <w:top w:val="nil"/>
              <w:left w:val="nil"/>
              <w:bottom w:val="nil"/>
              <w:right w:val="nil"/>
            </w:tcBorders>
          </w:tcPr>
          <w:p>
            <w:pPr>
              <w:pStyle w:val="0"/>
              <w:jc w:val="center"/>
            </w:pPr>
            <w:r>
              <w:rPr>
                <w:sz w:val="20"/>
              </w:rPr>
              <w:t xml:space="preserve">48,3</w:t>
            </w:r>
          </w:p>
        </w:tc>
        <w:tc>
          <w:tcPr>
            <w:tcW w:w="1234" w:type="dxa"/>
            <w:vAlign w:val="center"/>
            <w:tcBorders>
              <w:top w:val="nil"/>
              <w:left w:val="nil"/>
              <w:bottom w:val="nil"/>
              <w:right w:val="nil"/>
            </w:tcBorders>
          </w:tcPr>
          <w:p>
            <w:pPr>
              <w:pStyle w:val="0"/>
              <w:jc w:val="center"/>
            </w:pPr>
            <w:r>
              <w:rPr>
                <w:sz w:val="20"/>
              </w:rPr>
              <w:t xml:space="preserve">55,7</w:t>
            </w:r>
          </w:p>
        </w:tc>
        <w:tc>
          <w:tcPr>
            <w:tcW w:w="1258" w:type="dxa"/>
            <w:vAlign w:val="center"/>
            <w:tcBorders>
              <w:top w:val="nil"/>
              <w:left w:val="nil"/>
              <w:bottom w:val="nil"/>
              <w:right w:val="nil"/>
            </w:tcBorders>
          </w:tcPr>
          <w:p>
            <w:pPr>
              <w:pStyle w:val="0"/>
              <w:jc w:val="center"/>
            </w:pPr>
            <w:r>
              <w:rPr>
                <w:sz w:val="20"/>
              </w:rPr>
              <w:t xml:space="preserve">49,8</w:t>
            </w:r>
          </w:p>
        </w:tc>
      </w:tr>
      <w:tr>
        <w:tc>
          <w:tcPr>
            <w:tcW w:w="2834" w:type="dxa"/>
            <w:vAlign w:val="center"/>
            <w:tcBorders>
              <w:top w:val="nil"/>
              <w:left w:val="nil"/>
              <w:bottom w:val="nil"/>
              <w:right w:val="nil"/>
            </w:tcBorders>
          </w:tcPr>
          <w:p>
            <w:pPr>
              <w:pStyle w:val="0"/>
            </w:pPr>
            <w:r>
              <w:rPr>
                <w:sz w:val="20"/>
              </w:rPr>
              <w:t xml:space="preserve">МСП и предпринимательство</w:t>
            </w:r>
          </w:p>
        </w:tc>
        <w:tc>
          <w:tcPr>
            <w:tcW w:w="1247" w:type="dxa"/>
            <w:vAlign w:val="center"/>
            <w:tcBorders>
              <w:top w:val="nil"/>
              <w:left w:val="nil"/>
              <w:bottom w:val="nil"/>
              <w:right w:val="nil"/>
            </w:tcBorders>
          </w:tcPr>
          <w:p>
            <w:pPr>
              <w:pStyle w:val="0"/>
              <w:jc w:val="center"/>
            </w:pPr>
            <w:r>
              <w:rPr>
                <w:sz w:val="20"/>
              </w:rPr>
              <w:t xml:space="preserve">61,7</w:t>
            </w:r>
          </w:p>
        </w:tc>
        <w:tc>
          <w:tcPr>
            <w:tcW w:w="1238" w:type="dxa"/>
            <w:vAlign w:val="center"/>
            <w:tcBorders>
              <w:top w:val="nil"/>
              <w:left w:val="nil"/>
              <w:bottom w:val="nil"/>
              <w:right w:val="nil"/>
            </w:tcBorders>
          </w:tcPr>
          <w:p>
            <w:pPr>
              <w:pStyle w:val="0"/>
              <w:jc w:val="center"/>
            </w:pPr>
            <w:r>
              <w:rPr>
                <w:sz w:val="20"/>
              </w:rPr>
              <w:t xml:space="preserve">62,7</w:t>
            </w:r>
          </w:p>
        </w:tc>
        <w:tc>
          <w:tcPr>
            <w:tcW w:w="1238" w:type="dxa"/>
            <w:vAlign w:val="center"/>
            <w:tcBorders>
              <w:top w:val="nil"/>
              <w:left w:val="nil"/>
              <w:bottom w:val="nil"/>
              <w:right w:val="nil"/>
            </w:tcBorders>
          </w:tcPr>
          <w:p>
            <w:pPr>
              <w:pStyle w:val="0"/>
              <w:jc w:val="center"/>
            </w:pPr>
            <w:r>
              <w:rPr>
                <w:sz w:val="20"/>
              </w:rPr>
              <w:t xml:space="preserve">76,3</w:t>
            </w:r>
          </w:p>
        </w:tc>
        <w:tc>
          <w:tcPr>
            <w:tcW w:w="1234" w:type="dxa"/>
            <w:vAlign w:val="center"/>
            <w:tcBorders>
              <w:top w:val="nil"/>
              <w:left w:val="nil"/>
              <w:bottom w:val="nil"/>
              <w:right w:val="nil"/>
            </w:tcBorders>
          </w:tcPr>
          <w:p>
            <w:pPr>
              <w:pStyle w:val="0"/>
              <w:jc w:val="center"/>
            </w:pPr>
            <w:r>
              <w:rPr>
                <w:sz w:val="20"/>
              </w:rPr>
              <w:t xml:space="preserve">82,3</w:t>
            </w:r>
          </w:p>
        </w:tc>
        <w:tc>
          <w:tcPr>
            <w:tcW w:w="1258" w:type="dxa"/>
            <w:vAlign w:val="center"/>
            <w:tcBorders>
              <w:top w:val="nil"/>
              <w:left w:val="nil"/>
              <w:bottom w:val="nil"/>
              <w:right w:val="nil"/>
            </w:tcBorders>
          </w:tcPr>
          <w:p>
            <w:pPr>
              <w:pStyle w:val="0"/>
              <w:jc w:val="center"/>
            </w:pPr>
            <w:r>
              <w:rPr>
                <w:sz w:val="20"/>
              </w:rPr>
              <w:t xml:space="preserve">67,8</w:t>
            </w:r>
          </w:p>
        </w:tc>
      </w:tr>
      <w:tr>
        <w:tc>
          <w:tcPr>
            <w:tcW w:w="2834" w:type="dxa"/>
            <w:vAlign w:val="center"/>
            <w:tcBorders>
              <w:top w:val="nil"/>
              <w:left w:val="nil"/>
              <w:bottom w:val="nil"/>
              <w:right w:val="nil"/>
            </w:tcBorders>
          </w:tcPr>
          <w:p>
            <w:pPr>
              <w:pStyle w:val="0"/>
            </w:pPr>
            <w:r>
              <w:rPr>
                <w:sz w:val="20"/>
              </w:rPr>
              <w:t xml:space="preserve">Международная кооперация и экспорт</w:t>
            </w:r>
          </w:p>
        </w:tc>
        <w:tc>
          <w:tcPr>
            <w:tcW w:w="1247" w:type="dxa"/>
            <w:vAlign w:val="center"/>
            <w:tcBorders>
              <w:top w:val="nil"/>
              <w:left w:val="nil"/>
              <w:bottom w:val="nil"/>
              <w:right w:val="nil"/>
            </w:tcBorders>
          </w:tcPr>
          <w:p>
            <w:pPr>
              <w:pStyle w:val="0"/>
              <w:jc w:val="center"/>
            </w:pPr>
            <w:r>
              <w:rPr>
                <w:sz w:val="20"/>
              </w:rPr>
              <w:t xml:space="preserve">70,4</w:t>
            </w:r>
          </w:p>
        </w:tc>
        <w:tc>
          <w:tcPr>
            <w:tcW w:w="1238" w:type="dxa"/>
            <w:vAlign w:val="center"/>
            <w:tcBorders>
              <w:top w:val="nil"/>
              <w:left w:val="nil"/>
              <w:bottom w:val="nil"/>
              <w:right w:val="nil"/>
            </w:tcBorders>
          </w:tcPr>
          <w:p>
            <w:pPr>
              <w:pStyle w:val="0"/>
              <w:jc w:val="center"/>
            </w:pPr>
            <w:r>
              <w:rPr>
                <w:sz w:val="20"/>
              </w:rPr>
              <w:t xml:space="preserve">124,0</w:t>
            </w:r>
          </w:p>
        </w:tc>
        <w:tc>
          <w:tcPr>
            <w:tcW w:w="1238" w:type="dxa"/>
            <w:vAlign w:val="center"/>
            <w:tcBorders>
              <w:top w:val="nil"/>
              <w:left w:val="nil"/>
              <w:bottom w:val="nil"/>
              <w:right w:val="nil"/>
            </w:tcBorders>
          </w:tcPr>
          <w:p>
            <w:pPr>
              <w:pStyle w:val="0"/>
              <w:jc w:val="center"/>
            </w:pPr>
            <w:r>
              <w:rPr>
                <w:sz w:val="20"/>
              </w:rPr>
              <w:t xml:space="preserve">127,6</w:t>
            </w:r>
          </w:p>
        </w:tc>
        <w:tc>
          <w:tcPr>
            <w:tcW w:w="1234" w:type="dxa"/>
            <w:vAlign w:val="center"/>
            <w:tcBorders>
              <w:top w:val="nil"/>
              <w:left w:val="nil"/>
              <w:bottom w:val="nil"/>
              <w:right w:val="nil"/>
            </w:tcBorders>
          </w:tcPr>
          <w:p>
            <w:pPr>
              <w:pStyle w:val="0"/>
              <w:jc w:val="center"/>
            </w:pPr>
            <w:r>
              <w:rPr>
                <w:sz w:val="20"/>
              </w:rPr>
              <w:t xml:space="preserve">135,2</w:t>
            </w:r>
          </w:p>
        </w:tc>
        <w:tc>
          <w:tcPr>
            <w:tcW w:w="1258" w:type="dxa"/>
            <w:vAlign w:val="center"/>
            <w:tcBorders>
              <w:top w:val="nil"/>
              <w:left w:val="nil"/>
              <w:bottom w:val="nil"/>
              <w:right w:val="nil"/>
            </w:tcBorders>
          </w:tcPr>
          <w:p>
            <w:pPr>
              <w:pStyle w:val="0"/>
              <w:jc w:val="center"/>
            </w:pPr>
            <w:r>
              <w:rPr>
                <w:sz w:val="20"/>
              </w:rPr>
              <w:t xml:space="preserve">135,3</w:t>
            </w:r>
          </w:p>
        </w:tc>
      </w:tr>
      <w:tr>
        <w:tc>
          <w:tcPr>
            <w:tcW w:w="2834" w:type="dxa"/>
            <w:vAlign w:val="center"/>
            <w:tcBorders>
              <w:top w:val="nil"/>
              <w:left w:val="nil"/>
              <w:bottom w:val="nil"/>
              <w:right w:val="nil"/>
            </w:tcBorders>
          </w:tcPr>
          <w:p>
            <w:pPr>
              <w:pStyle w:val="0"/>
            </w:pPr>
            <w:r>
              <w:rPr>
                <w:sz w:val="20"/>
              </w:rPr>
              <w:t xml:space="preserve">Туризм и индустрия гостеприимства</w:t>
            </w:r>
          </w:p>
        </w:tc>
        <w:tc>
          <w:tcPr>
            <w:tcW w:w="1247" w:type="dxa"/>
            <w:vAlign w:val="center"/>
            <w:tcBorders>
              <w:top w:val="nil"/>
              <w:left w:val="nil"/>
              <w:bottom w:val="nil"/>
              <w:right w:val="nil"/>
            </w:tcBorders>
          </w:tcPr>
          <w:p>
            <w:pPr>
              <w:pStyle w:val="0"/>
              <w:jc w:val="center"/>
            </w:pPr>
            <w:r>
              <w:rPr>
                <w:sz w:val="20"/>
              </w:rPr>
              <w:t xml:space="preserve">-</w:t>
            </w:r>
          </w:p>
        </w:tc>
        <w:tc>
          <w:tcPr>
            <w:tcW w:w="1238" w:type="dxa"/>
            <w:vAlign w:val="center"/>
            <w:tcBorders>
              <w:top w:val="nil"/>
              <w:left w:val="nil"/>
              <w:bottom w:val="nil"/>
              <w:right w:val="nil"/>
            </w:tcBorders>
          </w:tcPr>
          <w:p>
            <w:pPr>
              <w:pStyle w:val="0"/>
              <w:jc w:val="center"/>
            </w:pPr>
            <w:r>
              <w:rPr>
                <w:sz w:val="20"/>
              </w:rPr>
              <w:t xml:space="preserve">38,3</w:t>
            </w:r>
          </w:p>
        </w:tc>
        <w:tc>
          <w:tcPr>
            <w:tcW w:w="1238" w:type="dxa"/>
            <w:vAlign w:val="center"/>
            <w:tcBorders>
              <w:top w:val="nil"/>
              <w:left w:val="nil"/>
              <w:bottom w:val="nil"/>
              <w:right w:val="nil"/>
            </w:tcBorders>
          </w:tcPr>
          <w:p>
            <w:pPr>
              <w:pStyle w:val="0"/>
              <w:jc w:val="center"/>
            </w:pPr>
            <w:r>
              <w:rPr>
                <w:sz w:val="20"/>
              </w:rPr>
              <w:t xml:space="preserve">63,7</w:t>
            </w:r>
          </w:p>
        </w:tc>
        <w:tc>
          <w:tcPr>
            <w:tcW w:w="1234" w:type="dxa"/>
            <w:vAlign w:val="center"/>
            <w:tcBorders>
              <w:top w:val="nil"/>
              <w:left w:val="nil"/>
              <w:bottom w:val="nil"/>
              <w:right w:val="nil"/>
            </w:tcBorders>
          </w:tcPr>
          <w:p>
            <w:pPr>
              <w:pStyle w:val="0"/>
              <w:jc w:val="center"/>
            </w:pPr>
            <w:r>
              <w:rPr>
                <w:sz w:val="20"/>
              </w:rPr>
              <w:t xml:space="preserve">51,0</w:t>
            </w:r>
          </w:p>
        </w:tc>
        <w:tc>
          <w:tcPr>
            <w:tcW w:w="1258" w:type="dxa"/>
            <w:vAlign w:val="center"/>
            <w:tcBorders>
              <w:top w:val="nil"/>
              <w:left w:val="nil"/>
              <w:bottom w:val="nil"/>
              <w:right w:val="nil"/>
            </w:tcBorders>
          </w:tcPr>
          <w:p>
            <w:pPr>
              <w:pStyle w:val="0"/>
              <w:jc w:val="center"/>
            </w:pPr>
            <w:r>
              <w:rPr>
                <w:sz w:val="20"/>
              </w:rPr>
              <w:t xml:space="preserve">43,3</w:t>
            </w:r>
          </w:p>
        </w:tc>
      </w:tr>
      <w:tr>
        <w:tc>
          <w:tcPr>
            <w:tcW w:w="2834" w:type="dxa"/>
            <w:vAlign w:val="center"/>
            <w:tcBorders>
              <w:top w:val="nil"/>
              <w:left w:val="nil"/>
              <w:bottom w:val="single" w:sz="4"/>
              <w:right w:val="nil"/>
            </w:tcBorders>
          </w:tcPr>
          <w:p>
            <w:pPr>
              <w:pStyle w:val="0"/>
            </w:pPr>
            <w:r>
              <w:rPr>
                <w:sz w:val="20"/>
              </w:rPr>
              <w:t xml:space="preserve">Беспилотные авиационные системы</w:t>
            </w:r>
          </w:p>
        </w:tc>
        <w:tc>
          <w:tcPr>
            <w:tcW w:w="1247" w:type="dxa"/>
            <w:vAlign w:val="center"/>
            <w:tcBorders>
              <w:top w:val="nil"/>
              <w:left w:val="nil"/>
              <w:bottom w:val="single" w:sz="4"/>
              <w:right w:val="nil"/>
            </w:tcBorders>
          </w:tcPr>
          <w:p>
            <w:pPr>
              <w:pStyle w:val="0"/>
              <w:jc w:val="center"/>
            </w:pPr>
            <w:r>
              <w:rPr>
                <w:sz w:val="20"/>
              </w:rPr>
              <w:t xml:space="preserve">-</w:t>
            </w:r>
          </w:p>
        </w:tc>
        <w:tc>
          <w:tcPr>
            <w:tcW w:w="1238" w:type="dxa"/>
            <w:vAlign w:val="center"/>
            <w:tcBorders>
              <w:top w:val="nil"/>
              <w:left w:val="nil"/>
              <w:bottom w:val="single" w:sz="4"/>
              <w:right w:val="nil"/>
            </w:tcBorders>
          </w:tcPr>
          <w:p>
            <w:pPr>
              <w:pStyle w:val="0"/>
              <w:jc w:val="center"/>
            </w:pPr>
            <w:r>
              <w:rPr>
                <w:sz w:val="20"/>
              </w:rPr>
              <w:t xml:space="preserve">-</w:t>
            </w:r>
          </w:p>
        </w:tc>
        <w:tc>
          <w:tcPr>
            <w:tcW w:w="1238" w:type="dxa"/>
            <w:vAlign w:val="center"/>
            <w:tcBorders>
              <w:top w:val="nil"/>
              <w:left w:val="nil"/>
              <w:bottom w:val="single" w:sz="4"/>
              <w:right w:val="nil"/>
            </w:tcBorders>
          </w:tcPr>
          <w:p>
            <w:pPr>
              <w:pStyle w:val="0"/>
              <w:jc w:val="center"/>
            </w:pPr>
            <w:r>
              <w:rPr>
                <w:sz w:val="20"/>
              </w:rPr>
              <w:t xml:space="preserve">-</w:t>
            </w:r>
          </w:p>
        </w:tc>
        <w:tc>
          <w:tcPr>
            <w:tcW w:w="1234" w:type="dxa"/>
            <w:vAlign w:val="center"/>
            <w:tcBorders>
              <w:top w:val="nil"/>
              <w:left w:val="nil"/>
              <w:bottom w:val="single" w:sz="4"/>
              <w:right w:val="nil"/>
            </w:tcBorders>
          </w:tcPr>
          <w:p>
            <w:pPr>
              <w:pStyle w:val="0"/>
              <w:jc w:val="center"/>
            </w:pPr>
            <w:r>
              <w:rPr>
                <w:sz w:val="20"/>
              </w:rPr>
              <w:t xml:space="preserve">-</w:t>
            </w:r>
          </w:p>
        </w:tc>
        <w:tc>
          <w:tcPr>
            <w:tcW w:w="1258" w:type="dxa"/>
            <w:vAlign w:val="center"/>
            <w:tcBorders>
              <w:top w:val="nil"/>
              <w:left w:val="nil"/>
              <w:bottom w:val="single" w:sz="4"/>
              <w:right w:val="nil"/>
            </w:tcBorders>
          </w:tcPr>
          <w:p>
            <w:pPr>
              <w:pStyle w:val="0"/>
              <w:jc w:val="center"/>
            </w:pPr>
            <w:r>
              <w:rPr>
                <w:sz w:val="20"/>
              </w:rPr>
              <w:t xml:space="preserve">45,5 </w:t>
            </w:r>
            <w:hyperlink w:history="0" w:anchor="P896" w:tooltip="&lt;**&gt; В соответствии с указанием Президента Российской Федерации с 2024 года начинается реализация национального проекта &quot;Беспилотные авиационные системы&quot;, финансовое обеспечение которого составит в 2025 году - 9,6 млрд рублей, в 2026 году - 8,8 млрд рублей.">
              <w:r>
                <w:rPr>
                  <w:sz w:val="20"/>
                  <w:color w:val="0000ff"/>
                </w:rPr>
                <w:t xml:space="preserve">&lt;**&gt;</w:t>
              </w:r>
            </w:hyperlink>
          </w:p>
        </w:tc>
      </w:tr>
    </w:tbl>
    <w:p>
      <w:pPr>
        <w:pStyle w:val="0"/>
        <w:jc w:val="both"/>
      </w:pPr>
      <w:r>
        <w:rPr>
          <w:sz w:val="20"/>
        </w:rPr>
      </w:r>
    </w:p>
    <w:p>
      <w:pPr>
        <w:pStyle w:val="0"/>
        <w:ind w:firstLine="540"/>
        <w:jc w:val="both"/>
      </w:pPr>
      <w:r>
        <w:rPr>
          <w:sz w:val="20"/>
        </w:rPr>
        <w:t xml:space="preserve">--------------------------------</w:t>
      </w:r>
    </w:p>
    <w:bookmarkStart w:id="895" w:name="P895"/>
    <w:bookmarkEnd w:id="895"/>
    <w:p>
      <w:pPr>
        <w:pStyle w:val="0"/>
        <w:spacing w:before="200" w:line-rule="auto"/>
        <w:ind w:firstLine="540"/>
        <w:jc w:val="both"/>
      </w:pPr>
      <w:r>
        <w:rPr>
          <w:sz w:val="20"/>
        </w:rPr>
        <w:t xml:space="preserve">&lt;*&gt; Сводная бюджетная роспись по состоянию на 01.09.2023 года.</w:t>
      </w:r>
    </w:p>
    <w:bookmarkStart w:id="896" w:name="P896"/>
    <w:bookmarkEnd w:id="896"/>
    <w:p>
      <w:pPr>
        <w:pStyle w:val="0"/>
        <w:spacing w:before="200" w:line-rule="auto"/>
        <w:ind w:firstLine="540"/>
        <w:jc w:val="both"/>
      </w:pPr>
      <w:r>
        <w:rPr>
          <w:sz w:val="20"/>
        </w:rPr>
        <w:t xml:space="preserve">&lt;**&gt; В соответствии с указанием Президента Российской Федерации с 2024 года начинается реализация национального проекта "Беспилотные авиационные системы", финансовое обеспечение которого составит в 2025 году - 9,6 млрд рублей, в 2026 году - 8,8 млрд рублей.</w:t>
      </w:r>
    </w:p>
    <w:p>
      <w:pPr>
        <w:pStyle w:val="0"/>
        <w:jc w:val="both"/>
      </w:pPr>
      <w:r>
        <w:rPr>
          <w:sz w:val="20"/>
        </w:rPr>
      </w:r>
    </w:p>
    <w:p>
      <w:pPr>
        <w:pStyle w:val="0"/>
        <w:ind w:firstLine="540"/>
        <w:jc w:val="both"/>
      </w:pPr>
      <w:r>
        <w:rPr>
          <w:sz w:val="20"/>
        </w:rPr>
        <w:t xml:space="preserve">Важным инструментом достижения национальных целей развития также будут являться инициативы социально-экономического развития Российской Федерации. Инициативы социально-экономического развития дополняют ранее реализуемые механизмы достижения национальных целей, в целях интенсификации развития социальной сферы и повышения устойчивости российской экономики к внешним вызовам. Инициативы распределены по шести направлениям: социальная сфера, строительство, экология, цифровая трансформация, технологический рывок и государство для граждан. Объемы бюджетных ассигнований на 2024 - 2026 гг. на реализацию каждого направления будут распределены, в том числе с учетом параметров, утвержденных в паспортах соответствующих проектов. Общий планируемый объем бюджетных ассигнований на их реализацию в 2023 - 2026 гг. составляет более 1,0 трлн рублей (в 2023 г. - 318,0 млрд рублей, в 2024 г. - 300,1 млрд рублей, в 2025 г. - 244,7 млрд рублей, в 2026 г. - 250,4 млрд рублей).</w:t>
      </w:r>
    </w:p>
    <w:p>
      <w:pPr>
        <w:pStyle w:val="0"/>
        <w:spacing w:before="200" w:line-rule="auto"/>
        <w:ind w:firstLine="540"/>
        <w:jc w:val="both"/>
      </w:pPr>
      <w:r>
        <w:rPr>
          <w:sz w:val="20"/>
        </w:rPr>
        <w:t xml:space="preserve">Значительные ресурсы будут предусмотрены на восстановление новых субъектов Российской Федерации и укрепление национальной обороны.</w:t>
      </w:r>
    </w:p>
    <w:p>
      <w:pPr>
        <w:pStyle w:val="0"/>
        <w:spacing w:before="200" w:line-rule="auto"/>
        <w:ind w:firstLine="540"/>
        <w:jc w:val="both"/>
      </w:pPr>
      <w:r>
        <w:rPr>
          <w:sz w:val="20"/>
        </w:rPr>
        <w:t xml:space="preserve">Далее представлены основные меры бюджетной и налоговой политики, направленные на достижение национальных целей развития.</w:t>
      </w:r>
    </w:p>
    <w:p>
      <w:pPr>
        <w:pStyle w:val="0"/>
        <w:jc w:val="both"/>
      </w:pPr>
      <w:r>
        <w:rPr>
          <w:sz w:val="20"/>
        </w:rPr>
      </w:r>
    </w:p>
    <w:p>
      <w:pPr>
        <w:pStyle w:val="2"/>
        <w:outlineLvl w:val="3"/>
        <w:ind w:firstLine="540"/>
        <w:jc w:val="both"/>
      </w:pPr>
      <w:r>
        <w:rPr>
          <w:sz w:val="20"/>
        </w:rPr>
        <w:t xml:space="preserve">НАЦИОНАЛЬНЫЕ ЦЕЛИ РАЗВИТИЯ</w:t>
      </w:r>
    </w:p>
    <w:p>
      <w:pPr>
        <w:pStyle w:val="0"/>
        <w:jc w:val="both"/>
      </w:pPr>
      <w:r>
        <w:rPr>
          <w:sz w:val="20"/>
        </w:rPr>
      </w:r>
    </w:p>
    <w:p>
      <w:pPr>
        <w:pStyle w:val="2"/>
        <w:outlineLvl w:val="4"/>
        <w:ind w:firstLine="540"/>
        <w:jc w:val="both"/>
      </w:pPr>
      <w:r>
        <w:rPr>
          <w:sz w:val="20"/>
        </w:rPr>
        <w:t xml:space="preserve">I. Достойный, эффективный труд и успешное предпринимательство</w:t>
      </w:r>
    </w:p>
    <w:p>
      <w:pPr>
        <w:pStyle w:val="0"/>
        <w:jc w:val="both"/>
      </w:pPr>
      <w:r>
        <w:rPr>
          <w:sz w:val="20"/>
        </w:rPr>
      </w:r>
    </w:p>
    <w:p>
      <w:pPr>
        <w:pStyle w:val="2"/>
        <w:outlineLvl w:val="5"/>
        <w:ind w:firstLine="540"/>
        <w:jc w:val="both"/>
      </w:pPr>
      <w:r>
        <w:rPr>
          <w:sz w:val="20"/>
        </w:rPr>
        <w:t xml:space="preserve">1. Системные меры повышения инвестиционной активности</w:t>
      </w:r>
    </w:p>
    <w:p>
      <w:pPr>
        <w:pStyle w:val="0"/>
        <w:spacing w:before="200" w:line-rule="auto"/>
        <w:ind w:firstLine="540"/>
        <w:jc w:val="both"/>
      </w:pPr>
      <w:r>
        <w:rPr>
          <w:sz w:val="20"/>
        </w:rPr>
        <w:t xml:space="preserve">Достижению целевого уровня роста инвестиций в основной капитал будет способствовать реализация широкого спектра мер бюджетно-налоговой политики.</w:t>
      </w:r>
    </w:p>
    <w:p>
      <w:pPr>
        <w:pStyle w:val="0"/>
        <w:spacing w:before="200" w:line-rule="auto"/>
        <w:ind w:firstLine="540"/>
        <w:jc w:val="both"/>
      </w:pPr>
      <w:r>
        <w:rPr>
          <w:sz w:val="20"/>
        </w:rPr>
        <w:t xml:space="preserve">Стимулирующие налоговые и финансовые меры, в том числе:</w:t>
      </w:r>
    </w:p>
    <w:p>
      <w:pPr>
        <w:pStyle w:val="0"/>
        <w:spacing w:before="200" w:line-rule="auto"/>
        <w:ind w:firstLine="540"/>
        <w:jc w:val="both"/>
      </w:pPr>
      <w:r>
        <w:rPr>
          <w:sz w:val="20"/>
        </w:rPr>
        <w:t xml:space="preserve">- создание справедливых конкурентных условий и улучшение условий ведения бизнеса за счет улучшения администрирования доходов и внедрения новых информационных технологий:</w:t>
      </w:r>
    </w:p>
    <w:p>
      <w:pPr>
        <w:pStyle w:val="0"/>
        <w:spacing w:before="200" w:line-rule="auto"/>
        <w:ind w:firstLine="540"/>
        <w:jc w:val="both"/>
      </w:pPr>
      <w:r>
        <w:rPr>
          <w:sz w:val="20"/>
        </w:rPr>
        <w:t xml:space="preserve">- расширение круга потенциальных участников налогового мониторинга путем сокращения "пороговых" требований к ним (в части суммы уплаченных ими налогов - со 100 млн рублей до 80 млн рублей, полученных ими доходов - с 1 млрд рублей до 800 млн рублей и величине их активов - с 1 млрд рублей до 800 млн рублей);</w:t>
      </w:r>
    </w:p>
    <w:p>
      <w:pPr>
        <w:pStyle w:val="0"/>
        <w:spacing w:before="200" w:line-rule="auto"/>
        <w:ind w:firstLine="540"/>
        <w:jc w:val="both"/>
      </w:pPr>
      <w:r>
        <w:rPr>
          <w:sz w:val="20"/>
        </w:rPr>
        <w:t xml:space="preserve">- совершенствование порядка постановки на учет и снятия с учета в налоговом органе - внедрение единого унифицированного подтверждающего документа;</w:t>
      </w:r>
    </w:p>
    <w:p>
      <w:pPr>
        <w:pStyle w:val="0"/>
        <w:spacing w:before="200" w:line-rule="auto"/>
        <w:ind w:firstLine="540"/>
        <w:jc w:val="both"/>
      </w:pPr>
      <w:r>
        <w:rPr>
          <w:sz w:val="20"/>
        </w:rPr>
        <w:t xml:space="preserve">- установление однократного представления упрошенной налоговой декларации и отмена обязанности ее представления в случае отсутствия движения денежных средств на счетах в банках (в кассе организации), и в случае отсутствия объектов налогообложения по налогам, по которым представляется эта упрощенная налоговая декларация (для снижения административной нагрузки);</w:t>
      </w:r>
    </w:p>
    <w:p>
      <w:pPr>
        <w:pStyle w:val="0"/>
        <w:spacing w:before="200" w:line-rule="auto"/>
        <w:ind w:firstLine="540"/>
        <w:jc w:val="both"/>
      </w:pPr>
      <w:r>
        <w:rPr>
          <w:sz w:val="20"/>
        </w:rPr>
        <w:t xml:space="preserve">- совершенствования электронного документооборота между налоговым органом и налогоплательщиком (установление шестидневного срока, по истечении которого документ, направленный налоговым органом налогоплательщику в электронной форме по телекоммуникационным каналам связи через оператора электронного документооборота, считается полученным налогоплательщиком);</w:t>
      </w:r>
    </w:p>
    <w:p>
      <w:pPr>
        <w:pStyle w:val="0"/>
        <w:spacing w:before="200" w:line-rule="auto"/>
        <w:ind w:firstLine="540"/>
        <w:jc w:val="both"/>
      </w:pPr>
      <w:r>
        <w:rPr>
          <w:sz w:val="20"/>
        </w:rPr>
        <w:t xml:space="preserve">- совершенствование института единого налогового счета (в том числе предоставление возможности наследникам права распоряжаться суммой денежных средств положительного сальдо умершего налогоплательщика);</w:t>
      </w:r>
    </w:p>
    <w:p>
      <w:pPr>
        <w:pStyle w:val="0"/>
        <w:spacing w:before="200" w:line-rule="auto"/>
        <w:ind w:firstLine="540"/>
        <w:jc w:val="both"/>
      </w:pPr>
      <w:r>
        <w:rPr>
          <w:sz w:val="20"/>
        </w:rPr>
        <w:t xml:space="preserve">- разработка механизма контроля полноты уплаты акциза на табачную и никотинсодержащую продукцию на основании данных о ее маркировке средствами идентификации, а также отказ от маркировки табачной продукции специальными (федеральными) и акцизными марками;</w:t>
      </w:r>
    </w:p>
    <w:p>
      <w:pPr>
        <w:pStyle w:val="0"/>
        <w:spacing w:before="200" w:line-rule="auto"/>
        <w:ind w:firstLine="540"/>
        <w:jc w:val="both"/>
      </w:pPr>
      <w:r>
        <w:rPr>
          <w:sz w:val="20"/>
        </w:rPr>
        <w:t xml:space="preserve">- предоставление права на инвестиционный налоговый вычет при исполнении соглашений о реализации инвестиционных проектов, направленных на укрепление технологического суверенитета Российской Федерации (в первую очередь, в субъектах РФ с низким уровнем бюджетной обеспеченности) за счет предоставления субъектам РФ долгосрочных бюджетных кредитов на льготных условиях (в целях компенсации недополученных доходов в связи с применением инвестиционного вычета);</w:t>
      </w:r>
    </w:p>
    <w:p>
      <w:pPr>
        <w:pStyle w:val="0"/>
        <w:spacing w:before="200" w:line-rule="auto"/>
        <w:ind w:firstLine="540"/>
        <w:jc w:val="both"/>
      </w:pPr>
      <w:r>
        <w:rPr>
          <w:sz w:val="20"/>
        </w:rPr>
        <w:t xml:space="preserve">- разработка и внедрение механизма предоставления хозяйствующим субъектам поручительств, обеспечивающих исполнение до 50% объема обязательств заемщика по кредиту, выданному на реализацию проектов по укреплению технологического суверенитета Российской Федерации в рамках </w:t>
      </w:r>
      <w:hyperlink w:history="0" r:id="rId26" w:tooltip="Постановление Правительства РФ от 15.02.2018 N 158 (ред. от 12.04.2024) &quot;О программе &quot;Фабрика проектного финансирования&quot; (вместе с &quot;Правилами предоставления субсидий из федерального бюджета в виде имущественного взноса Российской Федерации в государственную корпорацию развития &quot;ВЭБ.РФ&quot; на возмещение расходов в связи с предоставлением кредитов и займов в рамках реализации механизма &quot;фабрики&quot; проектного финансирования&quot;, &quot;Правилами предоставления поручительств по проектам технологического суверенитета и проект {КонсультантПлюс}">
        <w:r>
          <w:rPr>
            <w:sz w:val="20"/>
            <w:color w:val="0000ff"/>
          </w:rPr>
          <w:t xml:space="preserve">программы</w:t>
        </w:r>
      </w:hyperlink>
      <w:r>
        <w:rPr>
          <w:sz w:val="20"/>
        </w:rPr>
        <w:t xml:space="preserve"> "Фабрика проектного финансирования" (при этом общая сумма обеспечиваемых "ВЭБ.РФ" обязательств по таким кредитам должна составлять не более 200 млрд рублей);</w:t>
      </w:r>
    </w:p>
    <w:p>
      <w:pPr>
        <w:pStyle w:val="0"/>
        <w:spacing w:before="200" w:line-rule="auto"/>
        <w:ind w:firstLine="540"/>
        <w:jc w:val="both"/>
      </w:pPr>
      <w:r>
        <w:rPr>
          <w:sz w:val="20"/>
        </w:rPr>
        <w:t xml:space="preserve">- проработка вопроса расширения механизма оказания поддержки НИОКР, включающего реализацию первых опытных партий продукции и затрат по ее апробации;</w:t>
      </w:r>
    </w:p>
    <w:p>
      <w:pPr>
        <w:pStyle w:val="0"/>
        <w:spacing w:before="200" w:line-rule="auto"/>
        <w:ind w:firstLine="540"/>
        <w:jc w:val="both"/>
      </w:pPr>
      <w:r>
        <w:rPr>
          <w:sz w:val="20"/>
        </w:rPr>
        <w:t xml:space="preserve">- продолжение оказания поддержки предприятиям радиоэлектронной, электронной, станкостроительной и других приоритетных отраслей промышленности:</w:t>
      </w:r>
    </w:p>
    <w:p>
      <w:pPr>
        <w:pStyle w:val="0"/>
        <w:spacing w:before="200" w:line-rule="auto"/>
        <w:ind w:firstLine="540"/>
        <w:jc w:val="both"/>
      </w:pPr>
      <w:r>
        <w:rPr>
          <w:sz w:val="20"/>
        </w:rPr>
        <w:t xml:space="preserve">- создание научно-технологического задела по разработке базовых технологий приоритетных электронных компонентов и радиоэлектронной аппаратуры;</w:t>
      </w:r>
    </w:p>
    <w:p>
      <w:pPr>
        <w:pStyle w:val="0"/>
        <w:spacing w:before="200" w:line-rule="auto"/>
        <w:ind w:firstLine="540"/>
        <w:jc w:val="both"/>
      </w:pPr>
      <w:r>
        <w:rPr>
          <w:sz w:val="20"/>
        </w:rPr>
        <w:t xml:space="preserve">- субсидирование затрат на проведение НИОКР (до 70% затрат) и ОКР в области средств производства электроники, финансирование государственного заказа в сфере НИОКР;</w:t>
      </w:r>
    </w:p>
    <w:p>
      <w:pPr>
        <w:pStyle w:val="0"/>
        <w:spacing w:before="200" w:line-rule="auto"/>
        <w:ind w:firstLine="540"/>
        <w:jc w:val="both"/>
      </w:pPr>
      <w:r>
        <w:rPr>
          <w:sz w:val="20"/>
        </w:rPr>
        <w:t xml:space="preserve">- предоставление бюджетных инвестиций (преимущественно в госсобственность) в целях создания промышленных объектов по производству радиоэлектронной продукции;</w:t>
      </w:r>
    </w:p>
    <w:p>
      <w:pPr>
        <w:pStyle w:val="0"/>
        <w:spacing w:before="200" w:line-rule="auto"/>
        <w:ind w:firstLine="540"/>
        <w:jc w:val="both"/>
      </w:pPr>
      <w:r>
        <w:rPr>
          <w:sz w:val="20"/>
        </w:rPr>
        <w:t xml:space="preserve">- создание льготных условий при предоставлении заемного финансирования в целях реализации проектов в приоритетных отраслях, а также грантовая поддержка проектов;</w:t>
      </w:r>
    </w:p>
    <w:p>
      <w:pPr>
        <w:pStyle w:val="0"/>
        <w:spacing w:before="200" w:line-rule="auto"/>
        <w:ind w:firstLine="540"/>
        <w:jc w:val="both"/>
      </w:pPr>
      <w:r>
        <w:rPr>
          <w:sz w:val="20"/>
        </w:rPr>
        <w:t xml:space="preserve">- запуск нового дополнительного механизма в рамках таксономии - инвестиционного налогового вычета для стимулирования инвестиций действующих прибыльных компаний в новые отрасли и продукты;</w:t>
      </w:r>
    </w:p>
    <w:p>
      <w:pPr>
        <w:pStyle w:val="0"/>
        <w:spacing w:before="200" w:line-rule="auto"/>
        <w:ind w:firstLine="540"/>
        <w:jc w:val="both"/>
      </w:pPr>
      <w:r>
        <w:rPr>
          <w:sz w:val="20"/>
        </w:rPr>
        <w:t xml:space="preserve">- расширение экспериментальных правовых режимов в различных сферах (медицина, транспорт, сельское хозяйство, дистанционная продажа товаров и услуг, финансовая деятельность, строительство, предоставление государственных и муниципальных услуг, осуществление государственного контроля (надзора) и муниципального контроля, промышленность, связь и иные);</w:t>
      </w:r>
    </w:p>
    <w:p>
      <w:pPr>
        <w:pStyle w:val="0"/>
        <w:spacing w:before="200" w:line-rule="auto"/>
        <w:ind w:firstLine="540"/>
        <w:jc w:val="both"/>
      </w:pPr>
      <w:r>
        <w:rPr>
          <w:sz w:val="20"/>
        </w:rPr>
        <w:t xml:space="preserve">- развитие законодательства в сфере венчурного инвестирования, а также увеличение числа участников венчурных проектов;</w:t>
      </w:r>
    </w:p>
    <w:p>
      <w:pPr>
        <w:pStyle w:val="0"/>
        <w:spacing w:before="200" w:line-rule="auto"/>
        <w:ind w:firstLine="540"/>
        <w:jc w:val="both"/>
      </w:pPr>
      <w:r>
        <w:rPr>
          <w:sz w:val="20"/>
        </w:rPr>
        <w:t xml:space="preserve">- расширение возможностей для использования обратного инжиниринга.</w:t>
      </w:r>
    </w:p>
    <w:p>
      <w:pPr>
        <w:pStyle w:val="0"/>
        <w:spacing w:before="200" w:line-rule="auto"/>
        <w:ind w:firstLine="540"/>
        <w:jc w:val="both"/>
      </w:pPr>
      <w:r>
        <w:rPr>
          <w:sz w:val="20"/>
        </w:rPr>
        <w:t xml:space="preserve">- донастройка преференциальных налоговых режимов:</w:t>
      </w:r>
    </w:p>
    <w:p>
      <w:pPr>
        <w:pStyle w:val="0"/>
        <w:spacing w:before="200" w:line-rule="auto"/>
        <w:ind w:firstLine="540"/>
        <w:jc w:val="both"/>
      </w:pPr>
      <w:r>
        <w:rPr>
          <w:sz w:val="20"/>
        </w:rPr>
        <w:t xml:space="preserve">- введение в отношении новых резидентов (участников) преференциальных налоговых режимов ограничения суммы налоговых льгот суммой фактически осуществленных расходов на капитальные вложения и (или) НИОКР;</w:t>
      </w:r>
    </w:p>
    <w:p>
      <w:pPr>
        <w:pStyle w:val="0"/>
        <w:spacing w:before="200" w:line-rule="auto"/>
        <w:ind w:firstLine="540"/>
        <w:jc w:val="both"/>
      </w:pPr>
      <w:r>
        <w:rPr>
          <w:sz w:val="20"/>
        </w:rPr>
        <w:t xml:space="preserve">- установление обязательного требования о формировании и сдаче годовой бухгалтерской (финансовой) отчетности в ФНС России в электронной форме для сохранения возможности применения налоговых льгот;</w:t>
      </w:r>
    </w:p>
    <w:p>
      <w:pPr>
        <w:pStyle w:val="0"/>
        <w:spacing w:before="200" w:line-rule="auto"/>
        <w:ind w:firstLine="540"/>
        <w:jc w:val="both"/>
      </w:pPr>
      <w:r>
        <w:rPr>
          <w:sz w:val="20"/>
        </w:rPr>
        <w:t xml:space="preserve">- установление возможности применения резидентами (участниками) преференциальных налоговых режимов налоговых льгот только при выполнении ими "контролируемых показателей";</w:t>
      </w:r>
    </w:p>
    <w:p>
      <w:pPr>
        <w:pStyle w:val="0"/>
        <w:spacing w:before="200" w:line-rule="auto"/>
        <w:ind w:firstLine="540"/>
        <w:jc w:val="both"/>
      </w:pPr>
      <w:r>
        <w:rPr>
          <w:sz w:val="20"/>
        </w:rPr>
        <w:t xml:space="preserve">- предоставление мер налоговой поддержки во взаимоувязке с инвестиционной активностью налогоплательщиков;</w:t>
      </w:r>
    </w:p>
    <w:p>
      <w:pPr>
        <w:pStyle w:val="0"/>
        <w:spacing w:before="200" w:line-rule="auto"/>
        <w:ind w:firstLine="540"/>
        <w:jc w:val="both"/>
      </w:pPr>
      <w:r>
        <w:rPr>
          <w:sz w:val="20"/>
        </w:rPr>
        <w:t xml:space="preserve">- развитие международного налогообложения:</w:t>
      </w:r>
    </w:p>
    <w:p>
      <w:pPr>
        <w:pStyle w:val="0"/>
        <w:spacing w:before="200" w:line-rule="auto"/>
        <w:ind w:firstLine="540"/>
        <w:jc w:val="both"/>
      </w:pPr>
      <w:r>
        <w:rPr>
          <w:sz w:val="20"/>
        </w:rPr>
        <w:t xml:space="preserve">- продолжение работы по внесению изменений в соглашения об избежание двойного налогообложения в целях борьбы с уклонением от налогообложения посредством использования "транзитных юрисдикций";</w:t>
      </w:r>
    </w:p>
    <w:p>
      <w:pPr>
        <w:pStyle w:val="0"/>
        <w:spacing w:before="200" w:line-rule="auto"/>
        <w:ind w:firstLine="540"/>
        <w:jc w:val="both"/>
      </w:pPr>
      <w:r>
        <w:rPr>
          <w:sz w:val="20"/>
        </w:rPr>
        <w:t xml:space="preserve">- обеспечение ускоренного перевода активов бизнеса (прежде всего в ключевых секторах и отраслях экономики) в российскую юрисдикцию, в том числе за счет возможности регистрации иностранных компаний в САР (в тех случаях, когда возможность их перерегистрации блокируется или не предусмотрена законодательством иностранного государства, в котором такая компания зарегистрирована);</w:t>
      </w:r>
    </w:p>
    <w:p>
      <w:pPr>
        <w:pStyle w:val="0"/>
        <w:spacing w:before="200" w:line-rule="auto"/>
        <w:ind w:firstLine="540"/>
        <w:jc w:val="both"/>
      </w:pPr>
      <w:r>
        <w:rPr>
          <w:sz w:val="20"/>
        </w:rPr>
        <w:t xml:space="preserve">- направление на возвратной основе средств ФНБ на финансирование инфраструктурных проектов.</w:t>
      </w:r>
    </w:p>
    <w:p>
      <w:pPr>
        <w:pStyle w:val="0"/>
        <w:jc w:val="both"/>
      </w:pPr>
      <w:r>
        <w:rPr>
          <w:sz w:val="20"/>
        </w:rPr>
      </w:r>
    </w:p>
    <w:p>
      <w:pPr>
        <w:pStyle w:val="2"/>
        <w:outlineLvl w:val="5"/>
        <w:ind w:firstLine="540"/>
        <w:jc w:val="both"/>
      </w:pPr>
      <w:r>
        <w:rPr>
          <w:sz w:val="20"/>
        </w:rPr>
        <w:t xml:space="preserve">2. Поддержка субъектов малого и среднего бизнеса</w:t>
      </w:r>
    </w:p>
    <w:p>
      <w:pPr>
        <w:pStyle w:val="0"/>
        <w:spacing w:before="200" w:line-rule="auto"/>
        <w:ind w:firstLine="540"/>
        <w:jc w:val="both"/>
      </w:pPr>
      <w:r>
        <w:rPr>
          <w:sz w:val="20"/>
        </w:rPr>
        <w:t xml:space="preserve">В целях развития малого и среднего предпринимательства и поддержки индивидуальной предпринимательской инициативы предусматривается:</w:t>
      </w:r>
    </w:p>
    <w:p>
      <w:pPr>
        <w:pStyle w:val="0"/>
        <w:spacing w:before="200" w:line-rule="auto"/>
        <w:ind w:firstLine="540"/>
        <w:jc w:val="both"/>
      </w:pPr>
      <w:r>
        <w:rPr>
          <w:sz w:val="20"/>
        </w:rPr>
        <w:t xml:space="preserve">- реализация программы льготного кредитования субъектов МСП;</w:t>
      </w:r>
    </w:p>
    <w:p>
      <w:pPr>
        <w:pStyle w:val="0"/>
        <w:spacing w:before="200" w:line-rule="auto"/>
        <w:ind w:firstLine="540"/>
        <w:jc w:val="both"/>
      </w:pPr>
      <w:r>
        <w:rPr>
          <w:sz w:val="20"/>
        </w:rPr>
        <w:t xml:space="preserve">- обеспечение применения действующего механизма предоставления поручительств по кредитам, выдаваемым кредитными организациями субъектам МСП;</w:t>
      </w:r>
    </w:p>
    <w:p>
      <w:pPr>
        <w:pStyle w:val="0"/>
        <w:spacing w:before="200" w:line-rule="auto"/>
        <w:ind w:firstLine="540"/>
        <w:jc w:val="both"/>
      </w:pPr>
      <w:r>
        <w:rPr>
          <w:sz w:val="20"/>
        </w:rPr>
        <w:t xml:space="preserve">- установление особых условий налогообложения для налогоплательщиков, утративших право на применение специальных налоговых режимов в связи с превышением предельного размера дохода и (или) предельной численности работников;</w:t>
      </w:r>
    </w:p>
    <w:p>
      <w:pPr>
        <w:pStyle w:val="0"/>
        <w:spacing w:before="200" w:line-rule="auto"/>
        <w:ind w:firstLine="540"/>
        <w:jc w:val="both"/>
      </w:pPr>
      <w:r>
        <w:rPr>
          <w:sz w:val="20"/>
        </w:rPr>
        <w:t xml:space="preserve">- уточнение переходных положений в части учета в составе расходов налога на прибыль организаций стоимости товаров, приобретенных и оплаченных не ранее чем, за 3 года предшествующих году перехода с ЕСХН или УСН, но реализованных после перехода на общую систему налогообложения;</w:t>
      </w:r>
    </w:p>
    <w:p>
      <w:pPr>
        <w:pStyle w:val="0"/>
        <w:spacing w:before="200" w:line-rule="auto"/>
        <w:ind w:firstLine="540"/>
        <w:jc w:val="both"/>
      </w:pPr>
      <w:r>
        <w:rPr>
          <w:sz w:val="20"/>
        </w:rPr>
        <w:t xml:space="preserve">- совершенствование механизма предоставления государственной социальной помощи на основании социального контракта в рамках реализации мероприятий "осуществление индивидуальной предпринимательской инициативы" и "ведение личного подсобного хозяйства", а также реализация возможности безвозмездного обучения лиц, обратившихся в целях заключения социальных контрактов с использованием инфраструктуры поддержки субъектов МСП;</w:t>
      </w:r>
    </w:p>
    <w:p>
      <w:pPr>
        <w:pStyle w:val="0"/>
        <w:spacing w:before="200" w:line-rule="auto"/>
        <w:ind w:firstLine="540"/>
        <w:jc w:val="both"/>
      </w:pPr>
      <w:r>
        <w:rPr>
          <w:sz w:val="20"/>
        </w:rPr>
        <w:t xml:space="preserve">- принятие дополнительных мер, направленных на поддержку реализации и продвижение на электронных площадках (в том числе за рубежом) российских товаров (в первую очередь продукции субъектов МСП) с мониторингом эффективности таких мер;</w:t>
      </w:r>
    </w:p>
    <w:p>
      <w:pPr>
        <w:pStyle w:val="0"/>
        <w:spacing w:before="200" w:line-rule="auto"/>
        <w:ind w:firstLine="540"/>
        <w:jc w:val="both"/>
      </w:pPr>
      <w:r>
        <w:rPr>
          <w:sz w:val="20"/>
        </w:rPr>
        <w:t xml:space="preserve">- выделение дополнительных средств на финансирование программы грантовой поддержки проектов по созданию модульных некапитальных средств размещения;</w:t>
      </w:r>
    </w:p>
    <w:p>
      <w:pPr>
        <w:pStyle w:val="0"/>
        <w:spacing w:before="200" w:line-rule="auto"/>
        <w:ind w:firstLine="540"/>
        <w:jc w:val="both"/>
      </w:pPr>
      <w:r>
        <w:rPr>
          <w:sz w:val="20"/>
        </w:rPr>
        <w:t xml:space="preserve">- включение в программу льготного кредитования, направленную на развитие туристической инфраструктуры, предоставление льготных кредитов на строительство круглогодичных парков развлечений, аквапарков и горнолыжных курортов;</w:t>
      </w:r>
    </w:p>
    <w:p>
      <w:pPr>
        <w:pStyle w:val="0"/>
        <w:spacing w:before="200" w:line-rule="auto"/>
        <w:ind w:firstLine="540"/>
        <w:jc w:val="both"/>
      </w:pPr>
      <w:r>
        <w:rPr>
          <w:sz w:val="20"/>
        </w:rPr>
        <w:t xml:space="preserve">- развитие цифровых инструментов, объединенных в единую экосистему, позволяющую адресно подбирать и проактивно одобрять меры поддержки, для упрощения открытия, а также ведения бизнеса;</w:t>
      </w:r>
    </w:p>
    <w:p>
      <w:pPr>
        <w:pStyle w:val="0"/>
        <w:spacing w:before="200" w:line-rule="auto"/>
        <w:ind w:firstLine="540"/>
        <w:jc w:val="both"/>
      </w:pPr>
      <w:r>
        <w:rPr>
          <w:sz w:val="20"/>
        </w:rPr>
        <w:t xml:space="preserve">- создание системы поддержки фермеров и развитие сельской кооперации;</w:t>
      </w:r>
    </w:p>
    <w:p>
      <w:pPr>
        <w:pStyle w:val="0"/>
        <w:spacing w:before="200" w:line-rule="auto"/>
        <w:ind w:firstLine="540"/>
        <w:jc w:val="both"/>
      </w:pPr>
      <w:r>
        <w:rPr>
          <w:sz w:val="20"/>
        </w:rPr>
        <w:t xml:space="preserve">- развитие инструментов коллективного инвестирования, возмещение затрат по листингу и купонному доходу субъектам МСП;</w:t>
      </w:r>
    </w:p>
    <w:p>
      <w:pPr>
        <w:pStyle w:val="0"/>
        <w:spacing w:before="200" w:line-rule="auto"/>
        <w:ind w:firstLine="540"/>
        <w:jc w:val="both"/>
      </w:pPr>
      <w:r>
        <w:rPr>
          <w:sz w:val="20"/>
        </w:rPr>
        <w:t xml:space="preserve">- поддержка производства инновационной продукции, осуществления научно-исследовательских и опытно-конструкторских работ;</w:t>
      </w:r>
    </w:p>
    <w:p>
      <w:pPr>
        <w:pStyle w:val="0"/>
        <w:spacing w:before="200" w:line-rule="auto"/>
        <w:ind w:firstLine="540"/>
        <w:jc w:val="both"/>
      </w:pPr>
      <w:r>
        <w:rPr>
          <w:sz w:val="20"/>
        </w:rPr>
        <w:t xml:space="preserve">- создание промышленных, техно- и агропарков, обеспечение доступа субъектов МСП к производственным площадям и помещениям;</w:t>
      </w:r>
    </w:p>
    <w:p>
      <w:pPr>
        <w:pStyle w:val="0"/>
        <w:spacing w:before="200" w:line-rule="auto"/>
        <w:ind w:firstLine="540"/>
        <w:jc w:val="both"/>
      </w:pPr>
      <w:r>
        <w:rPr>
          <w:sz w:val="20"/>
        </w:rPr>
        <w:t xml:space="preserve">- установление возможности уменьшения доходов от продажи жилых помещений и транспортных средств, использовавшихся в предпринимательской деятельности, на фактически произведенные и документально подтвержденные расходы на приобретение такого имущества для случаев, когда указанные доходы получены не в рамках осуществления предпринимательской деятельности;</w:t>
      </w:r>
    </w:p>
    <w:p>
      <w:pPr>
        <w:pStyle w:val="0"/>
        <w:spacing w:before="200" w:line-rule="auto"/>
        <w:ind w:firstLine="540"/>
        <w:jc w:val="both"/>
      </w:pPr>
      <w:r>
        <w:rPr>
          <w:sz w:val="20"/>
        </w:rPr>
        <w:t xml:space="preserve">В рамках доработки специального налогового режима "Автоматизированная упрощенная система налогообложения":</w:t>
      </w:r>
    </w:p>
    <w:p>
      <w:pPr>
        <w:pStyle w:val="0"/>
        <w:spacing w:before="200" w:line-rule="auto"/>
        <w:ind w:firstLine="540"/>
        <w:jc w:val="both"/>
      </w:pPr>
      <w:r>
        <w:rPr>
          <w:sz w:val="20"/>
        </w:rPr>
        <w:t xml:space="preserve">- расширение круга налогоплательщиков, имеющих право применять режим (включение лиц, получающих доходы от предпринимательской деятельности на основе договоров поручения, договоров комиссии либо агентских договоров (доверители, комитенты, принципалы);</w:t>
      </w:r>
    </w:p>
    <w:p>
      <w:pPr>
        <w:pStyle w:val="0"/>
        <w:spacing w:before="200" w:line-rule="auto"/>
        <w:ind w:firstLine="540"/>
        <w:jc w:val="both"/>
      </w:pPr>
      <w:r>
        <w:rPr>
          <w:sz w:val="20"/>
        </w:rPr>
        <w:t xml:space="preserve">- предоставление возможности увеличения длительности первого налогового периода на период с момента регистрации и до конца последнего числа месяца, следующего за месяцем регистрации для вновь созданных организаций и вновь зарегистрированных индивидуальных предпринимателей, представивших уведомление о переходе на АУСН.</w:t>
      </w:r>
    </w:p>
    <w:p>
      <w:pPr>
        <w:pStyle w:val="0"/>
        <w:spacing w:before="200" w:line-rule="auto"/>
        <w:ind w:firstLine="540"/>
        <w:jc w:val="both"/>
      </w:pPr>
      <w:r>
        <w:rPr>
          <w:sz w:val="20"/>
        </w:rPr>
        <w:t xml:space="preserve">В рамках совершенствования патентной системы налогообложения:</w:t>
      </w:r>
    </w:p>
    <w:p>
      <w:pPr>
        <w:pStyle w:val="0"/>
        <w:spacing w:before="200" w:line-rule="auto"/>
        <w:ind w:firstLine="540"/>
        <w:jc w:val="both"/>
      </w:pPr>
      <w:r>
        <w:rPr>
          <w:sz w:val="20"/>
        </w:rPr>
        <w:t xml:space="preserve">- установление возможности индивидуальным предпринимателям представлять уточненное заявление на получение патента в связи с изменением количества физических показателей в целях перерасчета.</w:t>
      </w:r>
    </w:p>
    <w:p>
      <w:pPr>
        <w:pStyle w:val="0"/>
        <w:spacing w:before="200" w:line-rule="auto"/>
        <w:ind w:firstLine="540"/>
        <w:jc w:val="both"/>
      </w:pPr>
      <w:r>
        <w:rPr>
          <w:sz w:val="20"/>
        </w:rPr>
        <w:t xml:space="preserve">В рамках совершенствования режима налога на профессиональный доход:</w:t>
      </w:r>
    </w:p>
    <w:p>
      <w:pPr>
        <w:pStyle w:val="0"/>
        <w:spacing w:before="200" w:line-rule="auto"/>
        <w:ind w:firstLine="540"/>
        <w:jc w:val="both"/>
      </w:pPr>
      <w:r>
        <w:rPr>
          <w:sz w:val="20"/>
        </w:rPr>
        <w:t xml:space="preserve">- предоставление возможности физическому лицу самостоятельно определять дату постановки на учет (снятия с учета);</w:t>
      </w:r>
    </w:p>
    <w:p>
      <w:pPr>
        <w:pStyle w:val="0"/>
        <w:spacing w:before="200" w:line-rule="auto"/>
        <w:ind w:firstLine="540"/>
        <w:jc w:val="both"/>
      </w:pPr>
      <w:r>
        <w:rPr>
          <w:sz w:val="20"/>
        </w:rPr>
        <w:t xml:space="preserve">- исключение привлечения налогоплательщиков к ответственности в случае самостоятельного выявления и устранения ими нарушения порядка и (или) сроков передачи сведений о произведенных расчетах или непредставления таких сведений.</w:t>
      </w:r>
    </w:p>
    <w:p>
      <w:pPr>
        <w:pStyle w:val="0"/>
        <w:spacing w:before="200" w:line-rule="auto"/>
        <w:ind w:firstLine="540"/>
        <w:jc w:val="both"/>
      </w:pPr>
      <w:r>
        <w:rPr>
          <w:sz w:val="20"/>
        </w:rPr>
        <w:t xml:space="preserve">В рамках поддержки субъектов МСП на новых территориях:</w:t>
      </w:r>
    </w:p>
    <w:p>
      <w:pPr>
        <w:pStyle w:val="0"/>
        <w:spacing w:before="200" w:line-rule="auto"/>
        <w:ind w:firstLine="540"/>
        <w:jc w:val="both"/>
      </w:pPr>
      <w:r>
        <w:rPr>
          <w:sz w:val="20"/>
        </w:rPr>
        <w:t xml:space="preserve">- создание центров "Мой бизнес" - базовой организации инфраструктуры поддержки предпринимательства;</w:t>
      </w:r>
    </w:p>
    <w:p>
      <w:pPr>
        <w:pStyle w:val="0"/>
        <w:spacing w:before="200" w:line-rule="auto"/>
        <w:ind w:firstLine="540"/>
        <w:jc w:val="both"/>
      </w:pPr>
      <w:r>
        <w:rPr>
          <w:sz w:val="20"/>
        </w:rPr>
        <w:t xml:space="preserve">- создание государственных микрофинансовых организаций;</w:t>
      </w:r>
    </w:p>
    <w:p>
      <w:pPr>
        <w:pStyle w:val="0"/>
        <w:spacing w:before="200" w:line-rule="auto"/>
        <w:ind w:firstLine="540"/>
        <w:jc w:val="both"/>
      </w:pPr>
      <w:r>
        <w:rPr>
          <w:sz w:val="20"/>
        </w:rPr>
        <w:t xml:space="preserve">- создание региональных гарантийных организаций для обеспечения возможности привлечения финансирования при отсутствии обеспечения;</w:t>
      </w:r>
    </w:p>
    <w:p>
      <w:pPr>
        <w:pStyle w:val="0"/>
        <w:spacing w:before="200" w:line-rule="auto"/>
        <w:ind w:firstLine="540"/>
        <w:jc w:val="both"/>
      </w:pPr>
      <w:r>
        <w:rPr>
          <w:sz w:val="20"/>
        </w:rPr>
        <w:t xml:space="preserve">- запуск специального кредитного продукта с льготной ставкой и гарантийным покрытием;</w:t>
      </w:r>
    </w:p>
    <w:p>
      <w:pPr>
        <w:pStyle w:val="0"/>
        <w:spacing w:before="200" w:line-rule="auto"/>
        <w:ind w:firstLine="540"/>
        <w:jc w:val="both"/>
      </w:pPr>
      <w:r>
        <w:rPr>
          <w:sz w:val="20"/>
        </w:rPr>
        <w:t xml:space="preserve">- увеличение уставного фонда региональной лизинговой компаний в целях обеспечения реализации льготных лизинговых программ для субъектов МСП.</w:t>
      </w:r>
    </w:p>
    <w:p>
      <w:pPr>
        <w:pStyle w:val="0"/>
        <w:jc w:val="both"/>
      </w:pPr>
      <w:r>
        <w:rPr>
          <w:sz w:val="20"/>
        </w:rPr>
      </w:r>
    </w:p>
    <w:p>
      <w:pPr>
        <w:pStyle w:val="2"/>
        <w:outlineLvl w:val="5"/>
        <w:ind w:firstLine="540"/>
        <w:jc w:val="both"/>
      </w:pPr>
      <w:r>
        <w:rPr>
          <w:sz w:val="20"/>
        </w:rPr>
        <w:t xml:space="preserve">3. Укрепление конкурентоспособности и вовлеченность в глобальную торговлю</w:t>
      </w:r>
    </w:p>
    <w:p>
      <w:pPr>
        <w:pStyle w:val="0"/>
        <w:spacing w:before="200" w:line-rule="auto"/>
        <w:ind w:firstLine="540"/>
        <w:jc w:val="both"/>
      </w:pPr>
      <w:r>
        <w:rPr>
          <w:sz w:val="20"/>
        </w:rPr>
        <w:t xml:space="preserve">В рамках реализации национального </w:t>
      </w:r>
      <w:hyperlink w:history="0" r:id="rId27" w:tooltip="&quot;Паспорт национального проекта (программы) &quot;Международная кооперация и экспорт&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"Международная кооперация и экспорт" планируется:</w:t>
      </w:r>
    </w:p>
    <w:p>
      <w:pPr>
        <w:pStyle w:val="0"/>
        <w:spacing w:before="200" w:line-rule="auto"/>
        <w:ind w:firstLine="540"/>
        <w:jc w:val="both"/>
      </w:pPr>
      <w:r>
        <w:rPr>
          <w:sz w:val="20"/>
        </w:rPr>
        <w:t xml:space="preserve">- развитие механизма реализации корпоративных программ повышения конкурентоспособности (КППК);</w:t>
      </w:r>
    </w:p>
    <w:p>
      <w:pPr>
        <w:pStyle w:val="0"/>
        <w:spacing w:before="200" w:line-rule="auto"/>
        <w:ind w:firstLine="540"/>
        <w:jc w:val="both"/>
      </w:pPr>
      <w:r>
        <w:rPr>
          <w:sz w:val="20"/>
        </w:rPr>
        <w:t xml:space="preserve">- компенсация понесенных логистических затрат;</w:t>
      </w:r>
    </w:p>
    <w:p>
      <w:pPr>
        <w:pStyle w:val="0"/>
        <w:spacing w:before="200" w:line-rule="auto"/>
        <w:ind w:firstLine="540"/>
        <w:jc w:val="both"/>
      </w:pPr>
      <w:r>
        <w:rPr>
          <w:sz w:val="20"/>
        </w:rPr>
        <w:t xml:space="preserve">- компенсация части процентных ставок по экспортным кредитам;</w:t>
      </w:r>
    </w:p>
    <w:p>
      <w:pPr>
        <w:pStyle w:val="0"/>
        <w:spacing w:before="200" w:line-rule="auto"/>
        <w:ind w:firstLine="540"/>
        <w:jc w:val="both"/>
      </w:pPr>
      <w:r>
        <w:rPr>
          <w:sz w:val="20"/>
        </w:rPr>
        <w:t xml:space="preserve">- создание гибкой линейки финансовых инструментов поддержки экспорта, включая предэкспортное и экспортное финансирование;</w:t>
      </w:r>
    </w:p>
    <w:p>
      <w:pPr>
        <w:pStyle w:val="0"/>
        <w:spacing w:before="200" w:line-rule="auto"/>
        <w:ind w:firstLine="540"/>
        <w:jc w:val="both"/>
      </w:pPr>
      <w:r>
        <w:rPr>
          <w:sz w:val="20"/>
        </w:rPr>
        <w:t xml:space="preserve">- заключение соглашений о свободной торговле с рынками, перспективными для российского экспорта.</w:t>
      </w:r>
    </w:p>
    <w:p>
      <w:pPr>
        <w:pStyle w:val="0"/>
        <w:spacing w:before="200" w:line-rule="auto"/>
        <w:ind w:firstLine="540"/>
        <w:jc w:val="both"/>
      </w:pPr>
      <w:r>
        <w:rPr>
          <w:sz w:val="20"/>
        </w:rPr>
        <w:t xml:space="preserve">Предусмотрены меры поддержки промышленности, направленные на создание производственных мощностей для производства продукции, ранее импортируемой из-за рубежа, в первую очередь - в микроэлектронике, авиастроении, а также других секторах промышленности.</w:t>
      </w:r>
    </w:p>
    <w:p>
      <w:pPr>
        <w:pStyle w:val="0"/>
        <w:jc w:val="both"/>
      </w:pPr>
      <w:r>
        <w:rPr>
          <w:sz w:val="20"/>
        </w:rPr>
      </w:r>
    </w:p>
    <w:p>
      <w:pPr>
        <w:pStyle w:val="2"/>
        <w:outlineLvl w:val="4"/>
        <w:ind w:firstLine="540"/>
        <w:jc w:val="both"/>
      </w:pPr>
      <w:r>
        <w:rPr>
          <w:sz w:val="20"/>
        </w:rPr>
        <w:t xml:space="preserve">II. Цифровая трансформация</w:t>
      </w:r>
    </w:p>
    <w:p>
      <w:pPr>
        <w:pStyle w:val="0"/>
        <w:spacing w:before="200" w:line-rule="auto"/>
        <w:ind w:firstLine="540"/>
        <w:jc w:val="both"/>
      </w:pPr>
      <w:r>
        <w:rPr>
          <w:sz w:val="20"/>
        </w:rPr>
        <w:t xml:space="preserve">Для сохранения технологического потенциала, цифрового развития ключевых отраслей экономики и социальной сферы будет реализован комплекс мер, направленный на обеспечение цифровой трансформации:</w:t>
      </w:r>
    </w:p>
    <w:p>
      <w:pPr>
        <w:pStyle w:val="0"/>
        <w:spacing w:before="200" w:line-rule="auto"/>
        <w:ind w:firstLine="540"/>
        <w:jc w:val="both"/>
      </w:pPr>
      <w:r>
        <w:rPr>
          <w:sz w:val="20"/>
        </w:rPr>
        <w:t xml:space="preserve">- применение налоговых льгот в целях создания условий для опережающего развития отечественных высокотехнологичных компаний и повышения привлекательности российской юрисдикции для IT-бизнеса, в том числе:</w:t>
      </w:r>
    </w:p>
    <w:p>
      <w:pPr>
        <w:pStyle w:val="0"/>
        <w:spacing w:before="200" w:line-rule="auto"/>
        <w:ind w:firstLine="540"/>
        <w:jc w:val="both"/>
      </w:pPr>
      <w:r>
        <w:rPr>
          <w:sz w:val="20"/>
        </w:rPr>
        <w:t xml:space="preserve">- применение льготного размера ставки страховых взносов в размере 7,6%;</w:t>
      </w:r>
    </w:p>
    <w:p>
      <w:pPr>
        <w:pStyle w:val="0"/>
        <w:spacing w:before="200" w:line-rule="auto"/>
        <w:ind w:firstLine="540"/>
        <w:jc w:val="both"/>
      </w:pPr>
      <w:r>
        <w:rPr>
          <w:sz w:val="20"/>
        </w:rPr>
        <w:t xml:space="preserve">- обнуление налога на прибыль в 2024 году.</w:t>
      </w:r>
    </w:p>
    <w:p>
      <w:pPr>
        <w:pStyle w:val="0"/>
        <w:spacing w:before="200" w:line-rule="auto"/>
        <w:ind w:firstLine="540"/>
        <w:jc w:val="both"/>
      </w:pPr>
      <w:r>
        <w:rPr>
          <w:sz w:val="20"/>
        </w:rPr>
        <w:t xml:space="preserve">- обеспечение доступа к быстрому Интернету на всей территории страны;</w:t>
      </w:r>
    </w:p>
    <w:p>
      <w:pPr>
        <w:pStyle w:val="0"/>
        <w:spacing w:before="200" w:line-rule="auto"/>
        <w:ind w:firstLine="540"/>
        <w:jc w:val="both"/>
      </w:pPr>
      <w:r>
        <w:rPr>
          <w:sz w:val="20"/>
        </w:rPr>
        <w:t xml:space="preserve">- формирование глобальной конкурентоспособной инфраструктуры передачи, обработки и хранения данных преимущественно на основе отечественных разработок:</w:t>
      </w:r>
    </w:p>
    <w:p>
      <w:pPr>
        <w:pStyle w:val="0"/>
        <w:spacing w:before="200" w:line-rule="auto"/>
        <w:ind w:firstLine="540"/>
        <w:jc w:val="both"/>
      </w:pPr>
      <w:r>
        <w:rPr>
          <w:sz w:val="20"/>
        </w:rPr>
        <w:t xml:space="preserve">- предоставление на льготных условиях кредитов на приобретение электронной компонентной базы и комплектующих изделий;</w:t>
      </w:r>
    </w:p>
    <w:p>
      <w:pPr>
        <w:pStyle w:val="0"/>
        <w:spacing w:before="200" w:line-rule="auto"/>
        <w:ind w:firstLine="540"/>
        <w:jc w:val="both"/>
      </w:pPr>
      <w:r>
        <w:rPr>
          <w:sz w:val="20"/>
        </w:rPr>
        <w:t xml:space="preserve">- финансовое обеспечение затрат на создание электронной компонентной базы и модулей;</w:t>
      </w:r>
    </w:p>
    <w:p>
      <w:pPr>
        <w:pStyle w:val="0"/>
        <w:spacing w:before="200" w:line-rule="auto"/>
        <w:ind w:firstLine="540"/>
        <w:jc w:val="both"/>
      </w:pPr>
      <w:r>
        <w:rPr>
          <w:sz w:val="20"/>
        </w:rPr>
        <w:t xml:space="preserve">- построение комплексной системы финансирования проектов по разработке (внедрению) цифровых технологий и платформенных решений, включая механизмы грантов, льготного кредитования, венчурного финансирования:</w:t>
      </w:r>
    </w:p>
    <w:p>
      <w:pPr>
        <w:pStyle w:val="0"/>
        <w:spacing w:before="200" w:line-rule="auto"/>
        <w:ind w:firstLine="540"/>
        <w:jc w:val="both"/>
      </w:pPr>
      <w:r>
        <w:rPr>
          <w:sz w:val="20"/>
        </w:rPr>
        <w:t xml:space="preserve">- грантовая поддержка малых предприятий по разработке, применению и коммерциализации продуктов, сервисов и/или решений с использованием технологий искусственного интеллекта, разработчиков открытых библиотек в сфере искусственного интеллекта, акселерации проектов с применением искусственного интеллекта;</w:t>
      </w:r>
    </w:p>
    <w:p>
      <w:pPr>
        <w:pStyle w:val="0"/>
        <w:spacing w:before="200" w:line-rule="auto"/>
        <w:ind w:firstLine="540"/>
        <w:jc w:val="both"/>
      </w:pPr>
      <w:r>
        <w:rPr>
          <w:sz w:val="20"/>
        </w:rPr>
        <w:t xml:space="preserve">- поддержка разработки конкурентоспособных нишевых аппаратно-программных комплексов для целей искусственного интеллекта;</w:t>
      </w:r>
    </w:p>
    <w:p>
      <w:pPr>
        <w:pStyle w:val="0"/>
        <w:spacing w:before="200" w:line-rule="auto"/>
        <w:ind w:firstLine="540"/>
        <w:jc w:val="both"/>
      </w:pPr>
      <w:r>
        <w:rPr>
          <w:sz w:val="20"/>
        </w:rPr>
        <w:t xml:space="preserve">- продолжение действия в 2024 году льготной программы кредитования проектов по разработке и внедрению российских ИТ-решений (по ставке от 1 до 5% годовых),</w:t>
      </w:r>
    </w:p>
    <w:p>
      <w:pPr>
        <w:pStyle w:val="0"/>
        <w:spacing w:before="200" w:line-rule="auto"/>
        <w:ind w:firstLine="540"/>
        <w:jc w:val="both"/>
      </w:pPr>
      <w:r>
        <w:rPr>
          <w:sz w:val="20"/>
        </w:rPr>
        <w:t xml:space="preserve">- развитие проектов некоммерческого лизинга высокотехнологичного оборудования, акселерационных программ по разработке российских ИТ-решений;</w:t>
      </w:r>
    </w:p>
    <w:p>
      <w:pPr>
        <w:pStyle w:val="0"/>
        <w:spacing w:before="200" w:line-rule="auto"/>
        <w:ind w:firstLine="540"/>
        <w:jc w:val="both"/>
      </w:pPr>
      <w:r>
        <w:rPr>
          <w:sz w:val="20"/>
        </w:rPr>
        <w:t xml:space="preserve">- создание сквозных цифровых технологий преимущественно на основе отечественных разработок:</w:t>
      </w:r>
    </w:p>
    <w:p>
      <w:pPr>
        <w:pStyle w:val="0"/>
        <w:spacing w:before="200" w:line-rule="auto"/>
        <w:ind w:firstLine="540"/>
        <w:jc w:val="both"/>
      </w:pPr>
      <w:r>
        <w:rPr>
          <w:sz w:val="20"/>
        </w:rPr>
        <w:t xml:space="preserve">- субсидирование затрат на НИОКР по разработке и апробации проектов в сфере цифровых технологий;</w:t>
      </w:r>
    </w:p>
    <w:p>
      <w:pPr>
        <w:pStyle w:val="0"/>
        <w:spacing w:before="200" w:line-rule="auto"/>
        <w:ind w:firstLine="540"/>
        <w:jc w:val="both"/>
      </w:pPr>
      <w:r>
        <w:rPr>
          <w:sz w:val="20"/>
        </w:rPr>
        <w:t xml:space="preserve">- повышение цифровых навыков граждан, подготовка квалифицированных кадров для IT-отрасли;</w:t>
      </w:r>
    </w:p>
    <w:p>
      <w:pPr>
        <w:pStyle w:val="0"/>
        <w:spacing w:before="200" w:line-rule="auto"/>
        <w:ind w:firstLine="540"/>
        <w:jc w:val="both"/>
      </w:pPr>
      <w:r>
        <w:rPr>
          <w:sz w:val="20"/>
        </w:rPr>
        <w:t xml:space="preserve">- обучение студентов по IT-профилю на "цифровых кафедрах" образовательных организаций высшего образования - участников программы стратегического академического лидерства "Приоритет-2030";</w:t>
      </w:r>
    </w:p>
    <w:p>
      <w:pPr>
        <w:pStyle w:val="0"/>
        <w:spacing w:before="200" w:line-rule="auto"/>
        <w:ind w:firstLine="540"/>
        <w:jc w:val="both"/>
      </w:pPr>
      <w:r>
        <w:rPr>
          <w:sz w:val="20"/>
        </w:rPr>
        <w:t xml:space="preserve">- внедрение в образовательные процессы образовательных организаций высшего образования новых образовательных программ бакалавриата и магистратуры по профилю "Искусственный интеллект";</w:t>
      </w:r>
    </w:p>
    <w:p>
      <w:pPr>
        <w:pStyle w:val="0"/>
        <w:spacing w:before="200" w:line-rule="auto"/>
        <w:ind w:firstLine="540"/>
        <w:jc w:val="both"/>
      </w:pPr>
      <w:r>
        <w:rPr>
          <w:sz w:val="20"/>
        </w:rPr>
        <w:t xml:space="preserve">- поддержка исследовательских центров в сфере искусственного интеллекта:</w:t>
      </w:r>
    </w:p>
    <w:p>
      <w:pPr>
        <w:pStyle w:val="0"/>
        <w:spacing w:before="200" w:line-rule="auto"/>
        <w:ind w:firstLine="540"/>
        <w:jc w:val="both"/>
      </w:pPr>
      <w:r>
        <w:rPr>
          <w:sz w:val="20"/>
        </w:rPr>
        <w:t xml:space="preserve">- создание и обеспечение функционирования Национального центра развития искусственного интеллекта при Правительстве Российской Федерации (в целях поддержки исследовательских центров в сфере искусственного интеллекта, в том числе в области "сильного" искусственного интеллекта, систем доверенного искусственного интеллекта и этических аспектов применения искусственного интеллекта).</w:t>
      </w:r>
    </w:p>
    <w:p>
      <w:pPr>
        <w:pStyle w:val="0"/>
        <w:spacing w:before="200" w:line-rule="auto"/>
        <w:ind w:firstLine="540"/>
        <w:jc w:val="both"/>
      </w:pPr>
      <w:r>
        <w:rPr>
          <w:sz w:val="20"/>
        </w:rPr>
        <w:t xml:space="preserve">- внедрение цифровых технологий и платформенных решений в сферах госуправления и госуслуг:</w:t>
      </w:r>
    </w:p>
    <w:p>
      <w:pPr>
        <w:pStyle w:val="0"/>
        <w:spacing w:before="200" w:line-rule="auto"/>
        <w:ind w:firstLine="540"/>
        <w:jc w:val="both"/>
      </w:pPr>
      <w:r>
        <w:rPr>
          <w:sz w:val="20"/>
        </w:rPr>
        <w:t xml:space="preserve">- внедрение отраслевой цифровой платформы "Цифровой лес" (предназначена для обеспечения непрерывного устойчивого управления 1,2 млрд гектаров глобальной природной экосистемы лесов России в интересах граждан и хозяйствующих субъектов при организации использования, охраны, защиты и воспроизводства лесов) и обеспечение на ее основе оказания электронных услуг в сфере лесного хозяйства, а также цифровая трансформация управления лесным комплексом;</w:t>
      </w:r>
    </w:p>
    <w:p>
      <w:pPr>
        <w:pStyle w:val="0"/>
        <w:spacing w:before="200" w:line-rule="auto"/>
        <w:ind w:firstLine="540"/>
        <w:jc w:val="both"/>
      </w:pPr>
      <w:r>
        <w:rPr>
          <w:sz w:val="20"/>
        </w:rPr>
        <w:t xml:space="preserve">- обеспечение методологической поддержки развития и внедрения стандартов и решений в сфере "Умного города" (целью которых является комплексное повышение эффективности городской инфраструктуры), формирование банка лучших практик;</w:t>
      </w:r>
    </w:p>
    <w:p>
      <w:pPr>
        <w:pStyle w:val="0"/>
        <w:spacing w:before="200" w:line-rule="auto"/>
        <w:ind w:firstLine="540"/>
        <w:jc w:val="both"/>
      </w:pPr>
      <w:r>
        <w:rPr>
          <w:sz w:val="20"/>
        </w:rPr>
        <w:t xml:space="preserve">- развитие государственной информационной системы промышленности в части реализации инструментов анализа и улучшения ситуации в условиях санкционного давления, перевода ряда процессов и услуг в цифровой формат (автоматизация процесса выдачи лицензий для экспорта и импорта, автоматизация предоставления субсидий экспортерам и др.);</w:t>
      </w:r>
    </w:p>
    <w:p>
      <w:pPr>
        <w:pStyle w:val="0"/>
        <w:spacing w:before="200" w:line-rule="auto"/>
        <w:ind w:firstLine="540"/>
        <w:jc w:val="both"/>
      </w:pPr>
      <w:r>
        <w:rPr>
          <w:sz w:val="20"/>
        </w:rPr>
        <w:t xml:space="preserve">- введение цифровых паспортов промышленной продукции с информацией о поставщиках, производителях, логистических характеристиках и импортозамещающих аналогах;</w:t>
      </w:r>
    </w:p>
    <w:p>
      <w:pPr>
        <w:pStyle w:val="0"/>
        <w:spacing w:before="200" w:line-rule="auto"/>
        <w:ind w:firstLine="540"/>
        <w:jc w:val="both"/>
      </w:pPr>
      <w:r>
        <w:rPr>
          <w:sz w:val="20"/>
        </w:rPr>
        <w:t xml:space="preserve">- запуск системы правового регулирования цифровой экономики, основанного на гибком подходе в каждой сфере, а также внедрение гражданского оборота решений на базе цифровых технологий;</w:t>
      </w:r>
    </w:p>
    <w:p>
      <w:pPr>
        <w:pStyle w:val="0"/>
        <w:spacing w:before="200" w:line-rule="auto"/>
        <w:ind w:firstLine="540"/>
        <w:jc w:val="both"/>
      </w:pPr>
      <w:r>
        <w:rPr>
          <w:sz w:val="20"/>
        </w:rPr>
        <w:t xml:space="preserve">- формирование организационных и финансовых условий для запуска и развития максимального количества стартапов в технологической и цифровой сферах, а также их сопровождение на всех этапах роста;</w:t>
      </w:r>
    </w:p>
    <w:p>
      <w:pPr>
        <w:pStyle w:val="0"/>
        <w:spacing w:before="200" w:line-rule="auto"/>
        <w:ind w:firstLine="540"/>
        <w:jc w:val="both"/>
      </w:pPr>
      <w:r>
        <w:rPr>
          <w:sz w:val="20"/>
        </w:rPr>
        <w:t xml:space="preserve">- создание в субъектах РФ с высоким уровнем безработицы не менее 10 объектов образовательный инфраструктуры для подготовки специалистов по техническим направлениям (включая специалистов в сфере информационных технологий) с применением дистанционных образовательных технологий (в целях формирования у таких специалистов компетенций, необходимых в том числе для дистанционной (удаленной) работы).</w:t>
      </w:r>
    </w:p>
    <w:p>
      <w:pPr>
        <w:pStyle w:val="0"/>
        <w:jc w:val="both"/>
      </w:pPr>
      <w:r>
        <w:rPr>
          <w:sz w:val="20"/>
        </w:rPr>
      </w:r>
    </w:p>
    <w:p>
      <w:pPr>
        <w:pStyle w:val="2"/>
        <w:outlineLvl w:val="4"/>
        <w:ind w:firstLine="540"/>
        <w:jc w:val="both"/>
      </w:pPr>
      <w:r>
        <w:rPr>
          <w:sz w:val="20"/>
        </w:rPr>
        <w:t xml:space="preserve">III. Сохранение населения, здоровье и благополучие людей и новый общественный договор</w:t>
      </w:r>
    </w:p>
    <w:p>
      <w:pPr>
        <w:pStyle w:val="0"/>
        <w:spacing w:before="200" w:line-rule="auto"/>
        <w:ind w:firstLine="540"/>
        <w:jc w:val="both"/>
      </w:pPr>
      <w:r>
        <w:rPr>
          <w:sz w:val="20"/>
        </w:rPr>
        <w:t xml:space="preserve">В целях снижения смертности и повышения качества и доступности медицинской помощи предполагается реализация следующих мероприятий:</w:t>
      </w:r>
    </w:p>
    <w:p>
      <w:pPr>
        <w:pStyle w:val="0"/>
        <w:spacing w:before="200" w:line-rule="auto"/>
        <w:ind w:firstLine="540"/>
        <w:jc w:val="both"/>
      </w:pPr>
      <w:r>
        <w:rPr>
          <w:sz w:val="20"/>
        </w:rPr>
        <w:t xml:space="preserve">- раннее выявление и лечение сахарного диабета в целях предупреждения осложнений данного заболевания, в том числе приводящих к инвалидности, обеспечение больных сахарным диабетом необходимыми лекарственными препаратами, медицинскими изделиями и расходными материалами;</w:t>
      </w:r>
    </w:p>
    <w:p>
      <w:pPr>
        <w:pStyle w:val="0"/>
        <w:spacing w:before="200" w:line-rule="auto"/>
        <w:ind w:firstLine="540"/>
        <w:jc w:val="both"/>
      </w:pPr>
      <w:r>
        <w:rPr>
          <w:sz w:val="20"/>
        </w:rPr>
        <w:t xml:space="preserve">- предотвращение преждевременной смертности населения от сердечно-сосудистых и онкологических заболеваний:</w:t>
      </w:r>
    </w:p>
    <w:p>
      <w:pPr>
        <w:pStyle w:val="0"/>
        <w:spacing w:before="200" w:line-rule="auto"/>
        <w:ind w:firstLine="540"/>
        <w:jc w:val="both"/>
      </w:pPr>
      <w:r>
        <w:rPr>
          <w:sz w:val="20"/>
        </w:rPr>
        <w:t xml:space="preserve">- оснащение медицинским оборудованием региональных сосудистых центров и первичных сосудистых отделений в субъектах РФ;</w:t>
      </w:r>
    </w:p>
    <w:p>
      <w:pPr>
        <w:pStyle w:val="0"/>
        <w:spacing w:before="200" w:line-rule="auto"/>
        <w:ind w:firstLine="540"/>
        <w:jc w:val="both"/>
      </w:pPr>
      <w:r>
        <w:rPr>
          <w:sz w:val="20"/>
        </w:rPr>
        <w:t xml:space="preserve">- обеспечение лекарственными препаратами в амбулаторных условиях 90% человек,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w:t>
      </w:r>
    </w:p>
    <w:p>
      <w:pPr>
        <w:pStyle w:val="0"/>
        <w:spacing w:before="200" w:line-rule="auto"/>
        <w:ind w:firstLine="540"/>
        <w:jc w:val="both"/>
      </w:pPr>
      <w:r>
        <w:rPr>
          <w:sz w:val="20"/>
        </w:rPr>
        <w:t xml:space="preserve">- модернизация первичного звена здравоохранения (включая строительство (реконструкцию), капитальный ремонт, оснащение оборудованием и транспортное обеспечение);</w:t>
      </w:r>
    </w:p>
    <w:p>
      <w:pPr>
        <w:pStyle w:val="0"/>
        <w:spacing w:before="200" w:line-rule="auto"/>
        <w:ind w:firstLine="540"/>
        <w:jc w:val="both"/>
      </w:pPr>
      <w:r>
        <w:rPr>
          <w:sz w:val="20"/>
        </w:rPr>
        <w:t xml:space="preserve">- улучшение медицинской инфраструктуры (в т.ч. в труднодоступных и малонаселенных пунктах);</w:t>
      </w:r>
    </w:p>
    <w:p>
      <w:pPr>
        <w:pStyle w:val="0"/>
        <w:spacing w:before="200" w:line-rule="auto"/>
        <w:ind w:firstLine="540"/>
        <w:jc w:val="both"/>
      </w:pPr>
      <w:r>
        <w:rPr>
          <w:sz w:val="20"/>
        </w:rPr>
        <w:t xml:space="preserve">- цифровизация здравоохранения, включающая широкий доступ населения к данным о собственном здоровье, развитие телемедицины;</w:t>
      </w:r>
    </w:p>
    <w:p>
      <w:pPr>
        <w:pStyle w:val="0"/>
        <w:spacing w:before="200" w:line-rule="auto"/>
        <w:ind w:firstLine="540"/>
        <w:jc w:val="both"/>
      </w:pPr>
      <w:r>
        <w:rPr>
          <w:sz w:val="20"/>
        </w:rPr>
        <w:t xml:space="preserve">- реализация расширенной программы профилактических медицинских осмотров и диспансеризации населения, а также расширение программ лечения и реабилитации лиц с заболеваниями;</w:t>
      </w:r>
    </w:p>
    <w:p>
      <w:pPr>
        <w:pStyle w:val="0"/>
        <w:spacing w:before="200" w:line-rule="auto"/>
        <w:ind w:firstLine="540"/>
        <w:jc w:val="both"/>
      </w:pPr>
      <w:r>
        <w:rPr>
          <w:sz w:val="20"/>
        </w:rPr>
        <w:t xml:space="preserve">- поддержка старшего поколения через развитие системы предоставления социальных услуг и медицинской помощи;</w:t>
      </w:r>
    </w:p>
    <w:p>
      <w:pPr>
        <w:pStyle w:val="0"/>
        <w:spacing w:before="200" w:line-rule="auto"/>
        <w:ind w:firstLine="540"/>
        <w:jc w:val="both"/>
      </w:pPr>
      <w:r>
        <w:rPr>
          <w:sz w:val="20"/>
        </w:rPr>
        <w:t xml:space="preserve">- реализация программы оказания медицинской помощи детям с тяжелыми жизнеугрожающими и хроническими заболеваниями (в том числе за счет средств от повышенного налогообложения доходов свыше 5 млн рублей в рамках деятельности фонда "Круг добра");</w:t>
      </w:r>
    </w:p>
    <w:p>
      <w:pPr>
        <w:pStyle w:val="0"/>
        <w:spacing w:before="200" w:line-rule="auto"/>
        <w:ind w:firstLine="540"/>
        <w:jc w:val="both"/>
      </w:pPr>
      <w:r>
        <w:rPr>
          <w:sz w:val="20"/>
        </w:rPr>
        <w:t xml:space="preserve">- создание российских технологий производства широкого спектра вакцин, с использованием преимущественно отечественного оборудования;</w:t>
      </w:r>
    </w:p>
    <w:p>
      <w:pPr>
        <w:pStyle w:val="0"/>
        <w:spacing w:before="200" w:line-rule="auto"/>
        <w:ind w:firstLine="540"/>
        <w:jc w:val="both"/>
      </w:pPr>
      <w:r>
        <w:rPr>
          <w:sz w:val="20"/>
        </w:rPr>
        <w:t xml:space="preserve">- обеспечение лекарственными препаратами, включенными в перечень жизненно необходимых и важнейших лекарственных препаратов;</w:t>
      </w:r>
    </w:p>
    <w:p>
      <w:pPr>
        <w:pStyle w:val="0"/>
        <w:spacing w:before="200" w:line-rule="auto"/>
        <w:ind w:firstLine="540"/>
        <w:jc w:val="both"/>
      </w:pPr>
      <w:r>
        <w:rPr>
          <w:sz w:val="20"/>
        </w:rPr>
        <w:t xml:space="preserve">- обеспечение функционирования Государственного фонда поддержки участников специальной военной операции "Защитники Отечества" (обеспечение комплексного сопровождения, социальной адаптации, интеграции и ресоциализации, оказание психолого-психотерапевтической помощи, бесплатной юридической помощи по вопросам оформления и предоставления мер социальной поддержки, реализация дополнительных финансовых механизмов обеспечения лекарственными препаратами и медицинскими изделиями, техническими средствами реабилитации, адаптация жилых помещений).</w:t>
      </w:r>
    </w:p>
    <w:p>
      <w:pPr>
        <w:pStyle w:val="0"/>
        <w:spacing w:before="200" w:line-rule="auto"/>
        <w:ind w:firstLine="540"/>
        <w:jc w:val="both"/>
      </w:pPr>
      <w:r>
        <w:rPr>
          <w:sz w:val="20"/>
        </w:rPr>
        <w:t xml:space="preserve">В целях решения демографических проблем и укрепления системы социальной защиты материнства и детства государством уделяется значительное внимание социальной поддержке семей с детьми - установлены различные меры социальной поддержки, связанные с рождением ребенка.</w:t>
      </w:r>
    </w:p>
    <w:p>
      <w:pPr>
        <w:pStyle w:val="0"/>
        <w:spacing w:before="200" w:line-rule="auto"/>
        <w:ind w:firstLine="540"/>
        <w:jc w:val="both"/>
      </w:pPr>
      <w:r>
        <w:rPr>
          <w:sz w:val="20"/>
        </w:rPr>
        <w:t xml:space="preserve">В последние годы объем такой поддержки неуклонно возрастает. Так, расходы федерального бюджета на адресные выплаты семьям с детьми в 2024 году составят уже более 1,5 трлн рублей, что коснется более 10 млн детей.</w:t>
      </w:r>
    </w:p>
    <w:p>
      <w:pPr>
        <w:pStyle w:val="0"/>
        <w:spacing w:before="200" w:line-rule="auto"/>
        <w:ind w:firstLine="540"/>
        <w:jc w:val="both"/>
      </w:pPr>
      <w:r>
        <w:rPr>
          <w:sz w:val="20"/>
        </w:rPr>
        <w:t xml:space="preserve">Расходы "детского бюджета" в 2024 году составят 3 трлн рублей (+0,2 трлн рублей г/г).</w:t>
      </w:r>
    </w:p>
    <w:p>
      <w:pPr>
        <w:pStyle w:val="0"/>
        <w:spacing w:before="200" w:line-rule="auto"/>
        <w:ind w:firstLine="540"/>
        <w:jc w:val="both"/>
      </w:pPr>
      <w:r>
        <w:rPr>
          <w:sz w:val="20"/>
        </w:rPr>
        <w:t xml:space="preserve">Ключевые меры в области содействия повышению рождаемости и защите детства включают:</w:t>
      </w:r>
    </w:p>
    <w:p>
      <w:pPr>
        <w:pStyle w:val="0"/>
        <w:spacing w:before="200" w:line-rule="auto"/>
        <w:ind w:firstLine="540"/>
        <w:jc w:val="both"/>
      </w:pPr>
      <w:r>
        <w:rPr>
          <w:sz w:val="20"/>
        </w:rPr>
        <w:t xml:space="preserve">- финансовую поддержку семей при рождении детей, включая предоставление материнского капитала;</w:t>
      </w:r>
    </w:p>
    <w:p>
      <w:pPr>
        <w:pStyle w:val="0"/>
        <w:spacing w:before="200" w:line-rule="auto"/>
        <w:ind w:firstLine="540"/>
        <w:jc w:val="both"/>
      </w:pPr>
      <w:r>
        <w:rPr>
          <w:sz w:val="20"/>
        </w:rPr>
        <w:t xml:space="preserve">- создание условий для трудовой деятельности родителей малолетних детей (обеспечение доступности дошкольного образования для детей от полутора до семи лет, расширение возможностей неполной и дистанционной занятости, профессиональная подготовка и переподготовка женщин, находящихся в отпуске по уходу за ребенком, а также женщин, не состоящих в трудовых отношениях и имеющих детей дошкольного возраста);</w:t>
      </w:r>
    </w:p>
    <w:p>
      <w:pPr>
        <w:pStyle w:val="0"/>
        <w:spacing w:before="200" w:line-rule="auto"/>
        <w:ind w:firstLine="540"/>
        <w:jc w:val="both"/>
      </w:pPr>
      <w:r>
        <w:rPr>
          <w:sz w:val="20"/>
        </w:rPr>
        <w:t xml:space="preserve">- предоставление ежемесячного пособия в связи с рождением и воспитанием ребенка с учетом комплексной оценки нуждаемости;</w:t>
      </w:r>
    </w:p>
    <w:p>
      <w:pPr>
        <w:pStyle w:val="0"/>
        <w:spacing w:before="200" w:line-rule="auto"/>
        <w:ind w:firstLine="540"/>
        <w:jc w:val="both"/>
      </w:pPr>
      <w:r>
        <w:rPr>
          <w:sz w:val="20"/>
        </w:rPr>
        <w:t xml:space="preserve">- назначение единого детского пособия на 12 месяцев с момента назначения вне зависимости от увеличения доходов семьи;</w:t>
      </w:r>
    </w:p>
    <w:p>
      <w:pPr>
        <w:pStyle w:val="0"/>
        <w:spacing w:before="200" w:line-rule="auto"/>
        <w:ind w:firstLine="540"/>
        <w:jc w:val="both"/>
      </w:pPr>
      <w:r>
        <w:rPr>
          <w:sz w:val="20"/>
        </w:rPr>
        <w:t xml:space="preserve">- сохранение права на получение пособия по уходу за ребенком при выходе на работу ранее достижения ребенком возраста 1,5 лет женщине или лицам, фактически осуществляющим уход за ним;</w:t>
      </w:r>
    </w:p>
    <w:p>
      <w:pPr>
        <w:pStyle w:val="0"/>
        <w:spacing w:before="200" w:line-rule="auto"/>
        <w:ind w:firstLine="540"/>
        <w:jc w:val="both"/>
      </w:pPr>
      <w:r>
        <w:rPr>
          <w:sz w:val="20"/>
        </w:rPr>
        <w:t xml:space="preserve">- сохранение права на ежемесячную выплату родителю (усыновителю) или опекуну (попечителю), осуществляющим уход за ребенком-инвалидом и возрасте до 18 лет или инвалидом с детства I группы, в случае частичной занятости таких родителя (усыновителя) или опекуна (попечителя);</w:t>
      </w:r>
    </w:p>
    <w:p>
      <w:pPr>
        <w:pStyle w:val="0"/>
        <w:spacing w:before="200" w:line-rule="auto"/>
        <w:ind w:firstLine="540"/>
        <w:jc w:val="both"/>
      </w:pPr>
      <w:r>
        <w:rPr>
          <w:sz w:val="20"/>
        </w:rPr>
        <w:t xml:space="preserve">- расширение оснований освобождения семей с детьми от налогообложения дохода от продажи жилого помещения (снятие ограничения минимального предельного срока владения объектом недвижимого имущества);</w:t>
      </w:r>
    </w:p>
    <w:p>
      <w:pPr>
        <w:pStyle w:val="0"/>
        <w:spacing w:before="200" w:line-rule="auto"/>
        <w:ind w:firstLine="540"/>
        <w:jc w:val="both"/>
      </w:pPr>
      <w:r>
        <w:rPr>
          <w:sz w:val="20"/>
        </w:rPr>
        <w:t xml:space="preserve">- сохранение репродуктивного здоровья населения (повышение доступности и качества медпомощи женщинам в период беременности и родов, а также новорожденным детям, повышение эффективности технологии экстракорпорального оплодотворения).</w:t>
      </w:r>
    </w:p>
    <w:p>
      <w:pPr>
        <w:pStyle w:val="0"/>
        <w:spacing w:before="200" w:line-rule="auto"/>
        <w:ind w:firstLine="540"/>
        <w:jc w:val="both"/>
      </w:pPr>
      <w:r>
        <w:rPr>
          <w:sz w:val="20"/>
        </w:rPr>
        <w:t xml:space="preserve">Меры государственной политики по поддержке доходов граждан будут включать следующие направления:</w:t>
      </w:r>
    </w:p>
    <w:p>
      <w:pPr>
        <w:pStyle w:val="0"/>
        <w:spacing w:before="200" w:line-rule="auto"/>
        <w:ind w:firstLine="540"/>
        <w:jc w:val="both"/>
      </w:pPr>
      <w:r>
        <w:rPr>
          <w:sz w:val="20"/>
        </w:rPr>
        <w:t xml:space="preserve">- установление гарантированного размера оплаты труда работника, полностью отработавшего норму рабочего времени и выполнившего нормы труда (трудовые обязанности), на уровне МРОТ;</w:t>
      </w:r>
    </w:p>
    <w:p>
      <w:pPr>
        <w:pStyle w:val="0"/>
        <w:spacing w:before="200" w:line-rule="auto"/>
        <w:ind w:firstLine="540"/>
        <w:jc w:val="both"/>
      </w:pPr>
      <w:r>
        <w:rPr>
          <w:sz w:val="20"/>
        </w:rPr>
        <w:t xml:space="preserve">- запуск программы по обеспечению сотрудников оборонно-промышленного комплекса льготным арендным жильем;</w:t>
      </w:r>
    </w:p>
    <w:p>
      <w:pPr>
        <w:pStyle w:val="0"/>
        <w:spacing w:before="200" w:line-rule="auto"/>
        <w:ind w:firstLine="540"/>
        <w:jc w:val="both"/>
      </w:pPr>
      <w:r>
        <w:rPr>
          <w:sz w:val="20"/>
        </w:rPr>
        <w:t xml:space="preserve">- ежегодная индексация социальных пособий и выплат;</w:t>
      </w:r>
    </w:p>
    <w:p>
      <w:pPr>
        <w:pStyle w:val="0"/>
        <w:spacing w:before="200" w:line-rule="auto"/>
        <w:ind w:firstLine="540"/>
        <w:jc w:val="both"/>
      </w:pPr>
      <w:r>
        <w:rPr>
          <w:sz w:val="20"/>
        </w:rPr>
        <w:t xml:space="preserve">- предоставление бюджетам субъектов РФ субсидий для оказания нуждающимся гражданам социальной помощи на основании социального контракта;</w:t>
      </w:r>
    </w:p>
    <w:p>
      <w:pPr>
        <w:pStyle w:val="0"/>
        <w:spacing w:before="200" w:line-rule="auto"/>
        <w:ind w:firstLine="540"/>
        <w:jc w:val="both"/>
      </w:pPr>
      <w:r>
        <w:rPr>
          <w:sz w:val="20"/>
        </w:rPr>
        <w:t xml:space="preserve">- поддержание достигнутых уровней заработной платы отдельных категорий работников социальной сферы, а также проведение ежегодной индексации заработной платы иных категорий работников бюджетной сферы;</w:t>
      </w:r>
    </w:p>
    <w:p>
      <w:pPr>
        <w:pStyle w:val="0"/>
        <w:spacing w:before="200" w:line-rule="auto"/>
        <w:ind w:firstLine="540"/>
        <w:jc w:val="both"/>
      </w:pPr>
      <w:r>
        <w:rPr>
          <w:sz w:val="20"/>
        </w:rPr>
        <w:t xml:space="preserve">- организация переобучения, повышения квалификации и профессиональной переподготовки отдельных категорий граждан (безработные граждане; работники, находящиеся под риском увольнения; граждане в возрасте 50 лет и старше; граждане предпенсионного возраста; отдельные категории молодежи);</w:t>
      </w:r>
    </w:p>
    <w:p>
      <w:pPr>
        <w:pStyle w:val="0"/>
        <w:spacing w:before="200" w:line-rule="auto"/>
        <w:ind w:firstLine="540"/>
        <w:jc w:val="both"/>
      </w:pPr>
      <w:r>
        <w:rPr>
          <w:sz w:val="20"/>
        </w:rPr>
        <w:t xml:space="preserve">- реализация дополнительных мероприятий в сфере занятости населения, содействие трудовой мобильности;</w:t>
      </w:r>
    </w:p>
    <w:p>
      <w:pPr>
        <w:pStyle w:val="0"/>
        <w:spacing w:before="200" w:line-rule="auto"/>
        <w:ind w:firstLine="540"/>
        <w:jc w:val="both"/>
      </w:pPr>
      <w:r>
        <w:rPr>
          <w:sz w:val="20"/>
        </w:rPr>
        <w:t xml:space="preserve">- комплексная модернизация служб занятости населения;</w:t>
      </w:r>
    </w:p>
    <w:p>
      <w:pPr>
        <w:pStyle w:val="0"/>
        <w:spacing w:before="200" w:line-rule="auto"/>
        <w:ind w:firstLine="540"/>
        <w:jc w:val="both"/>
      </w:pPr>
      <w:r>
        <w:rPr>
          <w:sz w:val="20"/>
        </w:rPr>
        <w:t xml:space="preserve">- модернизация системы социальной поддержки исходя из принципов справедливости, адресности и нуждаемости;</w:t>
      </w:r>
    </w:p>
    <w:p>
      <w:pPr>
        <w:pStyle w:val="0"/>
        <w:spacing w:before="200" w:line-rule="auto"/>
        <w:ind w:firstLine="540"/>
        <w:jc w:val="both"/>
      </w:pPr>
      <w:r>
        <w:rPr>
          <w:sz w:val="20"/>
        </w:rPr>
        <w:t xml:space="preserve">- продолжение реализации инициативы социально-экономического развития Российской Федерации до 2030 года "Социальное казначейство";</w:t>
      </w:r>
    </w:p>
    <w:p>
      <w:pPr>
        <w:pStyle w:val="0"/>
        <w:jc w:val="both"/>
      </w:pPr>
      <w:r>
        <w:rPr>
          <w:sz w:val="20"/>
        </w:rPr>
      </w:r>
    </w:p>
    <w:p>
      <w:pPr>
        <w:pStyle w:val="2"/>
        <w:outlineLvl w:val="4"/>
        <w:ind w:firstLine="540"/>
        <w:jc w:val="both"/>
      </w:pPr>
      <w:r>
        <w:rPr>
          <w:sz w:val="20"/>
        </w:rPr>
        <w:t xml:space="preserve">IV. Возможности для самореализации и развития талантов</w:t>
      </w:r>
    </w:p>
    <w:p>
      <w:pPr>
        <w:pStyle w:val="0"/>
        <w:spacing w:before="200" w:line-rule="auto"/>
        <w:ind w:firstLine="540"/>
        <w:jc w:val="both"/>
      </w:pPr>
      <w:r>
        <w:rPr>
          <w:sz w:val="20"/>
        </w:rPr>
        <w:t xml:space="preserve">В целях формирования эффективной системы выявления, поддержки, развития способностей и талантов у детей и молодежи будут реализованы следующие мероприятия:</w:t>
      </w:r>
    </w:p>
    <w:p>
      <w:pPr>
        <w:pStyle w:val="0"/>
        <w:spacing w:before="200" w:line-rule="auto"/>
        <w:ind w:firstLine="540"/>
        <w:jc w:val="both"/>
      </w:pPr>
      <w:r>
        <w:rPr>
          <w:sz w:val="20"/>
        </w:rPr>
        <w:t xml:space="preserve">- завершение строительства не менее 1500 новых школ, в которых смогут учиться больше миллиона детей;</w:t>
      </w:r>
    </w:p>
    <w:p>
      <w:pPr>
        <w:pStyle w:val="0"/>
        <w:spacing w:before="200" w:line-rule="auto"/>
        <w:ind w:firstLine="540"/>
        <w:jc w:val="both"/>
      </w:pPr>
      <w:r>
        <w:rPr>
          <w:sz w:val="20"/>
        </w:rPr>
        <w:t xml:space="preserve">- поддержка образовательных организаций высшего образования, в том числе с целью формирования группы университетов - национальных лидеров:</w:t>
      </w:r>
    </w:p>
    <w:p>
      <w:pPr>
        <w:pStyle w:val="0"/>
        <w:spacing w:before="200" w:line-rule="auto"/>
        <w:ind w:firstLine="540"/>
        <w:jc w:val="both"/>
      </w:pPr>
      <w:r>
        <w:rPr>
          <w:sz w:val="20"/>
        </w:rPr>
        <w:t xml:space="preserve">- планомерное увеличение количества бюджетных мест в учебных заведениях высшего образования;</w:t>
      </w:r>
    </w:p>
    <w:p>
      <w:pPr>
        <w:pStyle w:val="0"/>
        <w:spacing w:before="200" w:line-rule="auto"/>
        <w:ind w:firstLine="540"/>
        <w:jc w:val="both"/>
      </w:pPr>
      <w:r>
        <w:rPr>
          <w:sz w:val="20"/>
        </w:rPr>
        <w:t xml:space="preserve">- создание сети современных кампусов образовательных организаций высшего образования, расположенных в отдельных субъектах РФ;</w:t>
      </w:r>
    </w:p>
    <w:p>
      <w:pPr>
        <w:pStyle w:val="0"/>
        <w:spacing w:before="200" w:line-rule="auto"/>
        <w:ind w:firstLine="540"/>
        <w:jc w:val="both"/>
      </w:pPr>
      <w:r>
        <w:rPr>
          <w:sz w:val="20"/>
        </w:rPr>
        <w:t xml:space="preserve">- проведение капитального ремонта общежитий вузов;</w:t>
      </w:r>
    </w:p>
    <w:p>
      <w:pPr>
        <w:pStyle w:val="0"/>
        <w:spacing w:before="200" w:line-rule="auto"/>
        <w:ind w:firstLine="540"/>
        <w:jc w:val="both"/>
      </w:pPr>
      <w:r>
        <w:rPr>
          <w:sz w:val="20"/>
        </w:rPr>
        <w:t xml:space="preserve">- обновление приборной базы ведущих организаций, выполняющих научные исследования и разработки, а также создание новых лабораторий, в том числе под руководством молодых перспективных исследователей;</w:t>
      </w:r>
    </w:p>
    <w:p>
      <w:pPr>
        <w:pStyle w:val="0"/>
        <w:spacing w:before="200" w:line-rule="auto"/>
        <w:ind w:firstLine="540"/>
        <w:jc w:val="both"/>
      </w:pPr>
      <w:r>
        <w:rPr>
          <w:sz w:val="20"/>
        </w:rPr>
        <w:t xml:space="preserve">- расширение периметра функционирования проекта "Профессионалитет".</w:t>
      </w:r>
    </w:p>
    <w:p>
      <w:pPr>
        <w:pStyle w:val="0"/>
        <w:spacing w:before="200" w:line-rule="auto"/>
        <w:ind w:firstLine="540"/>
        <w:jc w:val="both"/>
      </w:pPr>
      <w:r>
        <w:rPr>
          <w:sz w:val="20"/>
        </w:rPr>
        <w:t xml:space="preserve">- обновление (строительство, реконструкция, капитальный ремонт) культурно-досуговых учреждений в сельской местности;</w:t>
      </w:r>
    </w:p>
    <w:p>
      <w:pPr>
        <w:pStyle w:val="0"/>
        <w:spacing w:before="200" w:line-rule="auto"/>
        <w:ind w:firstLine="540"/>
        <w:jc w:val="both"/>
      </w:pPr>
      <w:r>
        <w:rPr>
          <w:sz w:val="20"/>
        </w:rPr>
        <w:t xml:space="preserve">- обеспечение возможностей творческого развития и самореализации и продвижение талантливой молодежи в сфере искусства - оснащение образовательных учреждений в сфере культуры (детские школы искусств по видам искусств и училищ) музыкальными инструментами, оборудованием и учебными материалами;</w:t>
      </w:r>
    </w:p>
    <w:p>
      <w:pPr>
        <w:pStyle w:val="0"/>
        <w:spacing w:before="200" w:line-rule="auto"/>
        <w:ind w:firstLine="540"/>
        <w:jc w:val="both"/>
      </w:pPr>
      <w:r>
        <w:rPr>
          <w:sz w:val="20"/>
        </w:rPr>
        <w:t xml:space="preserve">- грантовая поддержка молодежных инициатив в рамках Всероссийского конкурса молодежных проектов, конкурса молодежных проектов Северо-Кавказского федерального округа;</w:t>
      </w:r>
    </w:p>
    <w:p>
      <w:pPr>
        <w:pStyle w:val="0"/>
        <w:spacing w:before="200" w:line-rule="auto"/>
        <w:ind w:firstLine="540"/>
        <w:jc w:val="both"/>
      </w:pPr>
      <w:r>
        <w:rPr>
          <w:sz w:val="20"/>
        </w:rPr>
        <w:t xml:space="preserve">- поддержка общероссийской общественно-государственной просветительской организации "Российское общество "Знание" общероссийского общественно-государственного движения детей и молодежи "Движение первых" в сфере духовно-нравственного воспитания;</w:t>
      </w:r>
    </w:p>
    <w:p>
      <w:pPr>
        <w:pStyle w:val="0"/>
        <w:spacing w:before="200" w:line-rule="auto"/>
        <w:ind w:firstLine="540"/>
        <w:jc w:val="both"/>
      </w:pPr>
      <w:r>
        <w:rPr>
          <w:sz w:val="20"/>
        </w:rPr>
        <w:t xml:space="preserve">- реализация программы комплексного развития молодежной политики в регионах Российской Федерации "Регион для молодых";</w:t>
      </w:r>
    </w:p>
    <w:p>
      <w:pPr>
        <w:pStyle w:val="0"/>
        <w:spacing w:before="200" w:line-rule="auto"/>
        <w:ind w:firstLine="540"/>
        <w:jc w:val="both"/>
      </w:pPr>
      <w:r>
        <w:rPr>
          <w:sz w:val="20"/>
        </w:rPr>
        <w:t xml:space="preserve">- поддержка проектов в области культуры, искусства и креативных (творческих) индустрий, осуществляемая по итогам проведения отборов, проводимых Президентским фондом культурных инициатив.</w:t>
      </w:r>
    </w:p>
    <w:p>
      <w:pPr>
        <w:pStyle w:val="0"/>
        <w:jc w:val="both"/>
      </w:pPr>
      <w:r>
        <w:rPr>
          <w:sz w:val="20"/>
        </w:rPr>
      </w:r>
    </w:p>
    <w:p>
      <w:pPr>
        <w:pStyle w:val="2"/>
        <w:outlineLvl w:val="4"/>
        <w:ind w:firstLine="540"/>
        <w:jc w:val="both"/>
      </w:pPr>
      <w:r>
        <w:rPr>
          <w:sz w:val="20"/>
        </w:rPr>
        <w:t xml:space="preserve">V. Комфортная и безопасная среда для жизни</w:t>
      </w:r>
    </w:p>
    <w:p>
      <w:pPr>
        <w:pStyle w:val="0"/>
        <w:spacing w:before="200" w:line-rule="auto"/>
        <w:ind w:firstLine="540"/>
        <w:jc w:val="both"/>
      </w:pPr>
      <w:r>
        <w:rPr>
          <w:sz w:val="20"/>
        </w:rPr>
        <w:t xml:space="preserve">В условиях изменившихся внешних и внутренних условий планируются следующие мероприятия, направленные на стимулирование спроса и предложения, а также на повышение эффективности работы строительного сектора, в том числе путем создания современной инфраструктуры:</w:t>
      </w:r>
    </w:p>
    <w:p>
      <w:pPr>
        <w:pStyle w:val="0"/>
        <w:spacing w:before="200" w:line-rule="auto"/>
        <w:ind w:firstLine="540"/>
        <w:jc w:val="both"/>
      </w:pPr>
      <w:r>
        <w:rPr>
          <w:sz w:val="20"/>
        </w:rPr>
        <w:t xml:space="preserve">- повышение доступности ипотеки, в том числе посредством реализации специальных ипотечных программ:</w:t>
      </w:r>
    </w:p>
    <w:p>
      <w:pPr>
        <w:pStyle w:val="0"/>
        <w:spacing w:before="200" w:line-rule="auto"/>
        <w:ind w:firstLine="540"/>
        <w:jc w:val="both"/>
      </w:pPr>
      <w:r>
        <w:rPr>
          <w:sz w:val="20"/>
        </w:rPr>
        <w:t xml:space="preserve">- реализация программы льготной семейной ипотеки;</w:t>
      </w:r>
    </w:p>
    <w:p>
      <w:pPr>
        <w:pStyle w:val="0"/>
        <w:spacing w:before="200" w:line-rule="auto"/>
        <w:ind w:firstLine="540"/>
        <w:jc w:val="both"/>
      </w:pPr>
      <w:r>
        <w:rPr>
          <w:sz w:val="20"/>
        </w:rPr>
        <w:t xml:space="preserve">- реализация программ "Дальневосточная ипотека", "Сельская ипотека", "Ипотека для IT-специалистов", "Льготная ипотека на территориях новых субъектов Российской Федерации";</w:t>
      </w:r>
    </w:p>
    <w:p>
      <w:pPr>
        <w:pStyle w:val="0"/>
        <w:spacing w:before="200" w:line-rule="auto"/>
        <w:ind w:firstLine="540"/>
        <w:jc w:val="both"/>
      </w:pPr>
      <w:r>
        <w:rPr>
          <w:sz w:val="20"/>
        </w:rPr>
        <w:t xml:space="preserve">- развитие рынка ИЖС (в т.ч. за счет развития соответствующего сегмента ипотечного рынка);</w:t>
      </w:r>
    </w:p>
    <w:p>
      <w:pPr>
        <w:pStyle w:val="0"/>
        <w:spacing w:before="200" w:line-rule="auto"/>
        <w:ind w:firstLine="540"/>
        <w:jc w:val="both"/>
      </w:pPr>
      <w:r>
        <w:rPr>
          <w:sz w:val="20"/>
        </w:rPr>
        <w:t xml:space="preserve">- цифровизация и стандартизация рынка ипотеки;</w:t>
      </w:r>
    </w:p>
    <w:p>
      <w:pPr>
        <w:pStyle w:val="0"/>
        <w:spacing w:before="200" w:line-rule="auto"/>
        <w:ind w:firstLine="540"/>
        <w:jc w:val="both"/>
      </w:pPr>
      <w:r>
        <w:rPr>
          <w:sz w:val="20"/>
        </w:rPr>
        <w:t xml:space="preserve">- сокращение непригодного для проживания и аварийного жилищного фонда;</w:t>
      </w:r>
    </w:p>
    <w:p>
      <w:pPr>
        <w:pStyle w:val="0"/>
        <w:spacing w:before="200" w:line-rule="auto"/>
        <w:ind w:firstLine="540"/>
        <w:jc w:val="both"/>
      </w:pPr>
      <w:r>
        <w:rPr>
          <w:sz w:val="20"/>
        </w:rPr>
        <w:t xml:space="preserve">- реализация инструментов поддержки, предусмотренных инфраструктурным меню (инфраструктурные бюджетные кредиты, инфраструктурные облигации, реструктуризация бюджетных кредитов и т.д.);</w:t>
      </w:r>
    </w:p>
    <w:p>
      <w:pPr>
        <w:pStyle w:val="0"/>
        <w:spacing w:before="200" w:line-rule="auto"/>
        <w:ind w:firstLine="540"/>
        <w:jc w:val="both"/>
      </w:pPr>
      <w:r>
        <w:rPr>
          <w:sz w:val="20"/>
        </w:rPr>
        <w:t xml:space="preserve">- совершенствование механизма инфраструктурных облигаций в целях привлечения долгосрочных ресурсов на создание необходимых объектов в рамках жилищного строительства (в том числе инженерных сетей, дорог, образовательных и медицинских учреждений);</w:t>
      </w:r>
    </w:p>
    <w:p>
      <w:pPr>
        <w:pStyle w:val="0"/>
        <w:spacing w:before="200" w:line-rule="auto"/>
        <w:ind w:firstLine="540"/>
        <w:jc w:val="both"/>
      </w:pPr>
      <w:r>
        <w:rPr>
          <w:sz w:val="20"/>
        </w:rPr>
        <w:t xml:space="preserve">- стимулирование формирования комфортной городской среды, в том числе в малых городах и исторических поселениях.</w:t>
      </w:r>
    </w:p>
    <w:p>
      <w:pPr>
        <w:pStyle w:val="0"/>
        <w:spacing w:before="200" w:line-rule="auto"/>
        <w:ind w:firstLine="540"/>
        <w:jc w:val="both"/>
      </w:pPr>
      <w:r>
        <w:rPr>
          <w:sz w:val="20"/>
        </w:rPr>
        <w:t xml:space="preserve">В целях совершенствования механизмов налогового стимулирования привлечения денежных средств физических лиц на финансовый рынок на долгосрочной основе:</w:t>
      </w:r>
    </w:p>
    <w:p>
      <w:pPr>
        <w:pStyle w:val="0"/>
        <w:spacing w:before="200" w:line-rule="auto"/>
        <w:ind w:firstLine="540"/>
        <w:jc w:val="both"/>
      </w:pPr>
      <w:r>
        <w:rPr>
          <w:sz w:val="20"/>
        </w:rPr>
        <w:t xml:space="preserve">- предоставление налогового вычета по налогу на доходы физических лиц в размере внесенных средств на ИИС нового типа на формирование негосударственной пенсии и (или) по договорам долгосрочных сбережений с учетом общего ограничения в размере 400 тыс. рублей за налоговый период;</w:t>
      </w:r>
    </w:p>
    <w:p>
      <w:pPr>
        <w:pStyle w:val="0"/>
        <w:spacing w:before="200" w:line-rule="auto"/>
        <w:ind w:firstLine="540"/>
        <w:jc w:val="both"/>
      </w:pPr>
      <w:r>
        <w:rPr>
          <w:sz w:val="20"/>
        </w:rPr>
        <w:t xml:space="preserve">- освобождение от налогообложения полученного финансового результата по соответствующим финансовым инструментам (продуктам) с установлением предельной величины такого освобождения;</w:t>
      </w:r>
    </w:p>
    <w:p>
      <w:pPr>
        <w:pStyle w:val="0"/>
        <w:spacing w:before="200" w:line-rule="auto"/>
        <w:ind w:firstLine="540"/>
        <w:jc w:val="both"/>
      </w:pPr>
      <w:r>
        <w:rPr>
          <w:sz w:val="20"/>
        </w:rPr>
        <w:t xml:space="preserve">- сохранение права на налоговые льготы при возврате денежных средств ранее установленного срока в случае оплаты дорогостоящего лечения.</w:t>
      </w:r>
    </w:p>
    <w:p>
      <w:pPr>
        <w:pStyle w:val="0"/>
        <w:jc w:val="both"/>
      </w:pPr>
      <w:r>
        <w:rPr>
          <w:sz w:val="20"/>
        </w:rPr>
      </w:r>
    </w:p>
    <w:p>
      <w:pPr>
        <w:pStyle w:val="2"/>
        <w:outlineLvl w:val="2"/>
        <w:ind w:firstLine="540"/>
        <w:jc w:val="both"/>
      </w:pPr>
      <w:r>
        <w:rPr>
          <w:sz w:val="20"/>
        </w:rPr>
        <w:t xml:space="preserve">3.2. ОПЕРАЦИОННАЯ ЭФФЕКТИВНОСТЬ</w:t>
      </w:r>
    </w:p>
    <w:p>
      <w:pPr>
        <w:pStyle w:val="0"/>
        <w:jc w:val="both"/>
      </w:pPr>
      <w:r>
        <w:rPr>
          <w:sz w:val="20"/>
        </w:rPr>
      </w:r>
    </w:p>
    <w:p>
      <w:pPr>
        <w:pStyle w:val="0"/>
        <w:ind w:firstLine="540"/>
        <w:jc w:val="both"/>
      </w:pPr>
      <w:r>
        <w:rPr>
          <w:sz w:val="20"/>
        </w:rPr>
        <w:t xml:space="preserve">Преобразования системы общественных финансов, запущенные в 2022 - 2023 годах, будут продолжены путем разработки дополнительных нормативных правовых актов, направленных на повышение эффективности использования бюджетных ассигнований, внедрение современных форматов контроля, предоставление более удобных сервисов для участников бюджетного процесса и пользователей государственных услуг.</w:t>
      </w:r>
    </w:p>
    <w:p>
      <w:pPr>
        <w:pStyle w:val="0"/>
        <w:jc w:val="both"/>
      </w:pPr>
      <w:r>
        <w:rPr>
          <w:sz w:val="20"/>
        </w:rPr>
      </w:r>
    </w:p>
    <w:p>
      <w:pPr>
        <w:pStyle w:val="2"/>
        <w:outlineLvl w:val="3"/>
        <w:ind w:firstLine="540"/>
        <w:jc w:val="both"/>
      </w:pPr>
      <w:r>
        <w:rPr>
          <w:sz w:val="20"/>
        </w:rPr>
        <w:t xml:space="preserve">Развитие института госпрограмм и проектных принципов управления</w:t>
      </w:r>
    </w:p>
    <w:p>
      <w:pPr>
        <w:pStyle w:val="0"/>
        <w:spacing w:before="200" w:line-rule="auto"/>
        <w:ind w:firstLine="540"/>
        <w:jc w:val="both"/>
      </w:pPr>
      <w:r>
        <w:rPr>
          <w:sz w:val="20"/>
        </w:rPr>
        <w:t xml:space="preserve">В целях обеспечения дополнительной оперативности и гибкости осуществления расходов федерального бюджета предполагается:</w:t>
      </w:r>
    </w:p>
    <w:p>
      <w:pPr>
        <w:pStyle w:val="0"/>
        <w:spacing w:before="200" w:line-rule="auto"/>
        <w:ind w:firstLine="540"/>
        <w:jc w:val="both"/>
      </w:pPr>
      <w:r>
        <w:rPr>
          <w:sz w:val="20"/>
        </w:rPr>
        <w:t xml:space="preserve">- установление правил принятия решений о корректировке параметров финансового обеспечения государственных программ;</w:t>
      </w:r>
    </w:p>
    <w:p>
      <w:pPr>
        <w:pStyle w:val="0"/>
        <w:spacing w:before="200" w:line-rule="auto"/>
        <w:ind w:firstLine="540"/>
        <w:jc w:val="both"/>
      </w:pPr>
      <w:r>
        <w:rPr>
          <w:sz w:val="20"/>
        </w:rPr>
        <w:t xml:space="preserve">- установление единой методики оценки эффективности государственных программ;</w:t>
      </w:r>
    </w:p>
    <w:p>
      <w:pPr>
        <w:pStyle w:val="0"/>
        <w:spacing w:before="200" w:line-rule="auto"/>
        <w:ind w:firstLine="540"/>
        <w:jc w:val="both"/>
      </w:pPr>
      <w:r>
        <w:rPr>
          <w:sz w:val="20"/>
        </w:rPr>
        <w:t xml:space="preserve">- совершенствование механизма координации государственных программ федерального и регионального уровней с повышением самостоятельности субъектов Российской Федерации в выборе инструментов достижения целей и показателей государственных программ;</w:t>
      </w:r>
    </w:p>
    <w:p>
      <w:pPr>
        <w:pStyle w:val="0"/>
        <w:spacing w:before="200" w:line-rule="auto"/>
        <w:ind w:firstLine="540"/>
        <w:jc w:val="both"/>
      </w:pPr>
      <w:r>
        <w:rPr>
          <w:sz w:val="20"/>
        </w:rPr>
        <w:t xml:space="preserve">- установление порядка планирования финансового обеспечения государственных программ за счет внебюджетных источников финансирования.</w:t>
      </w:r>
    </w:p>
    <w:p>
      <w:pPr>
        <w:pStyle w:val="0"/>
        <w:jc w:val="both"/>
      </w:pPr>
      <w:r>
        <w:rPr>
          <w:sz w:val="20"/>
        </w:rPr>
      </w:r>
    </w:p>
    <w:p>
      <w:pPr>
        <w:pStyle w:val="2"/>
        <w:outlineLvl w:val="3"/>
        <w:ind w:firstLine="540"/>
        <w:jc w:val="both"/>
      </w:pPr>
      <w:r>
        <w:rPr>
          <w:sz w:val="20"/>
        </w:rPr>
        <w:t xml:space="preserve">Обзоры бюджетных расходов</w:t>
      </w:r>
    </w:p>
    <w:p>
      <w:pPr>
        <w:pStyle w:val="0"/>
        <w:spacing w:before="200" w:line-rule="auto"/>
        <w:ind w:firstLine="540"/>
        <w:jc w:val="both"/>
      </w:pPr>
      <w:r>
        <w:rPr>
          <w:sz w:val="20"/>
        </w:rPr>
        <w:t xml:space="preserve">Предполагается проведение обзоров бюджетных расходов с учетом обновленного подхода к их проведению.</w:t>
      </w:r>
    </w:p>
    <w:p>
      <w:pPr>
        <w:pStyle w:val="0"/>
        <w:spacing w:before="200" w:line-rule="auto"/>
        <w:ind w:firstLine="540"/>
        <w:jc w:val="both"/>
      </w:pPr>
      <w:r>
        <w:rPr>
          <w:sz w:val="20"/>
        </w:rPr>
        <w:t xml:space="preserve">Реализация данного подхода позволит задействовать реальный потенциал инструмента обзоров бюджетных расходов в решении задач выявления направлений оптимизации и повышения эффективности бюджетных расходов.</w:t>
      </w:r>
    </w:p>
    <w:p>
      <w:pPr>
        <w:pStyle w:val="0"/>
        <w:jc w:val="both"/>
      </w:pPr>
      <w:r>
        <w:rPr>
          <w:sz w:val="20"/>
        </w:rPr>
      </w:r>
    </w:p>
    <w:p>
      <w:pPr>
        <w:pStyle w:val="2"/>
        <w:outlineLvl w:val="3"/>
        <w:ind w:firstLine="540"/>
        <w:jc w:val="both"/>
      </w:pPr>
      <w:r>
        <w:rPr>
          <w:sz w:val="20"/>
        </w:rPr>
        <w:t xml:space="preserve">Развитие системы учета, контроля и оценки налоговых расходов</w:t>
      </w:r>
    </w:p>
    <w:p>
      <w:pPr>
        <w:pStyle w:val="0"/>
        <w:spacing w:before="200" w:line-rule="auto"/>
        <w:ind w:firstLine="540"/>
        <w:jc w:val="both"/>
      </w:pPr>
      <w:r>
        <w:rPr>
          <w:sz w:val="20"/>
        </w:rPr>
        <w:t xml:space="preserve">В рамках развития единой системы учета, контроля и оценки налоговых расходов на всех уровнях бюджетной системы планируется работа в следующих направлениях:</w:t>
      </w:r>
    </w:p>
    <w:p>
      <w:pPr>
        <w:pStyle w:val="0"/>
        <w:spacing w:before="200" w:line-rule="auto"/>
        <w:ind w:firstLine="540"/>
        <w:jc w:val="both"/>
      </w:pPr>
      <w:r>
        <w:rPr>
          <w:sz w:val="20"/>
        </w:rPr>
        <w:t xml:space="preserve">- формирование сплошной и преемственной системы мониторинга и оценки эффективности налоговых расходов: от этапа законопроекта о введении преференции до ежегодной оценки на основе формализованной методики для формирования предложения предложений по "донастройке" льготных режимов для повышения их эффективности;</w:t>
      </w:r>
    </w:p>
    <w:p>
      <w:pPr>
        <w:pStyle w:val="0"/>
        <w:spacing w:before="200" w:line-rule="auto"/>
        <w:ind w:firstLine="540"/>
        <w:jc w:val="both"/>
      </w:pPr>
      <w:r>
        <w:rPr>
          <w:sz w:val="20"/>
        </w:rPr>
        <w:t xml:space="preserve">- интеграция результатов оценки эффективности налоговых расходов Российской Федерации и оценки инвестиционных налоговых льгот и преференциальных налоговых режимов в бюджетный процесс;</w:t>
      </w:r>
    </w:p>
    <w:p>
      <w:pPr>
        <w:pStyle w:val="0"/>
        <w:spacing w:before="200" w:line-rule="auto"/>
        <w:ind w:firstLine="540"/>
        <w:jc w:val="both"/>
      </w:pPr>
      <w:r>
        <w:rPr>
          <w:sz w:val="20"/>
        </w:rPr>
        <w:t xml:space="preserve">- проведение на базе аналитической системы "Эффективность льгот" на ежегодной основе оценки эффективности действующих налоговых льгот, носящих инвестиционный характер, с возможностью формирования предложений по их последующей "донастройке";</w:t>
      </w:r>
    </w:p>
    <w:p>
      <w:pPr>
        <w:pStyle w:val="0"/>
        <w:spacing w:before="200" w:line-rule="auto"/>
        <w:ind w:firstLine="540"/>
        <w:jc w:val="both"/>
      </w:pPr>
      <w:r>
        <w:rPr>
          <w:sz w:val="20"/>
        </w:rPr>
        <w:t xml:space="preserve">- подготовка обзора, обобщающего лучшие практики управления налоговыми расходами на региональном уровне;</w:t>
      </w:r>
    </w:p>
    <w:p>
      <w:pPr>
        <w:pStyle w:val="0"/>
        <w:spacing w:before="200" w:line-rule="auto"/>
        <w:ind w:firstLine="540"/>
        <w:jc w:val="both"/>
      </w:pPr>
      <w:r>
        <w:rPr>
          <w:sz w:val="20"/>
        </w:rPr>
        <w:t xml:space="preserve">- продолжение работы по совершенствованию и автоматизации системы сбора и анализа данных по налоговым льготам (расходам), в т.ч. взаимодействие ФНС России, ФТС России, Минфина России и кураторов налоговых расходов при подготовке данных о фискальных характеристиках налоговых расходов.</w:t>
      </w:r>
    </w:p>
    <w:p>
      <w:pPr>
        <w:pStyle w:val="0"/>
        <w:spacing w:before="200" w:line-rule="auto"/>
        <w:ind w:firstLine="540"/>
        <w:jc w:val="both"/>
      </w:pPr>
      <w:r>
        <w:rPr>
          <w:sz w:val="20"/>
        </w:rPr>
        <w:t xml:space="preserve">- уточнение (отмена) налоговых льгот, обуславливающих налоговые расходы Российской Федерации, не соответствующих критериям целесообразности и (или) результативности по итогам оценки, проведенной кураторами налоговых расходов, а также проработка вопроса о необходимости установления альтернативных мер поддержки.</w:t>
      </w:r>
    </w:p>
    <w:p>
      <w:pPr>
        <w:pStyle w:val="0"/>
        <w:jc w:val="both"/>
      </w:pPr>
      <w:r>
        <w:rPr>
          <w:sz w:val="20"/>
        </w:rPr>
      </w:r>
    </w:p>
    <w:p>
      <w:pPr>
        <w:pStyle w:val="2"/>
        <w:outlineLvl w:val="3"/>
        <w:ind w:firstLine="540"/>
        <w:jc w:val="both"/>
      </w:pPr>
      <w:r>
        <w:rPr>
          <w:sz w:val="20"/>
        </w:rPr>
        <w:t xml:space="preserve">Развитие контрактной системы</w:t>
      </w:r>
    </w:p>
    <w:p>
      <w:pPr>
        <w:pStyle w:val="0"/>
        <w:spacing w:before="200" w:line-rule="auto"/>
        <w:ind w:firstLine="540"/>
        <w:jc w:val="both"/>
      </w:pPr>
      <w:r>
        <w:rPr>
          <w:sz w:val="20"/>
        </w:rPr>
        <w:t xml:space="preserve">К концу 2024 года планируется завершить работу по электронизации процессов открытых конкурентных закупок в электронной форме. Создаваемая цифровая система государственных закупок должна функционировать через единый портал закупок, обеспечивающий:</w:t>
      </w:r>
    </w:p>
    <w:p>
      <w:pPr>
        <w:pStyle w:val="0"/>
        <w:spacing w:before="200" w:line-rule="auto"/>
        <w:ind w:firstLine="540"/>
        <w:jc w:val="both"/>
      </w:pPr>
      <w:r>
        <w:rPr>
          <w:sz w:val="20"/>
        </w:rPr>
        <w:t xml:space="preserve">- полноценный электронный документооборот (формирование, подписание, обмен и размещение документов по электронным закупкам);</w:t>
      </w:r>
    </w:p>
    <w:p>
      <w:pPr>
        <w:pStyle w:val="0"/>
        <w:spacing w:before="200" w:line-rule="auto"/>
        <w:ind w:firstLine="540"/>
        <w:jc w:val="both"/>
      </w:pPr>
      <w:r>
        <w:rPr>
          <w:sz w:val="20"/>
        </w:rPr>
        <w:t xml:space="preserve">- однократный ввод и многократное последующее использование информации, прошедшей предварительный автоматизированный контроль, в том числе за счет интеграции с иными государственными информационными системами.</w:t>
      </w:r>
    </w:p>
    <w:p>
      <w:pPr>
        <w:pStyle w:val="0"/>
        <w:spacing w:before="200" w:line-rule="auto"/>
        <w:ind w:firstLine="540"/>
        <w:jc w:val="both"/>
      </w:pPr>
      <w:r>
        <w:rPr>
          <w:sz w:val="20"/>
        </w:rPr>
        <w:t xml:space="preserve">К концу 2024 года запланировано завершение перехода новых регионов к применению российского законодательства о закупках.</w:t>
      </w:r>
    </w:p>
    <w:p>
      <w:pPr>
        <w:pStyle w:val="0"/>
        <w:jc w:val="both"/>
      </w:pPr>
      <w:r>
        <w:rPr>
          <w:sz w:val="20"/>
        </w:rPr>
      </w:r>
    </w:p>
    <w:p>
      <w:pPr>
        <w:pStyle w:val="2"/>
        <w:outlineLvl w:val="3"/>
        <w:ind w:firstLine="540"/>
        <w:jc w:val="both"/>
      </w:pPr>
      <w:r>
        <w:rPr>
          <w:sz w:val="20"/>
        </w:rPr>
        <w:t xml:space="preserve">Развитие казначейского сопровождения и платежных сервисов</w:t>
      </w:r>
    </w:p>
    <w:p>
      <w:pPr>
        <w:pStyle w:val="0"/>
        <w:spacing w:before="200" w:line-rule="auto"/>
        <w:ind w:firstLine="540"/>
        <w:jc w:val="both"/>
      </w:pPr>
      <w:r>
        <w:rPr>
          <w:sz w:val="20"/>
        </w:rPr>
        <w:t xml:space="preserve">Продолжится создание удобных сервисов в рамках развития системы казначейского сопровождения, в том числе внедрение нового сервиса в ГИИС "Электронный бюджет" с использованием электронного санкционирования расходов - совершение платежей "день в день" (предполагает проведение операций, не требующих представления подтверждающих документов).</w:t>
      </w:r>
    </w:p>
    <w:p>
      <w:pPr>
        <w:pStyle w:val="0"/>
        <w:spacing w:before="200" w:line-rule="auto"/>
        <w:ind w:firstLine="540"/>
        <w:jc w:val="both"/>
      </w:pPr>
      <w:r>
        <w:rPr>
          <w:sz w:val="20"/>
        </w:rPr>
        <w:t xml:space="preserve">Готовится возможность открытия специальных рублевых счетов типа "З" и специальных валютных счетов типа "З" для иностранных покупателей российской сельскохозяйственной продукции. Это позволит упростить доступ дружественных стран на продовольственный рынок и рассчитываться за продовольственные товары в национальных валютах.</w:t>
      </w:r>
    </w:p>
    <w:p>
      <w:pPr>
        <w:pStyle w:val="0"/>
        <w:jc w:val="both"/>
      </w:pPr>
      <w:r>
        <w:rPr>
          <w:sz w:val="20"/>
        </w:rPr>
      </w:r>
    </w:p>
    <w:p>
      <w:pPr>
        <w:pStyle w:val="2"/>
        <w:outlineLvl w:val="3"/>
        <w:ind w:firstLine="540"/>
        <w:jc w:val="both"/>
      </w:pPr>
      <w:r>
        <w:rPr>
          <w:sz w:val="20"/>
        </w:rPr>
        <w:t xml:space="preserve">Современные технологии планирования и исполнения бюджета</w:t>
      </w:r>
    </w:p>
    <w:p>
      <w:pPr>
        <w:pStyle w:val="0"/>
        <w:spacing w:before="200" w:line-rule="auto"/>
        <w:ind w:firstLine="540"/>
        <w:jc w:val="both"/>
      </w:pPr>
      <w:r>
        <w:rPr>
          <w:sz w:val="20"/>
        </w:rPr>
        <w:t xml:space="preserve">Планируется реализация проекта по внедрению в бюджетный процесс элементов нулевого бюджетирования, направленный на сокращение объема базовых бюджетных ассигнований федерального бюджета путем исключения из стандартной методики их расчета на основе "базового" года отдельных направлений расходования средств в целях обеспечения дополнительной обоснованности таких бюджетных ассигнований.</w:t>
      </w:r>
    </w:p>
    <w:p>
      <w:pPr>
        <w:pStyle w:val="0"/>
        <w:spacing w:before="200" w:line-rule="auto"/>
        <w:ind w:firstLine="540"/>
        <w:jc w:val="both"/>
      </w:pPr>
      <w:r>
        <w:rPr>
          <w:sz w:val="20"/>
        </w:rPr>
        <w:t xml:space="preserve">В 2024 году в целях повышения эффективности планирования и исполнения бюджета будет продолжено:</w:t>
      </w:r>
    </w:p>
    <w:p>
      <w:pPr>
        <w:pStyle w:val="0"/>
        <w:spacing w:before="200" w:line-rule="auto"/>
        <w:ind w:firstLine="540"/>
        <w:jc w:val="both"/>
      </w:pPr>
      <w:r>
        <w:rPr>
          <w:sz w:val="20"/>
        </w:rPr>
        <w:t xml:space="preserve">- совершенствование системы обоснований бюджетных ассигнований (ОБАС) путем внедрения подхода, который позволит обосновать объемы финансирования, направленные на достижение всех результатов государственных программ, а также оптимизировать управление национальными проектами и государственными программами за счет исключения дублирования информации при составлении проекта бюджета;</w:t>
      </w:r>
    </w:p>
    <w:p>
      <w:pPr>
        <w:pStyle w:val="0"/>
        <w:spacing w:before="200" w:line-rule="auto"/>
        <w:ind w:firstLine="540"/>
        <w:jc w:val="both"/>
      </w:pPr>
      <w:r>
        <w:rPr>
          <w:sz w:val="20"/>
        </w:rPr>
        <w:t xml:space="preserve">- повышение равномерности исполнения федерального бюджета, в том числе повышение финансовой дисциплины и эффективности использования бюджетных средств.</w:t>
      </w:r>
    </w:p>
    <w:p>
      <w:pPr>
        <w:pStyle w:val="0"/>
        <w:jc w:val="both"/>
      </w:pPr>
      <w:r>
        <w:rPr>
          <w:sz w:val="20"/>
        </w:rPr>
      </w:r>
    </w:p>
    <w:p>
      <w:pPr>
        <w:pStyle w:val="2"/>
        <w:outlineLvl w:val="3"/>
        <w:ind w:firstLine="540"/>
        <w:jc w:val="both"/>
      </w:pPr>
      <w:r>
        <w:rPr>
          <w:sz w:val="20"/>
        </w:rPr>
        <w:t xml:space="preserve">Централизация обеспечивающих функций государственных органов</w:t>
      </w:r>
    </w:p>
    <w:p>
      <w:pPr>
        <w:pStyle w:val="0"/>
        <w:spacing w:before="200" w:line-rule="auto"/>
        <w:ind w:firstLine="540"/>
        <w:jc w:val="both"/>
      </w:pPr>
      <w:r>
        <w:rPr>
          <w:sz w:val="20"/>
        </w:rPr>
        <w:t xml:space="preserve">В целях формирования эффективного, компактного государственного аппарата, ориентированного исключительно на исполнение государственных (публично-властных) функций (полномочий), проводится работа по исключению из компетенции федеральных органов исполнительной власти полномочий по обеспечению своей деятельности и их централизации на базе специализированных федеральных казенных учреждений.</w:t>
      </w:r>
    </w:p>
    <w:p>
      <w:pPr>
        <w:pStyle w:val="0"/>
        <w:spacing w:before="200" w:line-rule="auto"/>
        <w:ind w:firstLine="540"/>
        <w:jc w:val="both"/>
      </w:pPr>
      <w:r>
        <w:rPr>
          <w:sz w:val="20"/>
        </w:rPr>
        <w:t xml:space="preserve">В ближайшей перспективе будет продолжена работа по централизации отдельных обеспечивающих полномочий федеральных органов исполнительной власти в сфере ведения бухгалтерского учета и предоставления отчетности, начисления и выплаты заработной платы, закупочной деятельности.</w:t>
      </w:r>
    </w:p>
    <w:p>
      <w:pPr>
        <w:pStyle w:val="0"/>
        <w:jc w:val="both"/>
      </w:pPr>
      <w:r>
        <w:rPr>
          <w:sz w:val="20"/>
        </w:rPr>
      </w:r>
    </w:p>
    <w:p>
      <w:pPr>
        <w:pStyle w:val="2"/>
        <w:outlineLvl w:val="3"/>
        <w:ind w:firstLine="540"/>
        <w:jc w:val="both"/>
      </w:pPr>
      <w:r>
        <w:rPr>
          <w:sz w:val="20"/>
        </w:rPr>
        <w:t xml:space="preserve">Повышение бюджетной эффективности оказания бюджетных услуг</w:t>
      </w:r>
    </w:p>
    <w:p>
      <w:pPr>
        <w:pStyle w:val="0"/>
        <w:spacing w:before="200" w:line-rule="auto"/>
        <w:ind w:firstLine="540"/>
        <w:jc w:val="both"/>
      </w:pPr>
      <w:r>
        <w:rPr>
          <w:sz w:val="20"/>
        </w:rPr>
        <w:t xml:space="preserve">Продолжится развитие механизмов организации оказания услуг в социальной сфере, направленных на повышение качества и доступности услуг для их получателей, а также эффективности использования бюджетных средств, в том числе планируется:</w:t>
      </w:r>
    </w:p>
    <w:p>
      <w:pPr>
        <w:pStyle w:val="0"/>
        <w:spacing w:before="200" w:line-rule="auto"/>
        <w:ind w:firstLine="540"/>
        <w:jc w:val="both"/>
      </w:pPr>
      <w:r>
        <w:rPr>
          <w:sz w:val="20"/>
        </w:rPr>
        <w:t xml:space="preserve">- расширение направлений деятельности, в отношении которых формируются социальные заказы;</w:t>
      </w:r>
    </w:p>
    <w:p>
      <w:pPr>
        <w:pStyle w:val="0"/>
        <w:spacing w:before="200" w:line-rule="auto"/>
        <w:ind w:firstLine="540"/>
        <w:jc w:val="both"/>
      </w:pPr>
      <w:r>
        <w:rPr>
          <w:sz w:val="20"/>
        </w:rPr>
        <w:t xml:space="preserve">- цифровизация (на базе ГИИС "Электронный бюджет") процедур заключения соглашения о финансовом обеспечении оказания бюджетных услуг, и проведения конкурса на заключение соглашения об оказании услуг в социальной сфере;</w:t>
      </w:r>
    </w:p>
    <w:p>
      <w:pPr>
        <w:pStyle w:val="0"/>
        <w:spacing w:before="200" w:line-rule="auto"/>
        <w:ind w:firstLine="540"/>
        <w:jc w:val="both"/>
      </w:pPr>
      <w:r>
        <w:rPr>
          <w:sz w:val="20"/>
        </w:rPr>
        <w:t xml:space="preserve">- использование механизмов государственно-частного партнерства при реализации социального заказа;</w:t>
      </w:r>
    </w:p>
    <w:p>
      <w:pPr>
        <w:pStyle w:val="0"/>
        <w:spacing w:before="200" w:line-rule="auto"/>
        <w:ind w:firstLine="540"/>
        <w:jc w:val="both"/>
      </w:pPr>
      <w:r>
        <w:rPr>
          <w:sz w:val="20"/>
        </w:rPr>
        <w:t xml:space="preserve">- интеграция механизмов социального заказа и инициативного бюджетирования.</w:t>
      </w:r>
    </w:p>
    <w:p>
      <w:pPr>
        <w:pStyle w:val="0"/>
        <w:spacing w:before="200" w:line-rule="auto"/>
        <w:ind w:firstLine="540"/>
        <w:jc w:val="both"/>
      </w:pPr>
      <w:r>
        <w:rPr>
          <w:sz w:val="20"/>
        </w:rPr>
        <w:t xml:space="preserve">По результатам завершения апробации механизмов организации оказания государственных (муниципальных) услуг в социальной сфере в рамках социального заказа планируется:</w:t>
      </w:r>
    </w:p>
    <w:p>
      <w:pPr>
        <w:pStyle w:val="0"/>
        <w:spacing w:before="200" w:line-rule="auto"/>
        <w:ind w:firstLine="540"/>
        <w:jc w:val="both"/>
      </w:pPr>
      <w:r>
        <w:rPr>
          <w:sz w:val="20"/>
        </w:rPr>
        <w:t xml:space="preserve">- проведение анализа (в том числе социологического исследования) апробации и экспертно-аналитического обсуждения результатов апробации механизмов;</w:t>
      </w:r>
    </w:p>
    <w:p>
      <w:pPr>
        <w:pStyle w:val="0"/>
        <w:spacing w:before="200" w:line-rule="auto"/>
        <w:ind w:firstLine="540"/>
        <w:jc w:val="both"/>
      </w:pPr>
      <w:r>
        <w:rPr>
          <w:sz w:val="20"/>
        </w:rPr>
        <w:t xml:space="preserve">- снятие ограничений применения механизмов, их распространение на всей территории Российской Федерации.</w:t>
      </w:r>
    </w:p>
    <w:p>
      <w:pPr>
        <w:pStyle w:val="0"/>
        <w:spacing w:before="200" w:line-rule="auto"/>
        <w:ind w:firstLine="540"/>
        <w:jc w:val="both"/>
      </w:pPr>
      <w:r>
        <w:rPr>
          <w:sz w:val="20"/>
        </w:rPr>
        <w:t xml:space="preserve">Также дополнительными направлениями работы станут:</w:t>
      </w:r>
    </w:p>
    <w:p>
      <w:pPr>
        <w:pStyle w:val="0"/>
        <w:spacing w:before="200" w:line-rule="auto"/>
        <w:ind w:firstLine="540"/>
        <w:jc w:val="both"/>
      </w:pPr>
      <w:r>
        <w:rPr>
          <w:sz w:val="20"/>
        </w:rPr>
        <w:t xml:space="preserve">- разработка новых критериев для определения типа государственного учреждения при его создании;</w:t>
      </w:r>
    </w:p>
    <w:p>
      <w:pPr>
        <w:pStyle w:val="0"/>
        <w:spacing w:before="200" w:line-rule="auto"/>
        <w:ind w:firstLine="540"/>
        <w:jc w:val="both"/>
      </w:pPr>
      <w:r>
        <w:rPr>
          <w:sz w:val="20"/>
        </w:rPr>
        <w:t xml:space="preserve">- разработка единых правил предоставления федеральным учреждениям субсидий на иные цели;</w:t>
      </w:r>
    </w:p>
    <w:p>
      <w:pPr>
        <w:pStyle w:val="0"/>
        <w:spacing w:before="200" w:line-rule="auto"/>
        <w:ind w:firstLine="540"/>
        <w:jc w:val="both"/>
      </w:pPr>
      <w:r>
        <w:rPr>
          <w:sz w:val="20"/>
        </w:rPr>
        <w:t xml:space="preserve">- уточнение порядка расчета финансового обеспечения выполнения государственного задания.</w:t>
      </w:r>
    </w:p>
    <w:p>
      <w:pPr>
        <w:pStyle w:val="0"/>
        <w:jc w:val="both"/>
      </w:pPr>
      <w:r>
        <w:rPr>
          <w:sz w:val="20"/>
        </w:rPr>
      </w:r>
    </w:p>
    <w:p>
      <w:pPr>
        <w:pStyle w:val="2"/>
        <w:outlineLvl w:val="3"/>
        <w:ind w:firstLine="540"/>
        <w:jc w:val="both"/>
      </w:pPr>
      <w:r>
        <w:rPr>
          <w:sz w:val="20"/>
        </w:rPr>
        <w:t xml:space="preserve">Повышение эффективности внутреннего государственного (муниципального) финансового контроля</w:t>
      </w:r>
    </w:p>
    <w:p>
      <w:pPr>
        <w:pStyle w:val="0"/>
        <w:spacing w:before="200" w:line-rule="auto"/>
        <w:ind w:firstLine="540"/>
        <w:jc w:val="both"/>
      </w:pPr>
      <w:r>
        <w:rPr>
          <w:sz w:val="20"/>
        </w:rPr>
        <w:t xml:space="preserve">В целях повышения эффективности внутреннего государственного (муниципального) финансового контроля планируется:</w:t>
      </w:r>
    </w:p>
    <w:p>
      <w:pPr>
        <w:pStyle w:val="0"/>
        <w:spacing w:before="200" w:line-rule="auto"/>
        <w:ind w:firstLine="540"/>
        <w:jc w:val="both"/>
      </w:pPr>
      <w:r>
        <w:rPr>
          <w:sz w:val="20"/>
        </w:rPr>
        <w:t xml:space="preserve">- обеспечение методологической поддержки органов внутреннего государственного (муниципального) финансового контроля в рамках требований федеральных стандартов;</w:t>
      </w:r>
    </w:p>
    <w:p>
      <w:pPr>
        <w:pStyle w:val="0"/>
        <w:spacing w:before="200" w:line-rule="auto"/>
        <w:ind w:firstLine="540"/>
        <w:jc w:val="both"/>
      </w:pPr>
      <w:r>
        <w:rPr>
          <w:sz w:val="20"/>
        </w:rPr>
        <w:t xml:space="preserve">- с учетом практического применения федеральных стандартов внутреннего государственного (муниципального) финансового контроля совершенствование правового регулирования указанной сферы деятельности;</w:t>
      </w:r>
    </w:p>
    <w:p>
      <w:pPr>
        <w:pStyle w:val="0"/>
        <w:spacing w:before="200" w:line-rule="auto"/>
        <w:ind w:firstLine="540"/>
        <w:jc w:val="both"/>
      </w:pPr>
      <w:r>
        <w:rPr>
          <w:sz w:val="20"/>
        </w:rPr>
        <w:t xml:space="preserve">- разработка законопроекта, устанавливающего правовые основы осуществления превентивных методов внутреннего государственного (муниципального) финансового контроля;</w:t>
      </w:r>
    </w:p>
    <w:p>
      <w:pPr>
        <w:pStyle w:val="0"/>
        <w:spacing w:before="200" w:line-rule="auto"/>
        <w:ind w:firstLine="540"/>
        <w:jc w:val="both"/>
      </w:pPr>
      <w:r>
        <w:rPr>
          <w:sz w:val="20"/>
        </w:rPr>
        <w:t xml:space="preserve">- развитие подсистем финансового контроля и инструментов контроллинга в целях автоматизации исполнения бюджетных полномочий органов внутреннего государственного финансового контроля в ГИИС "Электронный бюджет".</w:t>
      </w:r>
    </w:p>
    <w:p>
      <w:pPr>
        <w:pStyle w:val="0"/>
        <w:jc w:val="both"/>
      </w:pPr>
      <w:r>
        <w:rPr>
          <w:sz w:val="20"/>
        </w:rPr>
      </w:r>
    </w:p>
    <w:p>
      <w:pPr>
        <w:pStyle w:val="2"/>
        <w:outlineLvl w:val="3"/>
        <w:ind w:firstLine="540"/>
        <w:jc w:val="both"/>
      </w:pPr>
      <w:r>
        <w:rPr>
          <w:sz w:val="20"/>
        </w:rPr>
        <w:t xml:space="preserve">Совершенствование управления государственным имуществом и компаниями с государственным участием</w:t>
      </w:r>
    </w:p>
    <w:p>
      <w:pPr>
        <w:pStyle w:val="0"/>
        <w:spacing w:before="200" w:line-rule="auto"/>
        <w:ind w:firstLine="540"/>
        <w:jc w:val="both"/>
      </w:pPr>
      <w:r>
        <w:rPr>
          <w:sz w:val="20"/>
        </w:rPr>
        <w:t xml:space="preserve">Основными задачами в части повышения качества управления компаниями с госучастием и государственным имуществом в 2024 - 2026 годы станут:</w:t>
      </w:r>
    </w:p>
    <w:p>
      <w:pPr>
        <w:pStyle w:val="0"/>
        <w:spacing w:before="200" w:line-rule="auto"/>
        <w:ind w:firstLine="540"/>
        <w:jc w:val="both"/>
      </w:pPr>
      <w:r>
        <w:rPr>
          <w:sz w:val="20"/>
        </w:rPr>
        <w:t xml:space="preserve">- продолжение работы над внедрением единого подхода к дивидендной политике всех акционерных обществ в федеральной собственности;</w:t>
      </w:r>
    </w:p>
    <w:p>
      <w:pPr>
        <w:pStyle w:val="0"/>
        <w:spacing w:before="200" w:line-rule="auto"/>
        <w:ind w:firstLine="540"/>
        <w:jc w:val="both"/>
      </w:pPr>
      <w:r>
        <w:rPr>
          <w:sz w:val="20"/>
        </w:rPr>
        <w:t xml:space="preserve">- расширение практики стимулирования через систему КПЭ и реализацию значимых проектов;</w:t>
      </w:r>
    </w:p>
    <w:p>
      <w:pPr>
        <w:pStyle w:val="0"/>
        <w:spacing w:before="200" w:line-rule="auto"/>
        <w:ind w:firstLine="540"/>
        <w:jc w:val="both"/>
      </w:pPr>
      <w:r>
        <w:rPr>
          <w:sz w:val="20"/>
        </w:rPr>
        <w:t xml:space="preserve">- снижение рисков, связанных с уровнем долговой нагрузки компаний с государственным участием, путем организации работы по анализу и мониторингу их долговой нагрузки и финансовой устойчивости;</w:t>
      </w:r>
    </w:p>
    <w:p>
      <w:pPr>
        <w:pStyle w:val="0"/>
        <w:spacing w:before="200" w:line-rule="auto"/>
        <w:ind w:firstLine="540"/>
        <w:jc w:val="both"/>
      </w:pPr>
      <w:r>
        <w:rPr>
          <w:sz w:val="20"/>
        </w:rPr>
        <w:t xml:space="preserve">- сокращение участия государства в хозяйственных обществах, реорганизация (ликвидация) ФГУП;</w:t>
      </w:r>
    </w:p>
    <w:p>
      <w:pPr>
        <w:pStyle w:val="0"/>
        <w:spacing w:before="200" w:line-rule="auto"/>
        <w:ind w:firstLine="540"/>
        <w:jc w:val="both"/>
      </w:pPr>
      <w:r>
        <w:rPr>
          <w:sz w:val="20"/>
        </w:rPr>
        <w:t xml:space="preserve">- формирование оптимального состава государственной казны путем определения целевых функций (с дорожными картами по их реализации) в отношении проблемных объектов незавершенного строительства, гидротехнических сооружений, объектов культурного наследия, объектов религиозного назначения, конфискованных морских судов и объектов жилищного фонда;</w:t>
      </w:r>
    </w:p>
    <w:p>
      <w:pPr>
        <w:pStyle w:val="0"/>
        <w:spacing w:before="200" w:line-rule="auto"/>
        <w:ind w:firstLine="540"/>
        <w:jc w:val="both"/>
      </w:pPr>
      <w:r>
        <w:rPr>
          <w:sz w:val="20"/>
        </w:rPr>
        <w:t xml:space="preserve">- дальнейшее вовлечение в хозяйственный оборот объектов государственной казны.</w:t>
      </w:r>
    </w:p>
    <w:p>
      <w:pPr>
        <w:pStyle w:val="0"/>
        <w:spacing w:before="200" w:line-rule="auto"/>
        <w:ind w:firstLine="540"/>
        <w:jc w:val="both"/>
      </w:pPr>
      <w:r>
        <w:rPr>
          <w:sz w:val="20"/>
        </w:rPr>
        <w:t xml:space="preserve">В рамках работы по межведомственной интеграции информационной системы Росимущества с информационными системами иных органов государственной власти после 2023 года планируется осуществление соответствующих мероприятий с МВД России, МЧС России и Ростехнадзором.</w:t>
      </w:r>
    </w:p>
    <w:p>
      <w:pPr>
        <w:pStyle w:val="0"/>
        <w:jc w:val="both"/>
      </w:pPr>
      <w:r>
        <w:rPr>
          <w:sz w:val="20"/>
        </w:rPr>
      </w:r>
    </w:p>
    <w:p>
      <w:pPr>
        <w:pStyle w:val="2"/>
        <w:outlineLvl w:val="3"/>
        <w:ind w:firstLine="540"/>
        <w:jc w:val="both"/>
      </w:pPr>
      <w:r>
        <w:rPr>
          <w:sz w:val="20"/>
        </w:rPr>
        <w:t xml:space="preserve">Открытость бюджета и инициативное бюджетирование</w:t>
      </w:r>
    </w:p>
    <w:p>
      <w:pPr>
        <w:pStyle w:val="0"/>
        <w:spacing w:before="200" w:line-rule="auto"/>
        <w:ind w:firstLine="540"/>
        <w:jc w:val="both"/>
      </w:pPr>
      <w:r>
        <w:rPr>
          <w:sz w:val="20"/>
        </w:rPr>
        <w:t xml:space="preserve">В целях дальнейшего повышения открытости бюджета и развития института инициативного бюджетирования в 2024 году планируется:</w:t>
      </w:r>
    </w:p>
    <w:p>
      <w:pPr>
        <w:pStyle w:val="0"/>
        <w:spacing w:before="200" w:line-rule="auto"/>
        <w:ind w:firstLine="540"/>
        <w:jc w:val="both"/>
      </w:pPr>
      <w:r>
        <w:rPr>
          <w:sz w:val="20"/>
        </w:rPr>
        <w:t xml:space="preserve">- расширение каналов распространения и представления информации о бюджете в доступной и понятной для граждан форме, в том числе посредством СМИ и иных каналов в сети "Интернет";</w:t>
      </w:r>
    </w:p>
    <w:p>
      <w:pPr>
        <w:pStyle w:val="0"/>
        <w:spacing w:before="200" w:line-rule="auto"/>
        <w:ind w:firstLine="540"/>
        <w:jc w:val="both"/>
      </w:pPr>
      <w:r>
        <w:rPr>
          <w:sz w:val="20"/>
        </w:rPr>
        <w:t xml:space="preserve">- расширение инструментов и подходов к участию граждан в бюджетном процессе, в частности:</w:t>
      </w:r>
    </w:p>
    <w:p>
      <w:pPr>
        <w:pStyle w:val="0"/>
        <w:spacing w:before="200" w:line-rule="auto"/>
        <w:ind w:firstLine="540"/>
        <w:jc w:val="both"/>
      </w:pPr>
      <w:r>
        <w:rPr>
          <w:sz w:val="20"/>
        </w:rPr>
        <w:t xml:space="preserve">- цифровизация практик инициативного бюджетирования;</w:t>
      </w:r>
    </w:p>
    <w:p>
      <w:pPr>
        <w:pStyle w:val="0"/>
        <w:spacing w:before="200" w:line-rule="auto"/>
        <w:ind w:firstLine="540"/>
        <w:jc w:val="both"/>
      </w:pPr>
      <w:r>
        <w:rPr>
          <w:sz w:val="20"/>
        </w:rPr>
        <w:t xml:space="preserve">- развитие новых практик в сфере молодежной политики;</w:t>
      </w:r>
    </w:p>
    <w:p>
      <w:pPr>
        <w:pStyle w:val="0"/>
        <w:spacing w:before="200" w:line-rule="auto"/>
        <w:ind w:firstLine="540"/>
        <w:jc w:val="both"/>
      </w:pPr>
      <w:r>
        <w:rPr>
          <w:sz w:val="20"/>
        </w:rPr>
        <w:t xml:space="preserve">- определение стратегической концепции развития инструментов участия граждан в бюджетном процессе на среднесрочную перспективу;</w:t>
      </w:r>
    </w:p>
    <w:p>
      <w:pPr>
        <w:pStyle w:val="0"/>
        <w:spacing w:before="200" w:line-rule="auto"/>
        <w:ind w:firstLine="540"/>
        <w:jc w:val="both"/>
      </w:pPr>
      <w:r>
        <w:rPr>
          <w:sz w:val="20"/>
        </w:rPr>
        <w:t xml:space="preserve">- включение мероприятий по реализации проектов инициативного бюджетирования в государственные программы субъектов Российской Федерации и муниципальные программы.</w:t>
      </w:r>
    </w:p>
    <w:p>
      <w:pPr>
        <w:pStyle w:val="0"/>
        <w:jc w:val="both"/>
      </w:pPr>
      <w:r>
        <w:rPr>
          <w:sz w:val="20"/>
        </w:rPr>
      </w:r>
    </w:p>
    <w:p>
      <w:pPr>
        <w:pStyle w:val="2"/>
        <w:outlineLvl w:val="3"/>
        <w:ind w:firstLine="540"/>
        <w:jc w:val="both"/>
      </w:pPr>
      <w:r>
        <w:rPr>
          <w:sz w:val="20"/>
        </w:rPr>
        <w:t xml:space="preserve">Повышение эффективности управления ликвидностью</w:t>
      </w:r>
    </w:p>
    <w:p>
      <w:pPr>
        <w:pStyle w:val="0"/>
        <w:spacing w:before="200" w:line-rule="auto"/>
        <w:ind w:firstLine="540"/>
        <w:jc w:val="both"/>
      </w:pPr>
      <w:r>
        <w:rPr>
          <w:sz w:val="20"/>
        </w:rPr>
        <w:t xml:space="preserve">В рамках работы по снижению поддерживаемого остатка средств на ЕКС до "условного нуля" при исключении рисков возникновения кассового разрыва предусмотрены следующие мероприятия:</w:t>
      </w:r>
    </w:p>
    <w:p>
      <w:pPr>
        <w:pStyle w:val="0"/>
        <w:spacing w:before="200" w:line-rule="auto"/>
        <w:ind w:firstLine="540"/>
        <w:jc w:val="both"/>
      </w:pPr>
      <w:r>
        <w:rPr>
          <w:sz w:val="20"/>
        </w:rPr>
        <w:t xml:space="preserve">- формирование и последующий запуск механизма "валютный своп" по покупке юаней за валюту Российской Федерации (валютный своп);</w:t>
      </w:r>
    </w:p>
    <w:p>
      <w:pPr>
        <w:pStyle w:val="0"/>
        <w:spacing w:before="200" w:line-rule="auto"/>
        <w:ind w:firstLine="540"/>
        <w:jc w:val="both"/>
      </w:pPr>
      <w:r>
        <w:rPr>
          <w:sz w:val="20"/>
        </w:rPr>
        <w:t xml:space="preserve">- разработка механизма "Платежный календарь казначейства России", который будет аккумулировать информацию обо всех выплатах участников системы казначейских платежей на основании расчетных документов клиентов, поступивших на оплату в информационные системы Федерального казначейства.</w:t>
      </w:r>
    </w:p>
    <w:p>
      <w:pPr>
        <w:pStyle w:val="0"/>
        <w:jc w:val="both"/>
      </w:pPr>
      <w:r>
        <w:rPr>
          <w:sz w:val="20"/>
        </w:rPr>
      </w:r>
    </w:p>
    <w:p>
      <w:pPr>
        <w:pStyle w:val="2"/>
        <w:outlineLvl w:val="3"/>
        <w:ind w:firstLine="540"/>
        <w:jc w:val="both"/>
      </w:pPr>
      <w:r>
        <w:rPr>
          <w:sz w:val="20"/>
        </w:rPr>
        <w:t xml:space="preserve">Повышение качества администрирования доходов</w:t>
      </w:r>
    </w:p>
    <w:p>
      <w:pPr>
        <w:pStyle w:val="0"/>
        <w:spacing w:before="200" w:line-rule="auto"/>
        <w:ind w:firstLine="540"/>
        <w:jc w:val="both"/>
      </w:pPr>
      <w:r>
        <w:rPr>
          <w:sz w:val="20"/>
        </w:rPr>
        <w:t xml:space="preserve">В рамках создания единой реестровой системы администрирования и прогнозирования доходов в ГИИС "Электронный бюджет" планируется реализовать следующие мероприятия:</w:t>
      </w:r>
    </w:p>
    <w:p>
      <w:pPr>
        <w:pStyle w:val="0"/>
        <w:spacing w:before="200" w:line-rule="auto"/>
        <w:ind w:firstLine="540"/>
        <w:jc w:val="both"/>
      </w:pPr>
      <w:r>
        <w:rPr>
          <w:sz w:val="20"/>
        </w:rPr>
        <w:t xml:space="preserve">- завершение технической доработки перечня источников доходов Российской Федерации, актуализация и проверка в нем информации;</w:t>
      </w:r>
    </w:p>
    <w:p>
      <w:pPr>
        <w:pStyle w:val="0"/>
        <w:spacing w:before="200" w:line-rule="auto"/>
        <w:ind w:firstLine="540"/>
        <w:jc w:val="both"/>
      </w:pPr>
      <w:r>
        <w:rPr>
          <w:sz w:val="20"/>
        </w:rPr>
        <w:t xml:space="preserve">- подготовка ГИИС "Электронный бюджет" к формированию информации о доходах бюджетов субъектов Российской Федерации и местных бюджетов;</w:t>
      </w:r>
    </w:p>
    <w:p>
      <w:pPr>
        <w:pStyle w:val="0"/>
        <w:spacing w:before="200" w:line-rule="auto"/>
        <w:ind w:firstLine="540"/>
        <w:jc w:val="both"/>
      </w:pPr>
      <w:r>
        <w:rPr>
          <w:sz w:val="20"/>
        </w:rPr>
        <w:t xml:space="preserve">- комплексное совершенствование системы формирования и представления прогнозов доходов (проведение анализа и усовершенствование подходов к прогнозированию отдельных видов доходов с закреплением новых подходов в нормативных актах);</w:t>
      </w:r>
    </w:p>
    <w:p>
      <w:pPr>
        <w:pStyle w:val="0"/>
        <w:spacing w:before="200" w:line-rule="auto"/>
        <w:ind w:firstLine="540"/>
        <w:jc w:val="both"/>
      </w:pPr>
      <w:r>
        <w:rPr>
          <w:sz w:val="20"/>
        </w:rPr>
        <w:t xml:space="preserve">- обеспечение взаимных связей между информацией о доходах в различных компонентах ГИИС "Электронный бюджет" (для исключения дублирования ввода информации, а также для ее использования при осуществлении распределения доходов между бюджетами).</w:t>
      </w:r>
    </w:p>
    <w:p>
      <w:pPr>
        <w:pStyle w:val="0"/>
        <w:jc w:val="both"/>
      </w:pPr>
      <w:r>
        <w:rPr>
          <w:sz w:val="20"/>
        </w:rPr>
      </w:r>
    </w:p>
    <w:p>
      <w:pPr>
        <w:pStyle w:val="2"/>
        <w:outlineLvl w:val="2"/>
        <w:ind w:firstLine="540"/>
        <w:jc w:val="both"/>
      </w:pPr>
      <w:r>
        <w:rPr>
          <w:sz w:val="20"/>
        </w:rPr>
        <w:t xml:space="preserve">3.3. РАЗВИТИЕ СИСТЕМЫ МЕЖБЮДЖЕТНЫХ ОТНОШЕНИЙ И ПРОСТРАНСТВЕННОЕ РАЗВИТИЕ</w:t>
      </w:r>
    </w:p>
    <w:p>
      <w:pPr>
        <w:pStyle w:val="0"/>
        <w:jc w:val="both"/>
      </w:pPr>
      <w:r>
        <w:rPr>
          <w:sz w:val="20"/>
        </w:rPr>
      </w:r>
    </w:p>
    <w:p>
      <w:pPr>
        <w:pStyle w:val="0"/>
        <w:ind w:firstLine="540"/>
        <w:jc w:val="both"/>
      </w:pPr>
      <w:r>
        <w:rPr>
          <w:sz w:val="20"/>
        </w:rPr>
        <w:t xml:space="preserve">С учетом обозначенных Президентом РФ задач будут реализованы меры, направленные на поддержание бюджетной устойчивости и самостоятельности региональных бюджетов, стимулирование инфраструктурного развития, создание более прозрачной модели межбюджетных отношений на региональном уровне.</w:t>
      </w:r>
    </w:p>
    <w:p>
      <w:pPr>
        <w:pStyle w:val="0"/>
        <w:spacing w:before="200" w:line-rule="auto"/>
        <w:ind w:firstLine="540"/>
        <w:jc w:val="both"/>
      </w:pPr>
      <w:r>
        <w:rPr>
          <w:sz w:val="20"/>
        </w:rPr>
        <w:t xml:space="preserve">В целях стимулирования инвестиционного развития регионов, усиления выравнивающего механизма межбюджетного регулирования, оказания финансовой поддержки регионам, в том числе имеющим геополитическое значение, и повышения ответственности при планировании, исполнении региональных бюджетов и осуществлении долговой политики предусматривается:</w:t>
      </w:r>
    </w:p>
    <w:p>
      <w:pPr>
        <w:pStyle w:val="0"/>
        <w:spacing w:before="200" w:line-rule="auto"/>
        <w:ind w:firstLine="540"/>
        <w:jc w:val="both"/>
      </w:pPr>
      <w:r>
        <w:rPr>
          <w:sz w:val="20"/>
        </w:rPr>
        <w:t xml:space="preserve">- увеличение общего объема дотации на выравнивание бюджетной обеспеченности на 2024 год темпами не ниже прогнозного уровня инфляции;</w:t>
      </w:r>
    </w:p>
    <w:p>
      <w:pPr>
        <w:pStyle w:val="0"/>
        <w:spacing w:before="200" w:line-rule="auto"/>
        <w:ind w:firstLine="540"/>
        <w:jc w:val="both"/>
      </w:pPr>
      <w:r>
        <w:rPr>
          <w:sz w:val="20"/>
        </w:rPr>
        <w:t xml:space="preserve">- частичная компенсация дополнительных расходов регионов на повышение оплаты труда работников бюджетной сферы и иные цели, в том числе с учетом повышения уровня МРОТ;</w:t>
      </w:r>
    </w:p>
    <w:p>
      <w:pPr>
        <w:pStyle w:val="0"/>
        <w:spacing w:before="200" w:line-rule="auto"/>
        <w:ind w:firstLine="540"/>
        <w:jc w:val="both"/>
      </w:pPr>
      <w:r>
        <w:rPr>
          <w:sz w:val="20"/>
        </w:rPr>
        <w:t xml:space="preserve">- рассмотрение вопроса о продлении действия индивидуальных программ социально-экономического развития субъектов РФ с низким уровнем социально-экономического развития по итогам их реализации в 2024 году с учетом анализа эффективности их реализации и актуальности критериев отбора субъектов РФ, для которых разработаны и реализуются индивидуальные программы;</w:t>
      </w:r>
    </w:p>
    <w:p>
      <w:pPr>
        <w:pStyle w:val="0"/>
        <w:spacing w:before="200" w:line-rule="auto"/>
        <w:ind w:firstLine="540"/>
        <w:jc w:val="both"/>
      </w:pPr>
      <w:r>
        <w:rPr>
          <w:sz w:val="20"/>
        </w:rPr>
        <w:t xml:space="preserve">- организация постоянного мониторинга сбалансированности бюджетов субъектов РФ с целью оказания необходимой финансовой поддержки;</w:t>
      </w:r>
    </w:p>
    <w:p>
      <w:pPr>
        <w:pStyle w:val="0"/>
        <w:spacing w:before="200" w:line-rule="auto"/>
        <w:ind w:firstLine="540"/>
        <w:jc w:val="both"/>
      </w:pPr>
      <w:r>
        <w:rPr>
          <w:sz w:val="20"/>
        </w:rPr>
        <w:t xml:space="preserve">- реализация мероприятий по сохранению безопасного уровня долговой нагрузки, в том числе:</w:t>
      </w:r>
    </w:p>
    <w:p>
      <w:pPr>
        <w:pStyle w:val="0"/>
        <w:spacing w:before="200" w:line-rule="auto"/>
        <w:ind w:firstLine="540"/>
        <w:jc w:val="both"/>
      </w:pPr>
      <w:r>
        <w:rPr>
          <w:sz w:val="20"/>
        </w:rPr>
        <w:t xml:space="preserve">- определение мер ответственности за нарушение требований к параметрам государственного долга, дефицита региональных бюджетов и общего объема заимствований;</w:t>
      </w:r>
    </w:p>
    <w:p>
      <w:pPr>
        <w:pStyle w:val="0"/>
        <w:spacing w:before="200" w:line-rule="auto"/>
        <w:ind w:firstLine="540"/>
        <w:jc w:val="both"/>
      </w:pPr>
      <w:r>
        <w:rPr>
          <w:sz w:val="20"/>
        </w:rPr>
        <w:t xml:space="preserve">- установление дифференцированного подхода к требованиям по объему государственного долга субъектов РФ при предоставлении бюджетных кредитов инвестиционного характера исходя из групп устойчивости бюджетов субъектов РФ и в зависимости от уровня расчетной бюджетной обеспеченности.</w:t>
      </w:r>
    </w:p>
    <w:p>
      <w:pPr>
        <w:pStyle w:val="0"/>
        <w:spacing w:before="200" w:line-rule="auto"/>
        <w:ind w:firstLine="540"/>
        <w:jc w:val="both"/>
      </w:pPr>
      <w:r>
        <w:rPr>
          <w:sz w:val="20"/>
        </w:rPr>
        <w:t xml:space="preserve">В рамках реализации стратегической инициативы "Инфраструктурное меню":</w:t>
      </w:r>
    </w:p>
    <w:p>
      <w:pPr>
        <w:pStyle w:val="0"/>
        <w:spacing w:before="200" w:line-rule="auto"/>
        <w:ind w:firstLine="540"/>
        <w:jc w:val="both"/>
      </w:pPr>
      <w:r>
        <w:rPr>
          <w:sz w:val="20"/>
        </w:rPr>
        <w:t xml:space="preserve">- до 2025 года включительно объем бюджетных кредитов на реализацию инфраструктурных проектов будет предоставлен субъектам РФ в общем объеме до 853,9 млрд рублей с сохранением базовых условий предоставления (срок - до 15 лет, ставка - 3% годовых);</w:t>
      </w:r>
    </w:p>
    <w:p>
      <w:pPr>
        <w:pStyle w:val="0"/>
        <w:spacing w:before="200" w:line-rule="auto"/>
        <w:ind w:firstLine="540"/>
        <w:jc w:val="both"/>
      </w:pPr>
      <w:r>
        <w:rPr>
          <w:sz w:val="20"/>
        </w:rPr>
        <w:t xml:space="preserve">- развитие системы контроля за достижением целевых показателей инфраструктурных проектов, в том числе с использованием ГИИС "Электронный бюджет".</w:t>
      </w:r>
    </w:p>
    <w:p>
      <w:pPr>
        <w:pStyle w:val="0"/>
        <w:spacing w:before="200" w:line-rule="auto"/>
        <w:ind w:firstLine="540"/>
        <w:jc w:val="both"/>
      </w:pPr>
      <w:r>
        <w:rPr>
          <w:sz w:val="20"/>
        </w:rPr>
        <w:t xml:space="preserve">В целях реализации Посланий Президента Российской Федерации и популяризации муниципальной службы будут проработаны механизмы поддержки лучших муниципальных управленческих команд и их практик, а также стимулирования муниципальных образований к участию в мероприятиях в целях получения из региональных бюджетов дотаций стимулирующего (поощрительного) характера.</w:t>
      </w:r>
    </w:p>
    <w:p>
      <w:pPr>
        <w:pStyle w:val="0"/>
        <w:spacing w:before="200" w:line-rule="auto"/>
        <w:ind w:firstLine="540"/>
        <w:jc w:val="both"/>
      </w:pPr>
      <w:r>
        <w:rPr>
          <w:sz w:val="20"/>
        </w:rPr>
        <w:t xml:space="preserve">В целях интеграции и поддержки новых регионов будет реализовано:</w:t>
      </w:r>
    </w:p>
    <w:p>
      <w:pPr>
        <w:pStyle w:val="0"/>
        <w:spacing w:before="200" w:line-rule="auto"/>
        <w:ind w:firstLine="540"/>
        <w:jc w:val="both"/>
      </w:pPr>
      <w:r>
        <w:rPr>
          <w:sz w:val="20"/>
        </w:rPr>
        <w:t xml:space="preserve">- обеспечение интеграции новых регионов в систему межбюджетных отношений, в том числе в рамках механизма выравнивания бюджетной обеспеченности, распространение общего порядка предоставления целевых трансфертов, заключения соглашений о мерах по социально-экономическому развитию и оздоровлению государственных финансов и мониторинга соблюдения обязательств по ним;</w:t>
      </w:r>
    </w:p>
    <w:p>
      <w:pPr>
        <w:pStyle w:val="0"/>
        <w:spacing w:before="200" w:line-rule="auto"/>
        <w:ind w:firstLine="540"/>
        <w:jc w:val="both"/>
      </w:pPr>
      <w:r>
        <w:rPr>
          <w:sz w:val="20"/>
        </w:rPr>
        <w:t xml:space="preserve">- реализация программы социально-экономического развития Донецкой Народной Республики, Луганской Народной Республики, Запорожской и Херсонской областей.</w:t>
      </w:r>
    </w:p>
    <w:p>
      <w:pPr>
        <w:pStyle w:val="0"/>
        <w:jc w:val="both"/>
      </w:pPr>
      <w:r>
        <w:rPr>
          <w:sz w:val="20"/>
        </w:rPr>
      </w:r>
    </w:p>
    <w:p>
      <w:pPr>
        <w:pStyle w:val="2"/>
        <w:outlineLvl w:val="2"/>
        <w:ind w:firstLine="540"/>
        <w:jc w:val="both"/>
      </w:pPr>
      <w:r>
        <w:rPr>
          <w:sz w:val="20"/>
        </w:rPr>
        <w:t xml:space="preserve">3.4. ТАМОЖЕННО-ТАРИФНОЕ РЕГУЛИРОВАНИЕ</w:t>
      </w:r>
    </w:p>
    <w:p>
      <w:pPr>
        <w:pStyle w:val="0"/>
        <w:jc w:val="both"/>
      </w:pPr>
      <w:r>
        <w:rPr>
          <w:sz w:val="20"/>
        </w:rPr>
      </w:r>
    </w:p>
    <w:p>
      <w:pPr>
        <w:pStyle w:val="0"/>
        <w:ind w:firstLine="540"/>
        <w:jc w:val="both"/>
      </w:pPr>
      <w:r>
        <w:rPr>
          <w:sz w:val="20"/>
        </w:rPr>
        <w:t xml:space="preserve">В прогнозный период ключевыми внешними вызовами для российской экономики и ее внешнеэкономического сектора являются (1) последствия накопленных макроэкономических дисбалансов в мировой экономике; (2) сохранение геополитических рисков и угроз, которые могут привести к дестабилизации мировой экономики; (3) непредсказуемость дальнейших путей развития международной торговой системы, а также (4) сохранение режима "санкционной" политики, проводимой отдельными странами в отношении России.</w:t>
      </w:r>
    </w:p>
    <w:p>
      <w:pPr>
        <w:pStyle w:val="0"/>
        <w:spacing w:before="200" w:line-rule="auto"/>
        <w:ind w:firstLine="540"/>
        <w:jc w:val="both"/>
      </w:pPr>
      <w:r>
        <w:rPr>
          <w:sz w:val="20"/>
        </w:rPr>
        <w:t xml:space="preserve">В этих условиях таможенно-тарифная политика должна быть направлена на (1) поддержание рационального соотношения ввоза и вывоза товаров; (2) повышение конкурентоспособности национальных производителей; (3) улучшение товарной структуры внешней торговли; (4) стимулирование инвестиционных процессов в экономике, в том числе привлечение прямых иностранных инвестиций.</w:t>
      </w:r>
    </w:p>
    <w:p>
      <w:pPr>
        <w:pStyle w:val="0"/>
        <w:spacing w:before="200" w:line-rule="auto"/>
        <w:ind w:firstLine="540"/>
        <w:jc w:val="both"/>
      </w:pPr>
      <w:r>
        <w:rPr>
          <w:sz w:val="20"/>
        </w:rPr>
        <w:t xml:space="preserve">В целях оказания поддержки отдельным регионам и выравнивания экономических условий будут расширены полномочия Правительства РФ по установлению на временной основе тарифных квот. Данный механизм позволит применять пониженные/нулевые ставки вывозных таможенных пошлин в отношении отдельных товаров, производимых в конкретных субъектах Российской Федерации, а также снижение ставок экспортных пошлин для товаров, вывозимых в дружественные страны. Среди ключевых направлений работы будет выстраивание взаимодействия с партнерами по евразийскому региону и СНГ, а также поддержка отдельных представителей иностранного бизнеса, которые продолжают работу в России; содействие росту товарооборота и развитию внешнеэкономической деятельности России, что предполагает формирование новой модели экономического взаимодействия с дружественными странами (в т.ч. упрощение движения товаров по цепочкам поставок, создание комфортных условий для бизнеса, перенастраивающего свою логистику в интересах российской экономики).</w:t>
      </w:r>
    </w:p>
    <w:p>
      <w:pPr>
        <w:pStyle w:val="0"/>
        <w:spacing w:before="200" w:line-rule="auto"/>
        <w:ind w:firstLine="540"/>
        <w:jc w:val="both"/>
      </w:pPr>
      <w:r>
        <w:rPr>
          <w:sz w:val="20"/>
        </w:rPr>
        <w:t xml:space="preserve">В целях минимизации рисков ухода от уплаты вывозных таможенных пошлин при экспорте российских товаров, облагаемых вывозными таможенными пошлинами, через территории других государств - членов ЕАЭС планируется предпринять следующие меры:</w:t>
      </w:r>
    </w:p>
    <w:p>
      <w:pPr>
        <w:pStyle w:val="0"/>
        <w:spacing w:before="200" w:line-rule="auto"/>
        <w:ind w:firstLine="540"/>
        <w:jc w:val="both"/>
      </w:pPr>
      <w:r>
        <w:rPr>
          <w:sz w:val="20"/>
        </w:rPr>
        <w:t xml:space="preserve">- определение единых подходов к ведению экспортной и импортной таможенно-тарифной политики в рамках ЕАЭС (в том числе, унификация подходов к применению квотирования и совершенствование механизмов применения тарифных льгот);</w:t>
      </w:r>
    </w:p>
    <w:p>
      <w:pPr>
        <w:pStyle w:val="0"/>
        <w:spacing w:before="200" w:line-rule="auto"/>
        <w:ind w:firstLine="540"/>
        <w:jc w:val="both"/>
      </w:pPr>
      <w:r>
        <w:rPr>
          <w:sz w:val="20"/>
        </w:rPr>
        <w:t xml:space="preserve">- разработка проекта соглашения о порядке уплаты, зачисления и перечисления сумм вывозных таможенных пошлин при вывозе товаров в третьи страны с таможенной территории ЕАЭС;</w:t>
      </w:r>
    </w:p>
    <w:p>
      <w:pPr>
        <w:pStyle w:val="0"/>
        <w:spacing w:before="200" w:line-rule="auto"/>
        <w:ind w:firstLine="540"/>
        <w:jc w:val="both"/>
      </w:pPr>
      <w:r>
        <w:rPr>
          <w:sz w:val="20"/>
        </w:rPr>
        <w:t xml:space="preserve">- разработка проекта соглашения о гармонизированной системе подтверждения происхождения вывозимых товаров ЕАЭС;</w:t>
      </w:r>
    </w:p>
    <w:p>
      <w:pPr>
        <w:pStyle w:val="0"/>
        <w:spacing w:before="200" w:line-rule="auto"/>
        <w:ind w:firstLine="540"/>
        <w:jc w:val="both"/>
      </w:pPr>
      <w:r>
        <w:rPr>
          <w:sz w:val="20"/>
        </w:rPr>
        <w:t xml:space="preserve">- формирование в ЕАЭС индикативных балансов стран-членов в отношение критически важных товаров.</w:t>
      </w:r>
    </w:p>
    <w:p>
      <w:pPr>
        <w:pStyle w:val="0"/>
        <w:jc w:val="both"/>
      </w:pPr>
      <w:r>
        <w:rPr>
          <w:sz w:val="20"/>
        </w:rPr>
      </w:r>
    </w:p>
    <w:p>
      <w:pPr>
        <w:pStyle w:val="2"/>
        <w:outlineLvl w:val="1"/>
        <w:ind w:firstLine="540"/>
        <w:jc w:val="both"/>
      </w:pPr>
      <w:r>
        <w:rPr>
          <w:sz w:val="20"/>
        </w:rPr>
        <w:t xml:space="preserve">4. ОСНОВНЫЕ ПАРАМЕТРЫ БЮДЖЕТОВ БЮДЖЕТНОЙ СИСТЕМЫ</w:t>
      </w:r>
    </w:p>
    <w:p>
      <w:pPr>
        <w:pStyle w:val="0"/>
        <w:jc w:val="both"/>
      </w:pPr>
      <w:r>
        <w:rPr>
          <w:sz w:val="20"/>
        </w:rPr>
      </w:r>
    </w:p>
    <w:p>
      <w:pPr>
        <w:pStyle w:val="2"/>
        <w:outlineLvl w:val="2"/>
        <w:ind w:firstLine="540"/>
        <w:jc w:val="both"/>
      </w:pPr>
      <w:r>
        <w:rPr>
          <w:sz w:val="20"/>
        </w:rPr>
        <w:t xml:space="preserve">4.1. ФЕДЕРАЛЬНЫЙ БЮДЖЕТ</w:t>
      </w:r>
    </w:p>
    <w:p>
      <w:pPr>
        <w:pStyle w:val="0"/>
        <w:jc w:val="both"/>
      </w:pPr>
      <w:r>
        <w:rPr>
          <w:sz w:val="20"/>
        </w:rPr>
      </w:r>
    </w:p>
    <w:p>
      <w:pPr>
        <w:pStyle w:val="0"/>
        <w:ind w:firstLine="540"/>
        <w:jc w:val="both"/>
      </w:pPr>
      <w:r>
        <w:rPr>
          <w:sz w:val="20"/>
        </w:rPr>
        <w:t xml:space="preserve">Формирование федерального бюджета на 2024 - 2026 гг. проводится в изменившихся внешних условиях и при сохранении санкционных ограничений. Ключевым элементом обеспечения бюджетной устойчивости является наличие достаточного объема ликвидных резервов, а также следование прозрачным долгосрочным принципам бюджетной политики - "бюджетным правилам".</w:t>
      </w:r>
    </w:p>
    <w:p>
      <w:pPr>
        <w:pStyle w:val="0"/>
        <w:spacing w:before="200" w:line-rule="auto"/>
        <w:ind w:firstLine="540"/>
        <w:jc w:val="both"/>
      </w:pPr>
      <w:r>
        <w:rPr>
          <w:sz w:val="20"/>
        </w:rPr>
        <w:t xml:space="preserve">Формирование предельных расходов в соответствии с "бюджетными правилами" позволит сохранить высокий уровень доверия к проводимой макроэкономической политике и обеспечить доступность финансового ресурса для внебюджетного сектора.</w:t>
      </w:r>
    </w:p>
    <w:p>
      <w:pPr>
        <w:pStyle w:val="0"/>
        <w:jc w:val="both"/>
      </w:pPr>
      <w:r>
        <w:rPr>
          <w:sz w:val="20"/>
        </w:rPr>
      </w:r>
    </w:p>
    <w:p>
      <w:pPr>
        <w:pStyle w:val="0"/>
        <w:ind w:firstLine="540"/>
        <w:jc w:val="both"/>
      </w:pPr>
      <w:r>
        <w:rPr>
          <w:sz w:val="20"/>
        </w:rPr>
        <w:t xml:space="preserve">Таблица 4.1.1. Основные характеристики федерального бюджета в 2019 - 2026 гг.</w:t>
      </w:r>
    </w:p>
    <w:p>
      <w:pPr>
        <w:pStyle w:val="0"/>
        <w:jc w:val="both"/>
      </w:pPr>
      <w:r>
        <w:rPr>
          <w:sz w:val="20"/>
        </w:rPr>
      </w:r>
    </w:p>
    <w:p>
      <w:pPr>
        <w:pStyle w:val="0"/>
        <w:jc w:val="right"/>
      </w:pPr>
      <w:r>
        <w:rPr>
          <w:sz w:val="20"/>
        </w:rPr>
        <w:t xml:space="preserve">млрд рублей</w:t>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tblBorders>
        <w:tblCellMar>
          <w:top w:w="102" w:type="dxa"/>
          <w:left w:w="62" w:type="dxa"/>
          <w:bottom w:w="102" w:type="dxa"/>
          <w:right w:w="62" w:type="dxa"/>
        </w:tblCellMar>
      </w:tblPr>
      <w:tblGrid>
        <w:gridCol w:w="2154"/>
        <w:gridCol w:w="1020"/>
        <w:gridCol w:w="1020"/>
        <w:gridCol w:w="1020"/>
        <w:gridCol w:w="1191"/>
        <w:gridCol w:w="1247"/>
        <w:gridCol w:w="1020"/>
        <w:gridCol w:w="1020"/>
        <w:gridCol w:w="1020"/>
      </w:tblGrid>
      <w:tr>
        <w:tblPrEx>
          <w:tblBorders>
            <w:insideH w:val="single" w:sz="4"/>
          </w:tblBorders>
        </w:tblPrEx>
        <w:tc>
          <w:tcPr>
            <w:tcW w:w="2154" w:type="dxa"/>
            <w:tcBorders>
              <w:top w:val="single" w:sz="4"/>
              <w:left w:val="nil"/>
              <w:bottom w:val="single" w:sz="4"/>
              <w:right w:val="nil"/>
            </w:tcBorders>
          </w:tcPr>
          <w:p>
            <w:pPr>
              <w:pStyle w:val="0"/>
              <w:jc w:val="center"/>
            </w:pPr>
            <w:r>
              <w:rPr>
                <w:sz w:val="20"/>
              </w:rPr>
              <w:t xml:space="preserve">Показатель</w:t>
            </w:r>
          </w:p>
        </w:tc>
        <w:tc>
          <w:tcPr>
            <w:tcW w:w="1020" w:type="dxa"/>
            <w:tcBorders>
              <w:top w:val="single" w:sz="4"/>
              <w:left w:val="nil"/>
              <w:bottom w:val="single" w:sz="4"/>
              <w:right w:val="nil"/>
            </w:tcBorders>
          </w:tcPr>
          <w:p>
            <w:pPr>
              <w:pStyle w:val="0"/>
              <w:jc w:val="center"/>
            </w:pPr>
            <w:r>
              <w:rPr>
                <w:sz w:val="20"/>
              </w:rPr>
              <w:t xml:space="preserve">2019</w:t>
            </w:r>
          </w:p>
        </w:tc>
        <w:tc>
          <w:tcPr>
            <w:tcW w:w="1020" w:type="dxa"/>
            <w:tcBorders>
              <w:top w:val="single" w:sz="4"/>
              <w:left w:val="nil"/>
              <w:bottom w:val="single" w:sz="4"/>
              <w:right w:val="nil"/>
            </w:tcBorders>
          </w:tcPr>
          <w:p>
            <w:pPr>
              <w:pStyle w:val="0"/>
              <w:jc w:val="center"/>
            </w:pPr>
            <w:r>
              <w:rPr>
                <w:sz w:val="20"/>
              </w:rPr>
              <w:t xml:space="preserve">2020</w:t>
            </w:r>
          </w:p>
        </w:tc>
        <w:tc>
          <w:tcPr>
            <w:tcW w:w="1020" w:type="dxa"/>
            <w:tcBorders>
              <w:top w:val="single" w:sz="4"/>
              <w:left w:val="nil"/>
              <w:bottom w:val="single" w:sz="4"/>
              <w:right w:val="nil"/>
            </w:tcBorders>
          </w:tcPr>
          <w:p>
            <w:pPr>
              <w:pStyle w:val="0"/>
              <w:jc w:val="center"/>
            </w:pPr>
            <w:r>
              <w:rPr>
                <w:sz w:val="20"/>
              </w:rPr>
              <w:t xml:space="preserve">2021</w:t>
            </w:r>
          </w:p>
        </w:tc>
        <w:tc>
          <w:tcPr>
            <w:tcW w:w="1191" w:type="dxa"/>
            <w:tcBorders>
              <w:top w:val="single" w:sz="4"/>
              <w:left w:val="nil"/>
              <w:bottom w:val="single" w:sz="4"/>
              <w:right w:val="nil"/>
            </w:tcBorders>
          </w:tcPr>
          <w:p>
            <w:pPr>
              <w:pStyle w:val="0"/>
              <w:jc w:val="center"/>
            </w:pPr>
            <w:r>
              <w:rPr>
                <w:sz w:val="20"/>
              </w:rPr>
              <w:t xml:space="preserve">2022</w:t>
            </w:r>
          </w:p>
        </w:tc>
        <w:tc>
          <w:tcPr>
            <w:tcW w:w="1247" w:type="dxa"/>
            <w:tcBorders>
              <w:top w:val="single" w:sz="4"/>
              <w:left w:val="nil"/>
              <w:bottom w:val="single" w:sz="4"/>
              <w:right w:val="nil"/>
            </w:tcBorders>
          </w:tcPr>
          <w:p>
            <w:pPr>
              <w:pStyle w:val="0"/>
              <w:jc w:val="center"/>
            </w:pPr>
            <w:r>
              <w:rPr>
                <w:sz w:val="20"/>
              </w:rPr>
              <w:t xml:space="preserve">2023</w:t>
            </w:r>
          </w:p>
        </w:tc>
        <w:tc>
          <w:tcPr>
            <w:tcW w:w="1020" w:type="dxa"/>
            <w:tcBorders>
              <w:top w:val="single" w:sz="4"/>
              <w:left w:val="nil"/>
              <w:bottom w:val="single" w:sz="4"/>
              <w:right w:val="nil"/>
            </w:tcBorders>
          </w:tcPr>
          <w:p>
            <w:pPr>
              <w:pStyle w:val="0"/>
              <w:jc w:val="center"/>
            </w:pPr>
            <w:r>
              <w:rPr>
                <w:sz w:val="20"/>
              </w:rPr>
              <w:t xml:space="preserve">2024</w:t>
            </w:r>
          </w:p>
        </w:tc>
        <w:tc>
          <w:tcPr>
            <w:tcW w:w="1020" w:type="dxa"/>
            <w:tcBorders>
              <w:top w:val="single" w:sz="4"/>
              <w:left w:val="nil"/>
              <w:bottom w:val="single" w:sz="4"/>
              <w:right w:val="nil"/>
            </w:tcBorders>
          </w:tcPr>
          <w:p>
            <w:pPr>
              <w:pStyle w:val="0"/>
              <w:jc w:val="center"/>
            </w:pPr>
            <w:r>
              <w:rPr>
                <w:sz w:val="20"/>
              </w:rPr>
              <w:t xml:space="preserve">2025</w:t>
            </w:r>
          </w:p>
        </w:tc>
        <w:tc>
          <w:tcPr>
            <w:tcW w:w="1020" w:type="dxa"/>
            <w:tcBorders>
              <w:top w:val="single" w:sz="4"/>
              <w:left w:val="nil"/>
              <w:bottom w:val="single" w:sz="4"/>
              <w:right w:val="nil"/>
            </w:tcBorders>
          </w:tcPr>
          <w:p>
            <w:pPr>
              <w:pStyle w:val="0"/>
              <w:jc w:val="center"/>
            </w:pPr>
            <w:r>
              <w:rPr>
                <w:sz w:val="20"/>
              </w:rPr>
              <w:t xml:space="preserve">2026</w:t>
            </w:r>
          </w:p>
        </w:tc>
      </w:tr>
      <w:tr>
        <w:tc>
          <w:tcPr>
            <w:tcW w:w="2154" w:type="dxa"/>
            <w:tcBorders>
              <w:top w:val="single" w:sz="4"/>
              <w:left w:val="nil"/>
              <w:bottom w:val="nil"/>
              <w:right w:val="nil"/>
            </w:tcBorders>
          </w:tcPr>
          <w:p>
            <w:pPr>
              <w:pStyle w:val="0"/>
            </w:pPr>
            <w:r>
              <w:rPr>
                <w:sz w:val="20"/>
              </w:rPr>
              <w:t xml:space="preserve">ДОХОДЫ</w:t>
            </w:r>
          </w:p>
        </w:tc>
        <w:tc>
          <w:tcPr>
            <w:tcW w:w="1020" w:type="dxa"/>
            <w:vAlign w:val="center"/>
            <w:tcBorders>
              <w:top w:val="single" w:sz="4"/>
              <w:left w:val="nil"/>
              <w:bottom w:val="nil"/>
              <w:right w:val="nil"/>
            </w:tcBorders>
          </w:tcPr>
          <w:p>
            <w:pPr>
              <w:pStyle w:val="0"/>
              <w:jc w:val="center"/>
            </w:pPr>
            <w:r>
              <w:rPr>
                <w:sz w:val="20"/>
              </w:rPr>
              <w:t xml:space="preserve">20 188,8</w:t>
            </w:r>
          </w:p>
        </w:tc>
        <w:tc>
          <w:tcPr>
            <w:tcW w:w="1020" w:type="dxa"/>
            <w:vAlign w:val="center"/>
            <w:tcBorders>
              <w:top w:val="single" w:sz="4"/>
              <w:left w:val="nil"/>
              <w:bottom w:val="nil"/>
              <w:right w:val="nil"/>
            </w:tcBorders>
          </w:tcPr>
          <w:p>
            <w:pPr>
              <w:pStyle w:val="0"/>
              <w:jc w:val="center"/>
            </w:pPr>
            <w:r>
              <w:rPr>
                <w:sz w:val="20"/>
              </w:rPr>
              <w:t xml:space="preserve">18 719,1</w:t>
            </w:r>
          </w:p>
        </w:tc>
        <w:tc>
          <w:tcPr>
            <w:tcW w:w="1020" w:type="dxa"/>
            <w:vAlign w:val="center"/>
            <w:tcBorders>
              <w:top w:val="single" w:sz="4"/>
              <w:left w:val="nil"/>
              <w:bottom w:val="nil"/>
              <w:right w:val="nil"/>
            </w:tcBorders>
          </w:tcPr>
          <w:p>
            <w:pPr>
              <w:pStyle w:val="0"/>
              <w:jc w:val="center"/>
            </w:pPr>
            <w:r>
              <w:rPr>
                <w:sz w:val="20"/>
              </w:rPr>
              <w:t xml:space="preserve">25 286,4</w:t>
            </w:r>
          </w:p>
        </w:tc>
        <w:tc>
          <w:tcPr>
            <w:tcW w:w="1191" w:type="dxa"/>
            <w:vAlign w:val="center"/>
            <w:tcBorders>
              <w:top w:val="single" w:sz="4"/>
              <w:left w:val="nil"/>
              <w:bottom w:val="nil"/>
              <w:right w:val="nil"/>
            </w:tcBorders>
          </w:tcPr>
          <w:p>
            <w:pPr>
              <w:pStyle w:val="0"/>
              <w:jc w:val="center"/>
            </w:pPr>
            <w:r>
              <w:rPr>
                <w:sz w:val="20"/>
              </w:rPr>
              <w:t xml:space="preserve">27 824,4</w:t>
            </w:r>
          </w:p>
        </w:tc>
        <w:tc>
          <w:tcPr>
            <w:tcW w:w="1247" w:type="dxa"/>
            <w:vAlign w:val="center"/>
            <w:tcBorders>
              <w:top w:val="single" w:sz="4"/>
              <w:left w:val="nil"/>
              <w:bottom w:val="nil"/>
              <w:right w:val="nil"/>
            </w:tcBorders>
          </w:tcPr>
          <w:p>
            <w:pPr>
              <w:pStyle w:val="0"/>
              <w:jc w:val="center"/>
            </w:pPr>
            <w:r>
              <w:rPr>
                <w:sz w:val="20"/>
              </w:rPr>
              <w:t xml:space="preserve">28 674,1</w:t>
            </w:r>
          </w:p>
        </w:tc>
        <w:tc>
          <w:tcPr>
            <w:tcW w:w="1020" w:type="dxa"/>
            <w:vAlign w:val="center"/>
            <w:tcBorders>
              <w:top w:val="single" w:sz="4"/>
              <w:left w:val="nil"/>
              <w:bottom w:val="nil"/>
              <w:right w:val="nil"/>
            </w:tcBorders>
          </w:tcPr>
          <w:p>
            <w:pPr>
              <w:pStyle w:val="0"/>
              <w:jc w:val="center"/>
            </w:pPr>
            <w:r>
              <w:rPr>
                <w:sz w:val="20"/>
              </w:rPr>
              <w:t xml:space="preserve">35 065,3</w:t>
            </w:r>
          </w:p>
        </w:tc>
        <w:tc>
          <w:tcPr>
            <w:tcW w:w="1020" w:type="dxa"/>
            <w:vAlign w:val="center"/>
            <w:tcBorders>
              <w:top w:val="single" w:sz="4"/>
              <w:left w:val="nil"/>
              <w:bottom w:val="nil"/>
              <w:right w:val="nil"/>
            </w:tcBorders>
          </w:tcPr>
          <w:p>
            <w:pPr>
              <w:pStyle w:val="0"/>
              <w:jc w:val="center"/>
            </w:pPr>
            <w:r>
              <w:rPr>
                <w:sz w:val="20"/>
              </w:rPr>
              <w:t xml:space="preserve">33 552,4</w:t>
            </w:r>
          </w:p>
        </w:tc>
        <w:tc>
          <w:tcPr>
            <w:tcW w:w="1020" w:type="dxa"/>
            <w:vAlign w:val="center"/>
            <w:tcBorders>
              <w:top w:val="single" w:sz="4"/>
              <w:left w:val="nil"/>
              <w:bottom w:val="nil"/>
              <w:right w:val="nil"/>
            </w:tcBorders>
          </w:tcPr>
          <w:p>
            <w:pPr>
              <w:pStyle w:val="0"/>
              <w:jc w:val="center"/>
            </w:pPr>
            <w:r>
              <w:rPr>
                <w:sz w:val="20"/>
              </w:rPr>
              <w:t xml:space="preserve">34 051,0</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18,4</w:t>
            </w:r>
          </w:p>
        </w:tc>
        <w:tc>
          <w:tcPr>
            <w:tcW w:w="1020" w:type="dxa"/>
            <w:vAlign w:val="center"/>
            <w:tcBorders>
              <w:top w:val="nil"/>
              <w:left w:val="nil"/>
              <w:bottom w:val="nil"/>
              <w:right w:val="nil"/>
            </w:tcBorders>
          </w:tcPr>
          <w:p>
            <w:pPr>
              <w:pStyle w:val="0"/>
              <w:jc w:val="center"/>
            </w:pPr>
            <w:r>
              <w:rPr>
                <w:sz w:val="20"/>
              </w:rPr>
              <w:t xml:space="preserve">17,4</w:t>
            </w:r>
          </w:p>
        </w:tc>
        <w:tc>
          <w:tcPr>
            <w:tcW w:w="1020" w:type="dxa"/>
            <w:vAlign w:val="center"/>
            <w:tcBorders>
              <w:top w:val="nil"/>
              <w:left w:val="nil"/>
              <w:bottom w:val="nil"/>
              <w:right w:val="nil"/>
            </w:tcBorders>
          </w:tcPr>
          <w:p>
            <w:pPr>
              <w:pStyle w:val="0"/>
              <w:jc w:val="center"/>
            </w:pPr>
            <w:r>
              <w:rPr>
                <w:sz w:val="20"/>
              </w:rPr>
              <w:t xml:space="preserve">18,7</w:t>
            </w:r>
          </w:p>
        </w:tc>
        <w:tc>
          <w:tcPr>
            <w:tcW w:w="1191" w:type="dxa"/>
            <w:vAlign w:val="center"/>
            <w:tcBorders>
              <w:top w:val="nil"/>
              <w:left w:val="nil"/>
              <w:bottom w:val="nil"/>
              <w:right w:val="nil"/>
            </w:tcBorders>
          </w:tcPr>
          <w:p>
            <w:pPr>
              <w:pStyle w:val="0"/>
              <w:jc w:val="center"/>
            </w:pPr>
            <w:r>
              <w:rPr>
                <w:sz w:val="20"/>
              </w:rPr>
              <w:t xml:space="preserve">18,1</w:t>
            </w:r>
          </w:p>
        </w:tc>
        <w:tc>
          <w:tcPr>
            <w:tcW w:w="1247" w:type="dxa"/>
            <w:vAlign w:val="center"/>
            <w:tcBorders>
              <w:top w:val="nil"/>
              <w:left w:val="nil"/>
              <w:bottom w:val="nil"/>
              <w:right w:val="nil"/>
            </w:tcBorders>
          </w:tcPr>
          <w:p>
            <w:pPr>
              <w:pStyle w:val="0"/>
              <w:jc w:val="center"/>
            </w:pPr>
            <w:r>
              <w:rPr>
                <w:sz w:val="20"/>
              </w:rPr>
              <w:t xml:space="preserve">17,3</w:t>
            </w:r>
          </w:p>
        </w:tc>
        <w:tc>
          <w:tcPr>
            <w:tcW w:w="1020" w:type="dxa"/>
            <w:vAlign w:val="center"/>
            <w:tcBorders>
              <w:top w:val="nil"/>
              <w:left w:val="nil"/>
              <w:bottom w:val="nil"/>
              <w:right w:val="nil"/>
            </w:tcBorders>
          </w:tcPr>
          <w:p>
            <w:pPr>
              <w:pStyle w:val="0"/>
              <w:jc w:val="center"/>
            </w:pPr>
            <w:r>
              <w:rPr>
                <w:sz w:val="20"/>
              </w:rPr>
              <w:t xml:space="preserve">19,5</w:t>
            </w:r>
          </w:p>
        </w:tc>
        <w:tc>
          <w:tcPr>
            <w:tcW w:w="1020" w:type="dxa"/>
            <w:vAlign w:val="center"/>
            <w:tcBorders>
              <w:top w:val="nil"/>
              <w:left w:val="nil"/>
              <w:bottom w:val="nil"/>
              <w:right w:val="nil"/>
            </w:tcBorders>
          </w:tcPr>
          <w:p>
            <w:pPr>
              <w:pStyle w:val="0"/>
              <w:jc w:val="center"/>
            </w:pPr>
            <w:r>
              <w:rPr>
                <w:sz w:val="20"/>
              </w:rPr>
              <w:t xml:space="preserve">17,6</w:t>
            </w:r>
          </w:p>
        </w:tc>
        <w:tc>
          <w:tcPr>
            <w:tcW w:w="1020" w:type="dxa"/>
            <w:vAlign w:val="center"/>
            <w:tcBorders>
              <w:top w:val="nil"/>
              <w:left w:val="nil"/>
              <w:bottom w:val="nil"/>
              <w:right w:val="nil"/>
            </w:tcBorders>
          </w:tcPr>
          <w:p>
            <w:pPr>
              <w:pStyle w:val="0"/>
              <w:jc w:val="center"/>
            </w:pPr>
            <w:r>
              <w:rPr>
                <w:sz w:val="20"/>
              </w:rPr>
              <w:t xml:space="preserve">16,8</w:t>
            </w:r>
          </w:p>
        </w:tc>
      </w:tr>
      <w:tr>
        <w:tc>
          <w:tcPr>
            <w:tcW w:w="2154" w:type="dxa"/>
            <w:tcBorders>
              <w:top w:val="nil"/>
              <w:left w:val="nil"/>
              <w:bottom w:val="nil"/>
              <w:right w:val="nil"/>
            </w:tcBorders>
          </w:tcPr>
          <w:p>
            <w:pPr>
              <w:pStyle w:val="0"/>
            </w:pPr>
            <w:r>
              <w:rPr>
                <w:sz w:val="20"/>
              </w:rPr>
              <w:t xml:space="preserve">Нефтегазовые доходы (НГД)</w:t>
            </w:r>
          </w:p>
        </w:tc>
        <w:tc>
          <w:tcPr>
            <w:tcW w:w="1020" w:type="dxa"/>
            <w:vAlign w:val="center"/>
            <w:tcBorders>
              <w:top w:val="nil"/>
              <w:left w:val="nil"/>
              <w:bottom w:val="nil"/>
              <w:right w:val="nil"/>
            </w:tcBorders>
          </w:tcPr>
          <w:p>
            <w:pPr>
              <w:pStyle w:val="0"/>
              <w:jc w:val="center"/>
            </w:pPr>
            <w:r>
              <w:rPr>
                <w:sz w:val="20"/>
              </w:rPr>
              <w:t xml:space="preserve">7 924,3</w:t>
            </w:r>
          </w:p>
        </w:tc>
        <w:tc>
          <w:tcPr>
            <w:tcW w:w="1020" w:type="dxa"/>
            <w:vAlign w:val="center"/>
            <w:tcBorders>
              <w:top w:val="nil"/>
              <w:left w:val="nil"/>
              <w:bottom w:val="nil"/>
              <w:right w:val="nil"/>
            </w:tcBorders>
          </w:tcPr>
          <w:p>
            <w:pPr>
              <w:pStyle w:val="0"/>
              <w:jc w:val="center"/>
            </w:pPr>
            <w:r>
              <w:rPr>
                <w:sz w:val="20"/>
              </w:rPr>
              <w:t xml:space="preserve">5 235,2</w:t>
            </w:r>
          </w:p>
        </w:tc>
        <w:tc>
          <w:tcPr>
            <w:tcW w:w="1020" w:type="dxa"/>
            <w:vAlign w:val="center"/>
            <w:tcBorders>
              <w:top w:val="nil"/>
              <w:left w:val="nil"/>
              <w:bottom w:val="nil"/>
              <w:right w:val="nil"/>
            </w:tcBorders>
          </w:tcPr>
          <w:p>
            <w:pPr>
              <w:pStyle w:val="0"/>
              <w:jc w:val="center"/>
            </w:pPr>
            <w:r>
              <w:rPr>
                <w:sz w:val="20"/>
              </w:rPr>
              <w:t xml:space="preserve">9 056,5</w:t>
            </w:r>
          </w:p>
        </w:tc>
        <w:tc>
          <w:tcPr>
            <w:tcW w:w="1191" w:type="dxa"/>
            <w:vAlign w:val="center"/>
            <w:tcBorders>
              <w:top w:val="nil"/>
              <w:left w:val="nil"/>
              <w:bottom w:val="nil"/>
              <w:right w:val="nil"/>
            </w:tcBorders>
          </w:tcPr>
          <w:p>
            <w:pPr>
              <w:pStyle w:val="0"/>
              <w:jc w:val="center"/>
            </w:pPr>
            <w:r>
              <w:rPr>
                <w:sz w:val="20"/>
              </w:rPr>
              <w:t xml:space="preserve">11 586,2</w:t>
            </w:r>
          </w:p>
        </w:tc>
        <w:tc>
          <w:tcPr>
            <w:tcW w:w="1247" w:type="dxa"/>
            <w:vAlign w:val="center"/>
            <w:tcBorders>
              <w:top w:val="nil"/>
              <w:left w:val="nil"/>
              <w:bottom w:val="nil"/>
              <w:right w:val="nil"/>
            </w:tcBorders>
          </w:tcPr>
          <w:p>
            <w:pPr>
              <w:pStyle w:val="0"/>
              <w:jc w:val="center"/>
            </w:pPr>
            <w:r>
              <w:rPr>
                <w:sz w:val="20"/>
              </w:rPr>
              <w:t xml:space="preserve">8 863,5</w:t>
            </w:r>
          </w:p>
        </w:tc>
        <w:tc>
          <w:tcPr>
            <w:tcW w:w="1020" w:type="dxa"/>
            <w:vAlign w:val="center"/>
            <w:tcBorders>
              <w:top w:val="nil"/>
              <w:left w:val="nil"/>
              <w:bottom w:val="nil"/>
              <w:right w:val="nil"/>
            </w:tcBorders>
          </w:tcPr>
          <w:p>
            <w:pPr>
              <w:pStyle w:val="0"/>
              <w:jc w:val="center"/>
            </w:pPr>
            <w:r>
              <w:rPr>
                <w:sz w:val="20"/>
              </w:rPr>
              <w:t xml:space="preserve">11 504,3</w:t>
            </w:r>
          </w:p>
        </w:tc>
        <w:tc>
          <w:tcPr>
            <w:tcW w:w="1020" w:type="dxa"/>
            <w:vAlign w:val="center"/>
            <w:tcBorders>
              <w:top w:val="nil"/>
              <w:left w:val="nil"/>
              <w:bottom w:val="nil"/>
              <w:right w:val="nil"/>
            </w:tcBorders>
          </w:tcPr>
          <w:p>
            <w:pPr>
              <w:pStyle w:val="0"/>
              <w:jc w:val="center"/>
            </w:pPr>
            <w:r>
              <w:rPr>
                <w:sz w:val="20"/>
              </w:rPr>
              <w:t xml:space="preserve">11 759,8</w:t>
            </w:r>
          </w:p>
        </w:tc>
        <w:tc>
          <w:tcPr>
            <w:tcW w:w="1020" w:type="dxa"/>
            <w:vAlign w:val="center"/>
            <w:tcBorders>
              <w:top w:val="nil"/>
              <w:left w:val="nil"/>
              <w:bottom w:val="nil"/>
              <w:right w:val="nil"/>
            </w:tcBorders>
          </w:tcPr>
          <w:p>
            <w:pPr>
              <w:pStyle w:val="0"/>
              <w:jc w:val="center"/>
            </w:pPr>
            <w:r>
              <w:rPr>
                <w:sz w:val="20"/>
              </w:rPr>
              <w:t xml:space="preserve">11 414,7</w:t>
            </w:r>
          </w:p>
        </w:tc>
      </w:tr>
      <w:tr>
        <w:tc>
          <w:tcPr>
            <w:tcW w:w="2154" w:type="dxa"/>
            <w:tcBorders>
              <w:top w:val="nil"/>
              <w:left w:val="nil"/>
              <w:bottom w:val="nil"/>
              <w:right w:val="nil"/>
            </w:tcBorders>
          </w:tcPr>
          <w:p>
            <w:pPr>
              <w:pStyle w:val="0"/>
              <w:ind w:left="567"/>
            </w:pPr>
            <w:r>
              <w:rPr>
                <w:sz w:val="20"/>
              </w:rPr>
              <w:t xml:space="preserve">базовые НГД</w:t>
            </w:r>
          </w:p>
        </w:tc>
        <w:tc>
          <w:tcPr>
            <w:tcW w:w="1020" w:type="dxa"/>
            <w:vAlign w:val="center"/>
            <w:tcBorders>
              <w:top w:val="nil"/>
              <w:left w:val="nil"/>
              <w:bottom w:val="nil"/>
              <w:right w:val="nil"/>
            </w:tcBorders>
          </w:tcPr>
          <w:p>
            <w:pPr>
              <w:pStyle w:val="0"/>
              <w:jc w:val="center"/>
            </w:pPr>
            <w:r>
              <w:rPr>
                <w:sz w:val="20"/>
              </w:rPr>
              <w:t xml:space="preserve">4 967,4</w:t>
            </w:r>
          </w:p>
        </w:tc>
        <w:tc>
          <w:tcPr>
            <w:tcW w:w="1020" w:type="dxa"/>
            <w:vAlign w:val="center"/>
            <w:tcBorders>
              <w:top w:val="nil"/>
              <w:left w:val="nil"/>
              <w:bottom w:val="nil"/>
              <w:right w:val="nil"/>
            </w:tcBorders>
          </w:tcPr>
          <w:p>
            <w:pPr>
              <w:pStyle w:val="0"/>
              <w:jc w:val="center"/>
            </w:pPr>
            <w:r>
              <w:rPr>
                <w:sz w:val="20"/>
              </w:rPr>
              <w:t xml:space="preserve">5 557,6</w:t>
            </w:r>
          </w:p>
        </w:tc>
        <w:tc>
          <w:tcPr>
            <w:tcW w:w="1020" w:type="dxa"/>
            <w:vAlign w:val="center"/>
            <w:tcBorders>
              <w:top w:val="nil"/>
              <w:left w:val="nil"/>
              <w:bottom w:val="nil"/>
              <w:right w:val="nil"/>
            </w:tcBorders>
          </w:tcPr>
          <w:p>
            <w:pPr>
              <w:pStyle w:val="0"/>
              <w:jc w:val="center"/>
            </w:pPr>
            <w:r>
              <w:rPr>
                <w:sz w:val="20"/>
              </w:rPr>
              <w:t xml:space="preserve">5 889,5</w:t>
            </w:r>
          </w:p>
        </w:tc>
        <w:tc>
          <w:tcPr>
            <w:tcW w:w="1191" w:type="dxa"/>
            <w:vAlign w:val="center"/>
            <w:tcBorders>
              <w:top w:val="nil"/>
              <w:left w:val="nil"/>
              <w:bottom w:val="nil"/>
              <w:right w:val="nil"/>
            </w:tcBorders>
          </w:tcPr>
          <w:p>
            <w:pPr>
              <w:pStyle w:val="0"/>
              <w:jc w:val="center"/>
            </w:pPr>
            <w:r>
              <w:rPr>
                <w:sz w:val="20"/>
              </w:rPr>
              <w:t xml:space="preserve">6 508,9</w:t>
            </w:r>
          </w:p>
        </w:tc>
        <w:tc>
          <w:tcPr>
            <w:tcW w:w="1247" w:type="dxa"/>
            <w:vAlign w:val="center"/>
            <w:tcBorders>
              <w:top w:val="nil"/>
              <w:left w:val="nil"/>
              <w:bottom w:val="nil"/>
              <w:right w:val="nil"/>
            </w:tcBorders>
          </w:tcPr>
          <w:p>
            <w:pPr>
              <w:pStyle w:val="0"/>
              <w:jc w:val="center"/>
            </w:pPr>
            <w:r>
              <w:rPr>
                <w:sz w:val="20"/>
              </w:rPr>
              <w:t xml:space="preserve">8 000,0</w:t>
            </w:r>
          </w:p>
        </w:tc>
        <w:tc>
          <w:tcPr>
            <w:tcW w:w="1020" w:type="dxa"/>
            <w:vAlign w:val="center"/>
            <w:tcBorders>
              <w:top w:val="nil"/>
              <w:left w:val="nil"/>
              <w:bottom w:val="nil"/>
              <w:right w:val="nil"/>
            </w:tcBorders>
          </w:tcPr>
          <w:p>
            <w:pPr>
              <w:pStyle w:val="0"/>
              <w:jc w:val="center"/>
            </w:pPr>
            <w:r>
              <w:rPr>
                <w:sz w:val="20"/>
              </w:rPr>
              <w:t xml:space="preserve">9 683,2</w:t>
            </w:r>
          </w:p>
        </w:tc>
        <w:tc>
          <w:tcPr>
            <w:tcW w:w="1020" w:type="dxa"/>
            <w:vAlign w:val="center"/>
            <w:tcBorders>
              <w:top w:val="nil"/>
              <w:left w:val="nil"/>
              <w:bottom w:val="nil"/>
              <w:right w:val="nil"/>
            </w:tcBorders>
          </w:tcPr>
          <w:p>
            <w:pPr>
              <w:pStyle w:val="0"/>
              <w:jc w:val="center"/>
            </w:pPr>
            <w:r>
              <w:rPr>
                <w:sz w:val="20"/>
              </w:rPr>
              <w:t xml:space="preserve">9 924,1</w:t>
            </w:r>
          </w:p>
        </w:tc>
        <w:tc>
          <w:tcPr>
            <w:tcW w:w="1020" w:type="dxa"/>
            <w:vAlign w:val="center"/>
            <w:tcBorders>
              <w:top w:val="nil"/>
              <w:left w:val="nil"/>
              <w:bottom w:val="nil"/>
              <w:right w:val="nil"/>
            </w:tcBorders>
          </w:tcPr>
          <w:p>
            <w:pPr>
              <w:pStyle w:val="0"/>
              <w:jc w:val="center"/>
            </w:pPr>
            <w:r>
              <w:rPr>
                <w:sz w:val="20"/>
              </w:rPr>
              <w:t xml:space="preserve">9 569,8</w:t>
            </w:r>
          </w:p>
        </w:tc>
      </w:tr>
      <w:tr>
        <w:tc>
          <w:tcPr>
            <w:tcW w:w="2154" w:type="dxa"/>
            <w:tcBorders>
              <w:top w:val="nil"/>
              <w:left w:val="nil"/>
              <w:bottom w:val="nil"/>
              <w:right w:val="nil"/>
            </w:tcBorders>
          </w:tcPr>
          <w:p>
            <w:pPr>
              <w:pStyle w:val="0"/>
              <w:ind w:left="283"/>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7,2</w:t>
            </w:r>
          </w:p>
        </w:tc>
        <w:tc>
          <w:tcPr>
            <w:tcW w:w="1020" w:type="dxa"/>
            <w:vAlign w:val="center"/>
            <w:tcBorders>
              <w:top w:val="nil"/>
              <w:left w:val="nil"/>
              <w:bottom w:val="nil"/>
              <w:right w:val="nil"/>
            </w:tcBorders>
          </w:tcPr>
          <w:p>
            <w:pPr>
              <w:pStyle w:val="0"/>
              <w:jc w:val="center"/>
            </w:pPr>
            <w:r>
              <w:rPr>
                <w:sz w:val="20"/>
              </w:rPr>
              <w:t xml:space="preserve">4,9</w:t>
            </w:r>
          </w:p>
        </w:tc>
        <w:tc>
          <w:tcPr>
            <w:tcW w:w="1020" w:type="dxa"/>
            <w:vAlign w:val="center"/>
            <w:tcBorders>
              <w:top w:val="nil"/>
              <w:left w:val="nil"/>
              <w:bottom w:val="nil"/>
              <w:right w:val="nil"/>
            </w:tcBorders>
          </w:tcPr>
          <w:p>
            <w:pPr>
              <w:pStyle w:val="0"/>
              <w:jc w:val="center"/>
            </w:pPr>
            <w:r>
              <w:rPr>
                <w:sz w:val="20"/>
              </w:rPr>
              <w:t xml:space="preserve">6,7</w:t>
            </w:r>
          </w:p>
        </w:tc>
        <w:tc>
          <w:tcPr>
            <w:tcW w:w="1191" w:type="dxa"/>
            <w:vAlign w:val="center"/>
            <w:tcBorders>
              <w:top w:val="nil"/>
              <w:left w:val="nil"/>
              <w:bottom w:val="nil"/>
              <w:right w:val="nil"/>
            </w:tcBorders>
          </w:tcPr>
          <w:p>
            <w:pPr>
              <w:pStyle w:val="0"/>
              <w:jc w:val="center"/>
            </w:pPr>
            <w:r>
              <w:rPr>
                <w:sz w:val="20"/>
              </w:rPr>
              <w:t xml:space="preserve">7,6</w:t>
            </w:r>
          </w:p>
        </w:tc>
        <w:tc>
          <w:tcPr>
            <w:tcW w:w="1247" w:type="dxa"/>
            <w:vAlign w:val="center"/>
            <w:tcBorders>
              <w:top w:val="nil"/>
              <w:left w:val="nil"/>
              <w:bottom w:val="nil"/>
              <w:right w:val="nil"/>
            </w:tcBorders>
          </w:tcPr>
          <w:p>
            <w:pPr>
              <w:pStyle w:val="0"/>
              <w:jc w:val="center"/>
            </w:pPr>
            <w:r>
              <w:rPr>
                <w:sz w:val="20"/>
              </w:rPr>
              <w:t xml:space="preserve">5,3</w:t>
            </w:r>
          </w:p>
        </w:tc>
        <w:tc>
          <w:tcPr>
            <w:tcW w:w="1020" w:type="dxa"/>
            <w:vAlign w:val="center"/>
            <w:tcBorders>
              <w:top w:val="nil"/>
              <w:left w:val="nil"/>
              <w:bottom w:val="nil"/>
              <w:right w:val="nil"/>
            </w:tcBorders>
          </w:tcPr>
          <w:p>
            <w:pPr>
              <w:pStyle w:val="0"/>
              <w:jc w:val="center"/>
            </w:pPr>
            <w:r>
              <w:rPr>
                <w:sz w:val="20"/>
              </w:rPr>
              <w:t xml:space="preserve">6,4</w:t>
            </w:r>
          </w:p>
        </w:tc>
        <w:tc>
          <w:tcPr>
            <w:tcW w:w="1020" w:type="dxa"/>
            <w:vAlign w:val="center"/>
            <w:tcBorders>
              <w:top w:val="nil"/>
              <w:left w:val="nil"/>
              <w:bottom w:val="nil"/>
              <w:right w:val="nil"/>
            </w:tcBorders>
          </w:tcPr>
          <w:p>
            <w:pPr>
              <w:pStyle w:val="0"/>
              <w:jc w:val="center"/>
            </w:pPr>
            <w:r>
              <w:rPr>
                <w:sz w:val="20"/>
              </w:rPr>
              <w:t xml:space="preserve">6,2</w:t>
            </w:r>
          </w:p>
        </w:tc>
        <w:tc>
          <w:tcPr>
            <w:tcW w:w="1020" w:type="dxa"/>
            <w:vAlign w:val="center"/>
            <w:tcBorders>
              <w:top w:val="nil"/>
              <w:left w:val="nil"/>
              <w:bottom w:val="nil"/>
              <w:right w:val="nil"/>
            </w:tcBorders>
          </w:tcPr>
          <w:p>
            <w:pPr>
              <w:pStyle w:val="0"/>
              <w:jc w:val="center"/>
            </w:pPr>
            <w:r>
              <w:rPr>
                <w:sz w:val="20"/>
              </w:rPr>
              <w:t xml:space="preserve">5,6</w:t>
            </w:r>
          </w:p>
        </w:tc>
      </w:tr>
      <w:tr>
        <w:tc>
          <w:tcPr>
            <w:tcW w:w="2154" w:type="dxa"/>
            <w:tcBorders>
              <w:top w:val="nil"/>
              <w:left w:val="nil"/>
              <w:bottom w:val="nil"/>
              <w:right w:val="nil"/>
            </w:tcBorders>
          </w:tcPr>
          <w:p>
            <w:pPr>
              <w:pStyle w:val="0"/>
              <w:ind w:left="283"/>
            </w:pPr>
            <w:r>
              <w:rPr>
                <w:sz w:val="20"/>
              </w:rPr>
              <w:t xml:space="preserve">в % от общего объема</w:t>
            </w:r>
          </w:p>
        </w:tc>
        <w:tc>
          <w:tcPr>
            <w:tcW w:w="1020" w:type="dxa"/>
            <w:vAlign w:val="center"/>
            <w:tcBorders>
              <w:top w:val="nil"/>
              <w:left w:val="nil"/>
              <w:bottom w:val="nil"/>
              <w:right w:val="nil"/>
            </w:tcBorders>
          </w:tcPr>
          <w:p>
            <w:pPr>
              <w:pStyle w:val="0"/>
              <w:jc w:val="center"/>
            </w:pPr>
            <w:r>
              <w:rPr>
                <w:sz w:val="20"/>
              </w:rPr>
              <w:t xml:space="preserve">39,3</w:t>
            </w:r>
          </w:p>
        </w:tc>
        <w:tc>
          <w:tcPr>
            <w:tcW w:w="1020" w:type="dxa"/>
            <w:vAlign w:val="center"/>
            <w:tcBorders>
              <w:top w:val="nil"/>
              <w:left w:val="nil"/>
              <w:bottom w:val="nil"/>
              <w:right w:val="nil"/>
            </w:tcBorders>
          </w:tcPr>
          <w:p>
            <w:pPr>
              <w:pStyle w:val="0"/>
              <w:jc w:val="center"/>
            </w:pPr>
            <w:r>
              <w:rPr>
                <w:sz w:val="20"/>
              </w:rPr>
              <w:t xml:space="preserve">28,0</w:t>
            </w:r>
          </w:p>
        </w:tc>
        <w:tc>
          <w:tcPr>
            <w:tcW w:w="1020" w:type="dxa"/>
            <w:vAlign w:val="center"/>
            <w:tcBorders>
              <w:top w:val="nil"/>
              <w:left w:val="nil"/>
              <w:bottom w:val="nil"/>
              <w:right w:val="nil"/>
            </w:tcBorders>
          </w:tcPr>
          <w:p>
            <w:pPr>
              <w:pStyle w:val="0"/>
              <w:jc w:val="center"/>
            </w:pPr>
            <w:r>
              <w:rPr>
                <w:sz w:val="20"/>
              </w:rPr>
              <w:t xml:space="preserve">35,8</w:t>
            </w:r>
          </w:p>
        </w:tc>
        <w:tc>
          <w:tcPr>
            <w:tcW w:w="1191" w:type="dxa"/>
            <w:vAlign w:val="center"/>
            <w:tcBorders>
              <w:top w:val="nil"/>
              <w:left w:val="nil"/>
              <w:bottom w:val="nil"/>
              <w:right w:val="nil"/>
            </w:tcBorders>
          </w:tcPr>
          <w:p>
            <w:pPr>
              <w:pStyle w:val="0"/>
              <w:jc w:val="center"/>
            </w:pPr>
            <w:r>
              <w:rPr>
                <w:sz w:val="20"/>
              </w:rPr>
              <w:t xml:space="preserve">41,6</w:t>
            </w:r>
          </w:p>
        </w:tc>
        <w:tc>
          <w:tcPr>
            <w:tcW w:w="1247" w:type="dxa"/>
            <w:vAlign w:val="center"/>
            <w:tcBorders>
              <w:top w:val="nil"/>
              <w:left w:val="nil"/>
              <w:bottom w:val="nil"/>
              <w:right w:val="nil"/>
            </w:tcBorders>
          </w:tcPr>
          <w:p>
            <w:pPr>
              <w:pStyle w:val="0"/>
              <w:jc w:val="center"/>
            </w:pPr>
            <w:r>
              <w:rPr>
                <w:sz w:val="20"/>
              </w:rPr>
              <w:t xml:space="preserve">30,9</w:t>
            </w:r>
          </w:p>
        </w:tc>
        <w:tc>
          <w:tcPr>
            <w:tcW w:w="1020" w:type="dxa"/>
            <w:vAlign w:val="center"/>
            <w:tcBorders>
              <w:top w:val="nil"/>
              <w:left w:val="nil"/>
              <w:bottom w:val="nil"/>
              <w:right w:val="nil"/>
            </w:tcBorders>
          </w:tcPr>
          <w:p>
            <w:pPr>
              <w:pStyle w:val="0"/>
              <w:jc w:val="center"/>
            </w:pPr>
            <w:r>
              <w:rPr>
                <w:sz w:val="20"/>
              </w:rPr>
              <w:t xml:space="preserve">32,8</w:t>
            </w:r>
          </w:p>
        </w:tc>
        <w:tc>
          <w:tcPr>
            <w:tcW w:w="1020" w:type="dxa"/>
            <w:vAlign w:val="center"/>
            <w:tcBorders>
              <w:top w:val="nil"/>
              <w:left w:val="nil"/>
              <w:bottom w:val="nil"/>
              <w:right w:val="nil"/>
            </w:tcBorders>
          </w:tcPr>
          <w:p>
            <w:pPr>
              <w:pStyle w:val="0"/>
              <w:jc w:val="center"/>
            </w:pPr>
            <w:r>
              <w:rPr>
                <w:sz w:val="20"/>
              </w:rPr>
              <w:t xml:space="preserve">35,0</w:t>
            </w:r>
          </w:p>
        </w:tc>
        <w:tc>
          <w:tcPr>
            <w:tcW w:w="1020" w:type="dxa"/>
            <w:vAlign w:val="center"/>
            <w:tcBorders>
              <w:top w:val="nil"/>
              <w:left w:val="nil"/>
              <w:bottom w:val="nil"/>
              <w:right w:val="nil"/>
            </w:tcBorders>
          </w:tcPr>
          <w:p>
            <w:pPr>
              <w:pStyle w:val="0"/>
              <w:jc w:val="center"/>
            </w:pPr>
            <w:r>
              <w:rPr>
                <w:sz w:val="20"/>
              </w:rPr>
              <w:t xml:space="preserve">33,5</w:t>
            </w:r>
          </w:p>
        </w:tc>
      </w:tr>
      <w:tr>
        <w:tc>
          <w:tcPr>
            <w:tcW w:w="2154" w:type="dxa"/>
            <w:tcBorders>
              <w:top w:val="nil"/>
              <w:left w:val="nil"/>
              <w:bottom w:val="nil"/>
              <w:right w:val="nil"/>
            </w:tcBorders>
          </w:tcPr>
          <w:p>
            <w:pPr>
              <w:pStyle w:val="0"/>
            </w:pPr>
            <w:r>
              <w:rPr>
                <w:sz w:val="20"/>
              </w:rPr>
              <w:t xml:space="preserve">Ненефтегазовые доходы</w:t>
            </w:r>
          </w:p>
        </w:tc>
        <w:tc>
          <w:tcPr>
            <w:tcW w:w="1020" w:type="dxa"/>
            <w:vAlign w:val="center"/>
            <w:tcBorders>
              <w:top w:val="nil"/>
              <w:left w:val="nil"/>
              <w:bottom w:val="nil"/>
              <w:right w:val="nil"/>
            </w:tcBorders>
          </w:tcPr>
          <w:p>
            <w:pPr>
              <w:pStyle w:val="0"/>
              <w:jc w:val="center"/>
            </w:pPr>
            <w:r>
              <w:rPr>
                <w:sz w:val="20"/>
              </w:rPr>
              <w:t xml:space="preserve">12 264,5</w:t>
            </w:r>
          </w:p>
        </w:tc>
        <w:tc>
          <w:tcPr>
            <w:tcW w:w="1020" w:type="dxa"/>
            <w:vAlign w:val="center"/>
            <w:tcBorders>
              <w:top w:val="nil"/>
              <w:left w:val="nil"/>
              <w:bottom w:val="nil"/>
              <w:right w:val="nil"/>
            </w:tcBorders>
          </w:tcPr>
          <w:p>
            <w:pPr>
              <w:pStyle w:val="0"/>
              <w:jc w:val="center"/>
            </w:pPr>
            <w:r>
              <w:rPr>
                <w:sz w:val="20"/>
              </w:rPr>
              <w:t xml:space="preserve">13 483,8</w:t>
            </w:r>
          </w:p>
        </w:tc>
        <w:tc>
          <w:tcPr>
            <w:tcW w:w="1020" w:type="dxa"/>
            <w:vAlign w:val="center"/>
            <w:tcBorders>
              <w:top w:val="nil"/>
              <w:left w:val="nil"/>
              <w:bottom w:val="nil"/>
              <w:right w:val="nil"/>
            </w:tcBorders>
          </w:tcPr>
          <w:p>
            <w:pPr>
              <w:pStyle w:val="0"/>
              <w:jc w:val="center"/>
            </w:pPr>
            <w:r>
              <w:rPr>
                <w:sz w:val="20"/>
              </w:rPr>
              <w:t xml:space="preserve">16 229,9</w:t>
            </w:r>
          </w:p>
        </w:tc>
        <w:tc>
          <w:tcPr>
            <w:tcW w:w="1191" w:type="dxa"/>
            <w:vAlign w:val="center"/>
            <w:tcBorders>
              <w:top w:val="nil"/>
              <w:left w:val="nil"/>
              <w:bottom w:val="nil"/>
              <w:right w:val="nil"/>
            </w:tcBorders>
          </w:tcPr>
          <w:p>
            <w:pPr>
              <w:pStyle w:val="0"/>
              <w:jc w:val="center"/>
            </w:pPr>
            <w:r>
              <w:rPr>
                <w:sz w:val="20"/>
              </w:rPr>
              <w:t xml:space="preserve">16 238,2</w:t>
            </w:r>
          </w:p>
        </w:tc>
        <w:tc>
          <w:tcPr>
            <w:tcW w:w="1247" w:type="dxa"/>
            <w:vAlign w:val="center"/>
            <w:tcBorders>
              <w:top w:val="nil"/>
              <w:left w:val="nil"/>
              <w:bottom w:val="nil"/>
              <w:right w:val="nil"/>
            </w:tcBorders>
          </w:tcPr>
          <w:p>
            <w:pPr>
              <w:pStyle w:val="0"/>
              <w:jc w:val="center"/>
            </w:pPr>
            <w:r>
              <w:rPr>
                <w:sz w:val="20"/>
              </w:rPr>
              <w:t xml:space="preserve">19 810,5</w:t>
            </w:r>
          </w:p>
        </w:tc>
        <w:tc>
          <w:tcPr>
            <w:tcW w:w="1020" w:type="dxa"/>
            <w:vAlign w:val="center"/>
            <w:tcBorders>
              <w:top w:val="nil"/>
              <w:left w:val="nil"/>
              <w:bottom w:val="nil"/>
              <w:right w:val="nil"/>
            </w:tcBorders>
          </w:tcPr>
          <w:p>
            <w:pPr>
              <w:pStyle w:val="0"/>
              <w:jc w:val="center"/>
            </w:pPr>
            <w:r>
              <w:rPr>
                <w:sz w:val="20"/>
              </w:rPr>
              <w:t xml:space="preserve">23 561,0</w:t>
            </w:r>
          </w:p>
        </w:tc>
        <w:tc>
          <w:tcPr>
            <w:tcW w:w="1020" w:type="dxa"/>
            <w:vAlign w:val="center"/>
            <w:tcBorders>
              <w:top w:val="nil"/>
              <w:left w:val="nil"/>
              <w:bottom w:val="nil"/>
              <w:right w:val="nil"/>
            </w:tcBorders>
          </w:tcPr>
          <w:p>
            <w:pPr>
              <w:pStyle w:val="0"/>
              <w:jc w:val="center"/>
            </w:pPr>
            <w:r>
              <w:rPr>
                <w:sz w:val="20"/>
              </w:rPr>
              <w:t xml:space="preserve">21 792,6</w:t>
            </w:r>
          </w:p>
        </w:tc>
        <w:tc>
          <w:tcPr>
            <w:tcW w:w="1020" w:type="dxa"/>
            <w:vAlign w:val="center"/>
            <w:tcBorders>
              <w:top w:val="nil"/>
              <w:left w:val="nil"/>
              <w:bottom w:val="nil"/>
              <w:right w:val="nil"/>
            </w:tcBorders>
          </w:tcPr>
          <w:p>
            <w:pPr>
              <w:pStyle w:val="0"/>
              <w:jc w:val="center"/>
            </w:pPr>
            <w:r>
              <w:rPr>
                <w:sz w:val="20"/>
              </w:rPr>
              <w:t xml:space="preserve">22 636,3</w:t>
            </w:r>
          </w:p>
        </w:tc>
      </w:tr>
      <w:tr>
        <w:tc>
          <w:tcPr>
            <w:tcW w:w="2154" w:type="dxa"/>
            <w:tcBorders>
              <w:top w:val="nil"/>
              <w:left w:val="nil"/>
              <w:bottom w:val="nil"/>
              <w:right w:val="nil"/>
            </w:tcBorders>
          </w:tcPr>
          <w:p>
            <w:pPr>
              <w:pStyle w:val="0"/>
              <w:ind w:left="283"/>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11,2</w:t>
            </w:r>
          </w:p>
        </w:tc>
        <w:tc>
          <w:tcPr>
            <w:tcW w:w="1020" w:type="dxa"/>
            <w:vAlign w:val="center"/>
            <w:tcBorders>
              <w:top w:val="nil"/>
              <w:left w:val="nil"/>
              <w:bottom w:val="nil"/>
              <w:right w:val="nil"/>
            </w:tcBorders>
          </w:tcPr>
          <w:p>
            <w:pPr>
              <w:pStyle w:val="0"/>
              <w:jc w:val="center"/>
            </w:pPr>
            <w:r>
              <w:rPr>
                <w:sz w:val="20"/>
              </w:rPr>
              <w:t xml:space="preserve">12,5</w:t>
            </w:r>
          </w:p>
        </w:tc>
        <w:tc>
          <w:tcPr>
            <w:tcW w:w="1020" w:type="dxa"/>
            <w:vAlign w:val="center"/>
            <w:tcBorders>
              <w:top w:val="nil"/>
              <w:left w:val="nil"/>
              <w:bottom w:val="nil"/>
              <w:right w:val="nil"/>
            </w:tcBorders>
          </w:tcPr>
          <w:p>
            <w:pPr>
              <w:pStyle w:val="0"/>
              <w:jc w:val="center"/>
            </w:pPr>
            <w:r>
              <w:rPr>
                <w:sz w:val="20"/>
              </w:rPr>
              <w:t xml:space="preserve">12,0</w:t>
            </w:r>
          </w:p>
        </w:tc>
        <w:tc>
          <w:tcPr>
            <w:tcW w:w="1191" w:type="dxa"/>
            <w:vAlign w:val="center"/>
            <w:tcBorders>
              <w:top w:val="nil"/>
              <w:left w:val="nil"/>
              <w:bottom w:val="nil"/>
              <w:right w:val="nil"/>
            </w:tcBorders>
          </w:tcPr>
          <w:p>
            <w:pPr>
              <w:pStyle w:val="0"/>
              <w:jc w:val="center"/>
            </w:pPr>
            <w:r>
              <w:rPr>
                <w:sz w:val="20"/>
              </w:rPr>
              <w:t xml:space="preserve">10,6</w:t>
            </w:r>
          </w:p>
        </w:tc>
        <w:tc>
          <w:tcPr>
            <w:tcW w:w="1247" w:type="dxa"/>
            <w:vAlign w:val="center"/>
            <w:tcBorders>
              <w:top w:val="nil"/>
              <w:left w:val="nil"/>
              <w:bottom w:val="nil"/>
              <w:right w:val="nil"/>
            </w:tcBorders>
          </w:tcPr>
          <w:p>
            <w:pPr>
              <w:pStyle w:val="0"/>
              <w:jc w:val="center"/>
            </w:pPr>
            <w:r>
              <w:rPr>
                <w:sz w:val="20"/>
              </w:rPr>
              <w:t xml:space="preserve">11,9</w:t>
            </w:r>
          </w:p>
        </w:tc>
        <w:tc>
          <w:tcPr>
            <w:tcW w:w="1020" w:type="dxa"/>
            <w:vAlign w:val="center"/>
            <w:tcBorders>
              <w:top w:val="nil"/>
              <w:left w:val="nil"/>
              <w:bottom w:val="nil"/>
              <w:right w:val="nil"/>
            </w:tcBorders>
          </w:tcPr>
          <w:p>
            <w:pPr>
              <w:pStyle w:val="0"/>
              <w:jc w:val="center"/>
            </w:pPr>
            <w:r>
              <w:rPr>
                <w:sz w:val="20"/>
              </w:rPr>
              <w:t xml:space="preserve">13,1</w:t>
            </w:r>
          </w:p>
        </w:tc>
        <w:tc>
          <w:tcPr>
            <w:tcW w:w="1020" w:type="dxa"/>
            <w:vAlign w:val="center"/>
            <w:tcBorders>
              <w:top w:val="nil"/>
              <w:left w:val="nil"/>
              <w:bottom w:val="nil"/>
              <w:right w:val="nil"/>
            </w:tcBorders>
          </w:tcPr>
          <w:p>
            <w:pPr>
              <w:pStyle w:val="0"/>
              <w:jc w:val="center"/>
            </w:pPr>
            <w:r>
              <w:rPr>
                <w:sz w:val="20"/>
              </w:rPr>
              <w:t xml:space="preserve">11,4</w:t>
            </w:r>
          </w:p>
        </w:tc>
        <w:tc>
          <w:tcPr>
            <w:tcW w:w="1020" w:type="dxa"/>
            <w:vAlign w:val="center"/>
            <w:tcBorders>
              <w:top w:val="nil"/>
              <w:left w:val="nil"/>
              <w:bottom w:val="nil"/>
              <w:right w:val="nil"/>
            </w:tcBorders>
          </w:tcPr>
          <w:p>
            <w:pPr>
              <w:pStyle w:val="0"/>
              <w:jc w:val="center"/>
            </w:pPr>
            <w:r>
              <w:rPr>
                <w:sz w:val="20"/>
              </w:rPr>
              <w:t xml:space="preserve">11,2</w:t>
            </w:r>
          </w:p>
        </w:tc>
      </w:tr>
      <w:tr>
        <w:tc>
          <w:tcPr>
            <w:tcW w:w="2154" w:type="dxa"/>
            <w:vAlign w:val="center"/>
            <w:tcBorders>
              <w:top w:val="nil"/>
              <w:left w:val="nil"/>
              <w:bottom w:val="nil"/>
              <w:right w:val="nil"/>
            </w:tcBorders>
          </w:tcPr>
          <w:p>
            <w:pPr>
              <w:pStyle w:val="0"/>
            </w:pPr>
            <w:r>
              <w:rPr>
                <w:sz w:val="20"/>
              </w:rPr>
              <w:t xml:space="preserve">РАСХОДЫ</w:t>
            </w:r>
          </w:p>
        </w:tc>
        <w:tc>
          <w:tcPr>
            <w:tcW w:w="1020" w:type="dxa"/>
            <w:vAlign w:val="center"/>
            <w:tcBorders>
              <w:top w:val="nil"/>
              <w:left w:val="nil"/>
              <w:bottom w:val="nil"/>
              <w:right w:val="nil"/>
            </w:tcBorders>
          </w:tcPr>
          <w:p>
            <w:pPr>
              <w:pStyle w:val="0"/>
              <w:jc w:val="center"/>
            </w:pPr>
            <w:r>
              <w:rPr>
                <w:sz w:val="20"/>
              </w:rPr>
              <w:t xml:space="preserve">18 214,5</w:t>
            </w:r>
          </w:p>
        </w:tc>
        <w:tc>
          <w:tcPr>
            <w:tcW w:w="1020" w:type="dxa"/>
            <w:vAlign w:val="center"/>
            <w:tcBorders>
              <w:top w:val="nil"/>
              <w:left w:val="nil"/>
              <w:bottom w:val="nil"/>
              <w:right w:val="nil"/>
            </w:tcBorders>
          </w:tcPr>
          <w:p>
            <w:pPr>
              <w:pStyle w:val="0"/>
              <w:jc w:val="center"/>
            </w:pPr>
            <w:r>
              <w:rPr>
                <w:sz w:val="20"/>
              </w:rPr>
              <w:t xml:space="preserve">22 821,6</w:t>
            </w:r>
          </w:p>
        </w:tc>
        <w:tc>
          <w:tcPr>
            <w:tcW w:w="1020" w:type="dxa"/>
            <w:vAlign w:val="center"/>
            <w:tcBorders>
              <w:top w:val="nil"/>
              <w:left w:val="nil"/>
              <w:bottom w:val="nil"/>
              <w:right w:val="nil"/>
            </w:tcBorders>
          </w:tcPr>
          <w:p>
            <w:pPr>
              <w:pStyle w:val="0"/>
              <w:jc w:val="center"/>
            </w:pPr>
            <w:r>
              <w:rPr>
                <w:sz w:val="20"/>
              </w:rPr>
              <w:t xml:space="preserve">24 762,1</w:t>
            </w:r>
          </w:p>
        </w:tc>
        <w:tc>
          <w:tcPr>
            <w:tcW w:w="1191" w:type="dxa"/>
            <w:vAlign w:val="center"/>
            <w:tcBorders>
              <w:top w:val="nil"/>
              <w:left w:val="nil"/>
              <w:bottom w:val="nil"/>
              <w:right w:val="nil"/>
            </w:tcBorders>
          </w:tcPr>
          <w:p>
            <w:pPr>
              <w:pStyle w:val="0"/>
              <w:jc w:val="center"/>
            </w:pPr>
            <w:r>
              <w:rPr>
                <w:sz w:val="20"/>
              </w:rPr>
              <w:t xml:space="preserve">31 118,9</w:t>
            </w:r>
          </w:p>
          <w:p>
            <w:pPr>
              <w:pStyle w:val="0"/>
              <w:jc w:val="center"/>
            </w:pPr>
            <w:r>
              <w:rPr>
                <w:sz w:val="20"/>
              </w:rPr>
              <w:t xml:space="preserve">(28 850,5)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247" w:type="dxa"/>
            <w:vAlign w:val="center"/>
            <w:tcBorders>
              <w:top w:val="nil"/>
              <w:left w:val="nil"/>
              <w:bottom w:val="nil"/>
              <w:right w:val="nil"/>
            </w:tcBorders>
          </w:tcPr>
          <w:p>
            <w:pPr>
              <w:pStyle w:val="0"/>
              <w:jc w:val="center"/>
            </w:pPr>
            <w:r>
              <w:rPr>
                <w:sz w:val="20"/>
              </w:rPr>
              <w:t xml:space="preserve">31 674,8</w:t>
            </w:r>
          </w:p>
          <w:p>
            <w:pPr>
              <w:pStyle w:val="0"/>
              <w:jc w:val="center"/>
            </w:pPr>
            <w:r>
              <w:rPr>
                <w:sz w:val="20"/>
              </w:rPr>
              <w:t xml:space="preserve">(33 171,0)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36 660,7</w:t>
            </w:r>
          </w:p>
        </w:tc>
        <w:tc>
          <w:tcPr>
            <w:tcW w:w="1020" w:type="dxa"/>
            <w:vAlign w:val="center"/>
            <w:tcBorders>
              <w:top w:val="nil"/>
              <w:left w:val="nil"/>
              <w:bottom w:val="nil"/>
              <w:right w:val="nil"/>
            </w:tcBorders>
          </w:tcPr>
          <w:p>
            <w:pPr>
              <w:pStyle w:val="0"/>
              <w:jc w:val="center"/>
            </w:pPr>
            <w:r>
              <w:rPr>
                <w:sz w:val="20"/>
              </w:rPr>
              <w:t xml:space="preserve">34 382,8</w:t>
            </w:r>
          </w:p>
        </w:tc>
        <w:tc>
          <w:tcPr>
            <w:tcW w:w="1020" w:type="dxa"/>
            <w:vAlign w:val="center"/>
            <w:tcBorders>
              <w:top w:val="nil"/>
              <w:left w:val="nil"/>
              <w:bottom w:val="nil"/>
              <w:right w:val="nil"/>
            </w:tcBorders>
          </w:tcPr>
          <w:p>
            <w:pPr>
              <w:pStyle w:val="0"/>
              <w:jc w:val="center"/>
            </w:pPr>
            <w:r>
              <w:rPr>
                <w:sz w:val="20"/>
              </w:rPr>
              <w:t xml:space="preserve">35 587,4</w:t>
            </w:r>
          </w:p>
        </w:tc>
      </w:tr>
      <w:tr>
        <w:tc>
          <w:tcPr>
            <w:tcW w:w="2154" w:type="dxa"/>
            <w:vAlign w:val="center"/>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16,6</w:t>
            </w:r>
          </w:p>
        </w:tc>
        <w:tc>
          <w:tcPr>
            <w:tcW w:w="1020" w:type="dxa"/>
            <w:vAlign w:val="center"/>
            <w:tcBorders>
              <w:top w:val="nil"/>
              <w:left w:val="nil"/>
              <w:bottom w:val="nil"/>
              <w:right w:val="nil"/>
            </w:tcBorders>
          </w:tcPr>
          <w:p>
            <w:pPr>
              <w:pStyle w:val="0"/>
              <w:jc w:val="center"/>
            </w:pPr>
            <w:r>
              <w:rPr>
                <w:sz w:val="20"/>
              </w:rPr>
              <w:t xml:space="preserve">21,2</w:t>
            </w:r>
          </w:p>
        </w:tc>
        <w:tc>
          <w:tcPr>
            <w:tcW w:w="1020" w:type="dxa"/>
            <w:vAlign w:val="center"/>
            <w:tcBorders>
              <w:top w:val="nil"/>
              <w:left w:val="nil"/>
              <w:bottom w:val="nil"/>
              <w:right w:val="nil"/>
            </w:tcBorders>
          </w:tcPr>
          <w:p>
            <w:pPr>
              <w:pStyle w:val="0"/>
              <w:jc w:val="center"/>
            </w:pPr>
            <w:r>
              <w:rPr>
                <w:sz w:val="20"/>
              </w:rPr>
              <w:t xml:space="preserve">18,3</w:t>
            </w:r>
          </w:p>
        </w:tc>
        <w:tc>
          <w:tcPr>
            <w:tcW w:w="1191" w:type="dxa"/>
            <w:vAlign w:val="center"/>
            <w:tcBorders>
              <w:top w:val="nil"/>
              <w:left w:val="nil"/>
              <w:bottom w:val="nil"/>
              <w:right w:val="nil"/>
            </w:tcBorders>
          </w:tcPr>
          <w:p>
            <w:pPr>
              <w:pStyle w:val="0"/>
              <w:jc w:val="center"/>
            </w:pPr>
            <w:r>
              <w:rPr>
                <w:sz w:val="20"/>
              </w:rPr>
              <w:t xml:space="preserve">20,3</w:t>
            </w:r>
          </w:p>
          <w:p>
            <w:pPr>
              <w:pStyle w:val="0"/>
              <w:jc w:val="center"/>
            </w:pPr>
            <w:r>
              <w:rPr>
                <w:sz w:val="20"/>
              </w:rPr>
              <w:t xml:space="preserve">(18,8)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247" w:type="dxa"/>
            <w:vAlign w:val="center"/>
            <w:tcBorders>
              <w:top w:val="nil"/>
              <w:left w:val="nil"/>
              <w:bottom w:val="nil"/>
              <w:right w:val="nil"/>
            </w:tcBorders>
          </w:tcPr>
          <w:p>
            <w:pPr>
              <w:pStyle w:val="0"/>
              <w:jc w:val="center"/>
            </w:pPr>
            <w:r>
              <w:rPr>
                <w:sz w:val="20"/>
              </w:rPr>
              <w:t xml:space="preserve">19,1</w:t>
            </w:r>
          </w:p>
          <w:p>
            <w:pPr>
              <w:pStyle w:val="0"/>
              <w:jc w:val="center"/>
            </w:pPr>
            <w:r>
              <w:rPr>
                <w:sz w:val="20"/>
              </w:rPr>
              <w:t xml:space="preserve">(20,0)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20,4</w:t>
            </w:r>
          </w:p>
        </w:tc>
        <w:tc>
          <w:tcPr>
            <w:tcW w:w="1020" w:type="dxa"/>
            <w:vAlign w:val="center"/>
            <w:tcBorders>
              <w:top w:val="nil"/>
              <w:left w:val="nil"/>
              <w:bottom w:val="nil"/>
              <w:right w:val="nil"/>
            </w:tcBorders>
          </w:tcPr>
          <w:p>
            <w:pPr>
              <w:pStyle w:val="0"/>
              <w:jc w:val="center"/>
            </w:pPr>
            <w:r>
              <w:rPr>
                <w:sz w:val="20"/>
              </w:rPr>
              <w:t xml:space="preserve">18,0</w:t>
            </w:r>
          </w:p>
        </w:tc>
        <w:tc>
          <w:tcPr>
            <w:tcW w:w="1020" w:type="dxa"/>
            <w:vAlign w:val="center"/>
            <w:tcBorders>
              <w:top w:val="nil"/>
              <w:left w:val="nil"/>
              <w:bottom w:val="nil"/>
              <w:right w:val="nil"/>
            </w:tcBorders>
          </w:tcPr>
          <w:p>
            <w:pPr>
              <w:pStyle w:val="0"/>
              <w:jc w:val="center"/>
            </w:pPr>
            <w:r>
              <w:rPr>
                <w:sz w:val="20"/>
              </w:rPr>
              <w:t xml:space="preserve">17,6</w:t>
            </w:r>
          </w:p>
        </w:tc>
      </w:tr>
      <w:tr>
        <w:tc>
          <w:tcPr>
            <w:tcW w:w="2154" w:type="dxa"/>
            <w:vAlign w:val="center"/>
            <w:tcBorders>
              <w:top w:val="nil"/>
              <w:left w:val="nil"/>
              <w:bottom w:val="nil"/>
              <w:right w:val="nil"/>
            </w:tcBorders>
          </w:tcPr>
          <w:p>
            <w:pPr>
              <w:pStyle w:val="0"/>
            </w:pPr>
            <w:r>
              <w:rPr>
                <w:sz w:val="20"/>
              </w:rPr>
              <w:t xml:space="preserve">СТРУКТУРНЫЙ БАЛАНС </w:t>
            </w:r>
            <w:hyperlink w:history="0" w:anchor="P1396" w:tooltip="&lt;**&gt; первичный структурный баланс при базовых нефтегазовых доходах с учетом сальдо бюджетных и межгосударственных кредитов.">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-251,8</w:t>
            </w:r>
          </w:p>
        </w:tc>
        <w:tc>
          <w:tcPr>
            <w:tcW w:w="1020" w:type="dxa"/>
            <w:vAlign w:val="center"/>
            <w:tcBorders>
              <w:top w:val="nil"/>
              <w:left w:val="nil"/>
              <w:bottom w:val="nil"/>
              <w:right w:val="nil"/>
            </w:tcBorders>
          </w:tcPr>
          <w:p>
            <w:pPr>
              <w:pStyle w:val="0"/>
              <w:jc w:val="center"/>
            </w:pPr>
            <w:r>
              <w:rPr>
                <w:sz w:val="20"/>
              </w:rPr>
              <w:t xml:space="preserve">-2 995,9</w:t>
            </w:r>
          </w:p>
        </w:tc>
        <w:tc>
          <w:tcPr>
            <w:tcW w:w="1020" w:type="dxa"/>
            <w:vAlign w:val="center"/>
            <w:tcBorders>
              <w:top w:val="nil"/>
              <w:left w:val="nil"/>
              <w:bottom w:val="nil"/>
              <w:right w:val="nil"/>
            </w:tcBorders>
          </w:tcPr>
          <w:p>
            <w:pPr>
              <w:pStyle w:val="0"/>
              <w:jc w:val="center"/>
            </w:pPr>
            <w:r>
              <w:rPr>
                <w:sz w:val="20"/>
              </w:rPr>
              <w:t xml:space="preserve">-1 558,5</w:t>
            </w:r>
          </w:p>
        </w:tc>
        <w:tc>
          <w:tcPr>
            <w:tcW w:w="1191" w:type="dxa"/>
            <w:vAlign w:val="center"/>
            <w:tcBorders>
              <w:top w:val="nil"/>
              <w:left w:val="nil"/>
              <w:bottom w:val="nil"/>
              <w:right w:val="nil"/>
            </w:tcBorders>
          </w:tcPr>
          <w:p>
            <w:pPr>
              <w:pStyle w:val="0"/>
              <w:jc w:val="center"/>
            </w:pPr>
            <w:r>
              <w:rPr>
                <w:sz w:val="20"/>
              </w:rPr>
              <w:t xml:space="preserve">-7 041,0</w:t>
            </w:r>
          </w:p>
          <w:p>
            <w:pPr>
              <w:pStyle w:val="0"/>
              <w:jc w:val="center"/>
            </w:pPr>
            <w:r>
              <w:rPr>
                <w:sz w:val="20"/>
              </w:rPr>
              <w:t xml:space="preserve">(-4 772,6)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247" w:type="dxa"/>
            <w:vAlign w:val="center"/>
            <w:tcBorders>
              <w:top w:val="nil"/>
              <w:left w:val="nil"/>
              <w:bottom w:val="nil"/>
              <w:right w:val="nil"/>
            </w:tcBorders>
          </w:tcPr>
          <w:p>
            <w:pPr>
              <w:pStyle w:val="0"/>
              <w:jc w:val="center"/>
            </w:pPr>
            <w:r>
              <w:rPr>
                <w:sz w:val="20"/>
              </w:rPr>
              <w:t xml:space="preserve">-2 639,8</w:t>
            </w:r>
          </w:p>
          <w:p>
            <w:pPr>
              <w:pStyle w:val="0"/>
              <w:jc w:val="center"/>
            </w:pPr>
            <w:r>
              <w:rPr>
                <w:sz w:val="20"/>
              </w:rPr>
              <w:t xml:space="preserve">(-4 136,0)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-1 600,0</w:t>
            </w:r>
          </w:p>
        </w:tc>
        <w:tc>
          <w:tcPr>
            <w:tcW w:w="1020" w:type="dxa"/>
            <w:vAlign w:val="center"/>
            <w:tcBorders>
              <w:top w:val="nil"/>
              <w:left w:val="nil"/>
              <w:bottom w:val="nil"/>
              <w:right w:val="nil"/>
            </w:tcBorders>
          </w:tcPr>
          <w:p>
            <w:pPr>
              <w:pStyle w:val="0"/>
              <w:jc w:val="center"/>
            </w:pPr>
            <w:r>
              <w:rPr>
                <w:sz w:val="20"/>
              </w:rPr>
              <w:t xml:space="preserve">0,0</w:t>
            </w:r>
          </w:p>
        </w:tc>
        <w:tc>
          <w:tcPr>
            <w:tcW w:w="1020" w:type="dxa"/>
            <w:vAlign w:val="center"/>
            <w:tcBorders>
              <w:top w:val="nil"/>
              <w:left w:val="nil"/>
              <w:bottom w:val="nil"/>
              <w:right w:val="nil"/>
            </w:tcBorders>
          </w:tcPr>
          <w:p>
            <w:pPr>
              <w:pStyle w:val="0"/>
              <w:jc w:val="center"/>
            </w:pPr>
            <w:r>
              <w:rPr>
                <w:sz w:val="20"/>
              </w:rPr>
              <w:t xml:space="preserve">0,0</w:t>
            </w:r>
          </w:p>
        </w:tc>
      </w:tr>
      <w:tr>
        <w:tc>
          <w:tcPr>
            <w:tcW w:w="2154" w:type="dxa"/>
            <w:vAlign w:val="center"/>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-0,2</w:t>
            </w:r>
          </w:p>
        </w:tc>
        <w:tc>
          <w:tcPr>
            <w:tcW w:w="1020" w:type="dxa"/>
            <w:vAlign w:val="center"/>
            <w:tcBorders>
              <w:top w:val="nil"/>
              <w:left w:val="nil"/>
              <w:bottom w:val="nil"/>
              <w:right w:val="nil"/>
            </w:tcBorders>
          </w:tcPr>
          <w:p>
            <w:pPr>
              <w:pStyle w:val="0"/>
              <w:jc w:val="center"/>
            </w:pPr>
            <w:r>
              <w:rPr>
                <w:sz w:val="20"/>
              </w:rPr>
              <w:t xml:space="preserve">-2,8</w:t>
            </w:r>
          </w:p>
        </w:tc>
        <w:tc>
          <w:tcPr>
            <w:tcW w:w="1020" w:type="dxa"/>
            <w:vAlign w:val="center"/>
            <w:tcBorders>
              <w:top w:val="nil"/>
              <w:left w:val="nil"/>
              <w:bottom w:val="nil"/>
              <w:right w:val="nil"/>
            </w:tcBorders>
          </w:tcPr>
          <w:p>
            <w:pPr>
              <w:pStyle w:val="0"/>
              <w:jc w:val="center"/>
            </w:pPr>
            <w:r>
              <w:rPr>
                <w:sz w:val="20"/>
              </w:rPr>
              <w:t xml:space="preserve">-1,2</w:t>
            </w:r>
          </w:p>
        </w:tc>
        <w:tc>
          <w:tcPr>
            <w:tcW w:w="1191" w:type="dxa"/>
            <w:vAlign w:val="center"/>
            <w:tcBorders>
              <w:top w:val="nil"/>
              <w:left w:val="nil"/>
              <w:bottom w:val="nil"/>
              <w:right w:val="nil"/>
            </w:tcBorders>
          </w:tcPr>
          <w:p>
            <w:pPr>
              <w:pStyle w:val="0"/>
              <w:jc w:val="center"/>
            </w:pPr>
            <w:r>
              <w:rPr>
                <w:sz w:val="20"/>
              </w:rPr>
              <w:t xml:space="preserve">-4,6</w:t>
            </w:r>
          </w:p>
          <w:p>
            <w:pPr>
              <w:pStyle w:val="0"/>
              <w:jc w:val="center"/>
            </w:pPr>
            <w:r>
              <w:rPr>
                <w:sz w:val="20"/>
              </w:rPr>
              <w:t xml:space="preserve">(-3,1)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247" w:type="dxa"/>
            <w:vAlign w:val="center"/>
            <w:tcBorders>
              <w:top w:val="nil"/>
              <w:left w:val="nil"/>
              <w:bottom w:val="nil"/>
              <w:right w:val="nil"/>
            </w:tcBorders>
          </w:tcPr>
          <w:p>
            <w:pPr>
              <w:pStyle w:val="0"/>
              <w:jc w:val="center"/>
            </w:pPr>
            <w:r>
              <w:rPr>
                <w:sz w:val="20"/>
              </w:rPr>
              <w:t xml:space="preserve">-1,6</w:t>
            </w:r>
          </w:p>
          <w:p>
            <w:pPr>
              <w:pStyle w:val="0"/>
              <w:jc w:val="center"/>
            </w:pPr>
            <w:r>
              <w:rPr>
                <w:sz w:val="20"/>
              </w:rPr>
              <w:t xml:space="preserve">(-2,5)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-0,9</w:t>
            </w:r>
          </w:p>
        </w:tc>
        <w:tc>
          <w:tcPr>
            <w:tcW w:w="1020" w:type="dxa"/>
            <w:vAlign w:val="center"/>
            <w:tcBorders>
              <w:top w:val="nil"/>
              <w:left w:val="nil"/>
              <w:bottom w:val="nil"/>
              <w:right w:val="nil"/>
            </w:tcBorders>
          </w:tcPr>
          <w:p>
            <w:pPr>
              <w:pStyle w:val="0"/>
              <w:jc w:val="center"/>
            </w:pPr>
            <w:r>
              <w:rPr>
                <w:sz w:val="20"/>
              </w:rPr>
              <w:t xml:space="preserve">0,0</w:t>
            </w:r>
          </w:p>
        </w:tc>
        <w:tc>
          <w:tcPr>
            <w:tcW w:w="1020" w:type="dxa"/>
            <w:vAlign w:val="center"/>
            <w:tcBorders>
              <w:top w:val="nil"/>
              <w:left w:val="nil"/>
              <w:bottom w:val="nil"/>
              <w:right w:val="nil"/>
            </w:tcBorders>
          </w:tcPr>
          <w:p>
            <w:pPr>
              <w:pStyle w:val="0"/>
              <w:jc w:val="center"/>
            </w:pPr>
            <w:r>
              <w:rPr>
                <w:sz w:val="20"/>
              </w:rPr>
              <w:t xml:space="preserve">0,0</w:t>
            </w:r>
          </w:p>
        </w:tc>
      </w:tr>
      <w:tr>
        <w:tc>
          <w:tcPr>
            <w:tcW w:w="2154" w:type="dxa"/>
            <w:vAlign w:val="center"/>
            <w:tcBorders>
              <w:top w:val="nil"/>
              <w:left w:val="nil"/>
              <w:bottom w:val="nil"/>
              <w:right w:val="nil"/>
            </w:tcBorders>
          </w:tcPr>
          <w:p>
            <w:pPr>
              <w:pStyle w:val="0"/>
            </w:pPr>
            <w:r>
              <w:rPr>
                <w:sz w:val="20"/>
              </w:rPr>
              <w:t xml:space="preserve">СПРАВОЧНО:</w:t>
            </w:r>
          </w:p>
        </w:tc>
        <w:tc>
          <w:tcPr>
            <w:tcW w:w="1020" w:type="dxa"/>
            <w:vAlign w:val="center"/>
            <w:tcBorders>
              <w:top w:val="nil"/>
              <w:left w:val="nil"/>
              <w:bottom w:val="nil"/>
              <w:right w:val="nil"/>
            </w:tcBorders>
          </w:tcPr>
          <w:p>
            <w:pPr>
              <w:pStyle w:val="0"/>
            </w:pPr>
            <w:r>
              <w:rPr>
                <w:sz w:val="20"/>
              </w:rPr>
            </w:r>
          </w:p>
        </w:tc>
        <w:tc>
          <w:tcPr>
            <w:tcW w:w="1020" w:type="dxa"/>
            <w:vAlign w:val="center"/>
            <w:tcBorders>
              <w:top w:val="nil"/>
              <w:left w:val="nil"/>
              <w:bottom w:val="nil"/>
              <w:right w:val="nil"/>
            </w:tcBorders>
          </w:tcPr>
          <w:p>
            <w:pPr>
              <w:pStyle w:val="0"/>
            </w:pPr>
            <w:r>
              <w:rPr>
                <w:sz w:val="20"/>
              </w:rPr>
            </w:r>
          </w:p>
        </w:tc>
        <w:tc>
          <w:tcPr>
            <w:tcW w:w="1020" w:type="dxa"/>
            <w:vAlign w:val="center"/>
            <w:tcBorders>
              <w:top w:val="nil"/>
              <w:left w:val="nil"/>
              <w:bottom w:val="nil"/>
              <w:right w:val="nil"/>
            </w:tcBorders>
          </w:tcPr>
          <w:p>
            <w:pPr>
              <w:pStyle w:val="0"/>
            </w:pPr>
            <w:r>
              <w:rPr>
                <w:sz w:val="20"/>
              </w:rPr>
            </w:r>
          </w:p>
        </w:tc>
        <w:tc>
          <w:tcPr>
            <w:tcW w:w="1191" w:type="dxa"/>
            <w:vAlign w:val="center"/>
            <w:tcBorders>
              <w:top w:val="nil"/>
              <w:left w:val="nil"/>
              <w:bottom w:val="nil"/>
              <w:right w:val="nil"/>
            </w:tcBorders>
          </w:tcPr>
          <w:p>
            <w:pPr>
              <w:pStyle w:val="0"/>
            </w:pPr>
            <w:r>
              <w:rPr>
                <w:sz w:val="20"/>
              </w:rPr>
            </w:r>
          </w:p>
        </w:tc>
        <w:tc>
          <w:tcPr>
            <w:tcW w:w="1247" w:type="dxa"/>
            <w:vAlign w:val="center"/>
            <w:tcBorders>
              <w:top w:val="nil"/>
              <w:left w:val="nil"/>
              <w:bottom w:val="nil"/>
              <w:right w:val="nil"/>
            </w:tcBorders>
          </w:tcPr>
          <w:p>
            <w:pPr>
              <w:pStyle w:val="0"/>
            </w:pPr>
            <w:r>
              <w:rPr>
                <w:sz w:val="20"/>
              </w:rPr>
            </w:r>
          </w:p>
        </w:tc>
        <w:tc>
          <w:tcPr>
            <w:tcW w:w="1020" w:type="dxa"/>
            <w:vAlign w:val="center"/>
            <w:tcBorders>
              <w:top w:val="nil"/>
              <w:left w:val="nil"/>
              <w:bottom w:val="nil"/>
              <w:right w:val="nil"/>
            </w:tcBorders>
          </w:tcPr>
          <w:p>
            <w:pPr>
              <w:pStyle w:val="0"/>
            </w:pPr>
            <w:r>
              <w:rPr>
                <w:sz w:val="20"/>
              </w:rPr>
            </w:r>
          </w:p>
        </w:tc>
        <w:tc>
          <w:tcPr>
            <w:tcW w:w="1020" w:type="dxa"/>
            <w:vAlign w:val="center"/>
            <w:tcBorders>
              <w:top w:val="nil"/>
              <w:left w:val="nil"/>
              <w:bottom w:val="nil"/>
              <w:right w:val="nil"/>
            </w:tcBorders>
          </w:tcPr>
          <w:p>
            <w:pPr>
              <w:pStyle w:val="0"/>
            </w:pPr>
            <w:r>
              <w:rPr>
                <w:sz w:val="20"/>
              </w:rPr>
            </w:r>
          </w:p>
        </w:tc>
        <w:tc>
          <w:tcPr>
            <w:tcW w:w="1020" w:type="dxa"/>
            <w:vAlign w:val="center"/>
            <w:tcBorders>
              <w:top w:val="nil"/>
              <w:left w:val="nil"/>
              <w:bottom w:val="nil"/>
              <w:right w:val="nil"/>
            </w:tcBorders>
          </w:tcPr>
          <w:p>
            <w:pPr>
              <w:pStyle w:val="0"/>
            </w:pPr>
            <w:r>
              <w:rPr>
                <w:sz w:val="20"/>
              </w:rPr>
            </w:r>
          </w:p>
        </w:tc>
      </w:tr>
      <w:tr>
        <w:tc>
          <w:tcPr>
            <w:tcW w:w="2154" w:type="dxa"/>
            <w:vAlign w:val="center"/>
            <w:tcBorders>
              <w:top w:val="nil"/>
              <w:left w:val="nil"/>
              <w:bottom w:val="nil"/>
              <w:right w:val="nil"/>
            </w:tcBorders>
          </w:tcPr>
          <w:p>
            <w:pPr>
              <w:pStyle w:val="0"/>
            </w:pPr>
            <w:r>
              <w:rPr>
                <w:sz w:val="20"/>
              </w:rPr>
              <w:t xml:space="preserve">НЕНЕФТЕГАЗОВЫЙ БАЛАНС</w:t>
            </w:r>
          </w:p>
        </w:tc>
        <w:tc>
          <w:tcPr>
            <w:tcW w:w="1020" w:type="dxa"/>
            <w:vAlign w:val="center"/>
            <w:tcBorders>
              <w:top w:val="nil"/>
              <w:left w:val="nil"/>
              <w:bottom w:val="nil"/>
              <w:right w:val="nil"/>
            </w:tcBorders>
          </w:tcPr>
          <w:p>
            <w:pPr>
              <w:pStyle w:val="0"/>
              <w:jc w:val="center"/>
            </w:pPr>
            <w:r>
              <w:rPr>
                <w:sz w:val="20"/>
              </w:rPr>
              <w:t xml:space="preserve">-5 950,0</w:t>
            </w:r>
          </w:p>
        </w:tc>
        <w:tc>
          <w:tcPr>
            <w:tcW w:w="1020" w:type="dxa"/>
            <w:vAlign w:val="center"/>
            <w:tcBorders>
              <w:top w:val="nil"/>
              <w:left w:val="nil"/>
              <w:bottom w:val="nil"/>
              <w:right w:val="nil"/>
            </w:tcBorders>
          </w:tcPr>
          <w:p>
            <w:pPr>
              <w:pStyle w:val="0"/>
              <w:jc w:val="center"/>
            </w:pPr>
            <w:r>
              <w:rPr>
                <w:sz w:val="20"/>
              </w:rPr>
              <w:t xml:space="preserve">-9 337,7</w:t>
            </w:r>
          </w:p>
        </w:tc>
        <w:tc>
          <w:tcPr>
            <w:tcW w:w="1020" w:type="dxa"/>
            <w:vAlign w:val="center"/>
            <w:tcBorders>
              <w:top w:val="nil"/>
              <w:left w:val="nil"/>
              <w:bottom w:val="nil"/>
              <w:right w:val="nil"/>
            </w:tcBorders>
          </w:tcPr>
          <w:p>
            <w:pPr>
              <w:pStyle w:val="0"/>
              <w:jc w:val="center"/>
            </w:pPr>
            <w:r>
              <w:rPr>
                <w:sz w:val="20"/>
              </w:rPr>
              <w:t xml:space="preserve">-8 532,2</w:t>
            </w:r>
          </w:p>
        </w:tc>
        <w:tc>
          <w:tcPr>
            <w:tcW w:w="1191" w:type="dxa"/>
            <w:vAlign w:val="center"/>
            <w:tcBorders>
              <w:top w:val="nil"/>
              <w:left w:val="nil"/>
              <w:bottom w:val="nil"/>
              <w:right w:val="nil"/>
            </w:tcBorders>
          </w:tcPr>
          <w:p>
            <w:pPr>
              <w:pStyle w:val="0"/>
              <w:jc w:val="center"/>
            </w:pPr>
            <w:r>
              <w:rPr>
                <w:sz w:val="20"/>
              </w:rPr>
              <w:t xml:space="preserve">-14 880,7</w:t>
            </w:r>
          </w:p>
          <w:p>
            <w:pPr>
              <w:pStyle w:val="0"/>
              <w:jc w:val="center"/>
            </w:pPr>
            <w:r>
              <w:rPr>
                <w:sz w:val="20"/>
              </w:rPr>
              <w:t xml:space="preserve">(-12 612,3)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247" w:type="dxa"/>
            <w:vAlign w:val="center"/>
            <w:tcBorders>
              <w:top w:val="nil"/>
              <w:left w:val="nil"/>
              <w:bottom w:val="nil"/>
              <w:right w:val="nil"/>
            </w:tcBorders>
          </w:tcPr>
          <w:p>
            <w:pPr>
              <w:pStyle w:val="0"/>
              <w:jc w:val="center"/>
            </w:pPr>
            <w:r>
              <w:rPr>
                <w:sz w:val="20"/>
              </w:rPr>
              <w:t xml:space="preserve">-11 864,3</w:t>
            </w:r>
          </w:p>
          <w:p>
            <w:pPr>
              <w:pStyle w:val="0"/>
              <w:jc w:val="center"/>
            </w:pPr>
            <w:r>
              <w:rPr>
                <w:sz w:val="20"/>
              </w:rPr>
              <w:t xml:space="preserve">(-13 360,5)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-13 099,7</w:t>
            </w:r>
          </w:p>
        </w:tc>
        <w:tc>
          <w:tcPr>
            <w:tcW w:w="1020" w:type="dxa"/>
            <w:vAlign w:val="center"/>
            <w:tcBorders>
              <w:top w:val="nil"/>
              <w:left w:val="nil"/>
              <w:bottom w:val="nil"/>
              <w:right w:val="nil"/>
            </w:tcBorders>
          </w:tcPr>
          <w:p>
            <w:pPr>
              <w:pStyle w:val="0"/>
              <w:jc w:val="center"/>
            </w:pPr>
            <w:r>
              <w:rPr>
                <w:sz w:val="20"/>
              </w:rPr>
              <w:t xml:space="preserve">-12 590,2</w:t>
            </w:r>
          </w:p>
        </w:tc>
        <w:tc>
          <w:tcPr>
            <w:tcW w:w="1020" w:type="dxa"/>
            <w:vAlign w:val="center"/>
            <w:tcBorders>
              <w:top w:val="nil"/>
              <w:left w:val="nil"/>
              <w:bottom w:val="nil"/>
              <w:right w:val="nil"/>
            </w:tcBorders>
          </w:tcPr>
          <w:p>
            <w:pPr>
              <w:pStyle w:val="0"/>
              <w:jc w:val="center"/>
            </w:pPr>
            <w:r>
              <w:rPr>
                <w:sz w:val="20"/>
              </w:rPr>
              <w:t xml:space="preserve">-12 951,1</w:t>
            </w:r>
          </w:p>
        </w:tc>
      </w:tr>
      <w:tr>
        <w:tc>
          <w:tcPr>
            <w:tcW w:w="2154" w:type="dxa"/>
            <w:vAlign w:val="center"/>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-5,4</w:t>
            </w:r>
          </w:p>
        </w:tc>
        <w:tc>
          <w:tcPr>
            <w:tcW w:w="1020" w:type="dxa"/>
            <w:vAlign w:val="center"/>
            <w:tcBorders>
              <w:top w:val="nil"/>
              <w:left w:val="nil"/>
              <w:bottom w:val="nil"/>
              <w:right w:val="nil"/>
            </w:tcBorders>
          </w:tcPr>
          <w:p>
            <w:pPr>
              <w:pStyle w:val="0"/>
              <w:jc w:val="center"/>
            </w:pPr>
            <w:r>
              <w:rPr>
                <w:sz w:val="20"/>
              </w:rPr>
              <w:t xml:space="preserve">-8,7</w:t>
            </w:r>
          </w:p>
        </w:tc>
        <w:tc>
          <w:tcPr>
            <w:tcW w:w="1020" w:type="dxa"/>
            <w:vAlign w:val="center"/>
            <w:tcBorders>
              <w:top w:val="nil"/>
              <w:left w:val="nil"/>
              <w:bottom w:val="nil"/>
              <w:right w:val="nil"/>
            </w:tcBorders>
          </w:tcPr>
          <w:p>
            <w:pPr>
              <w:pStyle w:val="0"/>
              <w:jc w:val="center"/>
            </w:pPr>
            <w:r>
              <w:rPr>
                <w:sz w:val="20"/>
              </w:rPr>
              <w:t xml:space="preserve">-6,3</w:t>
            </w:r>
          </w:p>
        </w:tc>
        <w:tc>
          <w:tcPr>
            <w:tcW w:w="1191" w:type="dxa"/>
            <w:vAlign w:val="center"/>
            <w:tcBorders>
              <w:top w:val="nil"/>
              <w:left w:val="nil"/>
              <w:bottom w:val="nil"/>
              <w:right w:val="nil"/>
            </w:tcBorders>
          </w:tcPr>
          <w:p>
            <w:pPr>
              <w:pStyle w:val="0"/>
              <w:jc w:val="center"/>
            </w:pPr>
            <w:r>
              <w:rPr>
                <w:sz w:val="20"/>
              </w:rPr>
              <w:t xml:space="preserve">-9,7</w:t>
            </w:r>
          </w:p>
          <w:p>
            <w:pPr>
              <w:pStyle w:val="0"/>
              <w:jc w:val="center"/>
            </w:pPr>
            <w:r>
              <w:rPr>
                <w:sz w:val="20"/>
              </w:rPr>
              <w:t xml:space="preserve">(-8,2)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247" w:type="dxa"/>
            <w:vAlign w:val="center"/>
            <w:tcBorders>
              <w:top w:val="nil"/>
              <w:left w:val="nil"/>
              <w:bottom w:val="nil"/>
              <w:right w:val="nil"/>
            </w:tcBorders>
          </w:tcPr>
          <w:p>
            <w:pPr>
              <w:pStyle w:val="0"/>
              <w:jc w:val="center"/>
            </w:pPr>
            <w:r>
              <w:rPr>
                <w:sz w:val="20"/>
              </w:rPr>
              <w:t xml:space="preserve">-7,1</w:t>
            </w:r>
          </w:p>
          <w:p>
            <w:pPr>
              <w:pStyle w:val="0"/>
              <w:jc w:val="center"/>
            </w:pPr>
            <w:r>
              <w:rPr>
                <w:sz w:val="20"/>
              </w:rPr>
              <w:t xml:space="preserve">(-8,0)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-7,3</w:t>
            </w:r>
          </w:p>
        </w:tc>
        <w:tc>
          <w:tcPr>
            <w:tcW w:w="1020" w:type="dxa"/>
            <w:vAlign w:val="center"/>
            <w:tcBorders>
              <w:top w:val="nil"/>
              <w:left w:val="nil"/>
              <w:bottom w:val="nil"/>
              <w:right w:val="nil"/>
            </w:tcBorders>
          </w:tcPr>
          <w:p>
            <w:pPr>
              <w:pStyle w:val="0"/>
              <w:jc w:val="center"/>
            </w:pPr>
            <w:r>
              <w:rPr>
                <w:sz w:val="20"/>
              </w:rPr>
              <w:t xml:space="preserve">-6,6</w:t>
            </w:r>
          </w:p>
        </w:tc>
        <w:tc>
          <w:tcPr>
            <w:tcW w:w="1020" w:type="dxa"/>
            <w:vAlign w:val="center"/>
            <w:tcBorders>
              <w:top w:val="nil"/>
              <w:left w:val="nil"/>
              <w:bottom w:val="nil"/>
              <w:right w:val="nil"/>
            </w:tcBorders>
          </w:tcPr>
          <w:p>
            <w:pPr>
              <w:pStyle w:val="0"/>
              <w:jc w:val="center"/>
            </w:pPr>
            <w:r>
              <w:rPr>
                <w:sz w:val="20"/>
              </w:rPr>
              <w:t xml:space="preserve">-6,4</w:t>
            </w:r>
          </w:p>
        </w:tc>
      </w:tr>
      <w:tr>
        <w:tc>
          <w:tcPr>
            <w:tcW w:w="2154" w:type="dxa"/>
            <w:vAlign w:val="center"/>
            <w:tcBorders>
              <w:top w:val="nil"/>
              <w:left w:val="nil"/>
              <w:bottom w:val="nil"/>
              <w:right w:val="nil"/>
            </w:tcBorders>
          </w:tcPr>
          <w:p>
            <w:pPr>
              <w:pStyle w:val="0"/>
            </w:pPr>
            <w:r>
              <w:rPr>
                <w:sz w:val="20"/>
              </w:rPr>
              <w:t xml:space="preserve">БАЛАНС</w:t>
            </w:r>
          </w:p>
        </w:tc>
        <w:tc>
          <w:tcPr>
            <w:tcW w:w="1020" w:type="dxa"/>
            <w:vAlign w:val="center"/>
            <w:tcBorders>
              <w:top w:val="nil"/>
              <w:left w:val="nil"/>
              <w:bottom w:val="nil"/>
              <w:right w:val="nil"/>
            </w:tcBorders>
          </w:tcPr>
          <w:p>
            <w:pPr>
              <w:pStyle w:val="0"/>
              <w:jc w:val="center"/>
            </w:pPr>
            <w:r>
              <w:rPr>
                <w:sz w:val="20"/>
              </w:rPr>
              <w:t xml:space="preserve">1 974,3</w:t>
            </w:r>
          </w:p>
        </w:tc>
        <w:tc>
          <w:tcPr>
            <w:tcW w:w="1020" w:type="dxa"/>
            <w:vAlign w:val="center"/>
            <w:tcBorders>
              <w:top w:val="nil"/>
              <w:left w:val="nil"/>
              <w:bottom w:val="nil"/>
              <w:right w:val="nil"/>
            </w:tcBorders>
          </w:tcPr>
          <w:p>
            <w:pPr>
              <w:pStyle w:val="0"/>
              <w:jc w:val="center"/>
            </w:pPr>
            <w:r>
              <w:rPr>
                <w:sz w:val="20"/>
              </w:rPr>
              <w:t xml:space="preserve">-4 102,5</w:t>
            </w:r>
          </w:p>
        </w:tc>
        <w:tc>
          <w:tcPr>
            <w:tcW w:w="1020" w:type="dxa"/>
            <w:vAlign w:val="center"/>
            <w:tcBorders>
              <w:top w:val="nil"/>
              <w:left w:val="nil"/>
              <w:bottom w:val="nil"/>
              <w:right w:val="nil"/>
            </w:tcBorders>
          </w:tcPr>
          <w:p>
            <w:pPr>
              <w:pStyle w:val="0"/>
              <w:jc w:val="center"/>
            </w:pPr>
            <w:r>
              <w:rPr>
                <w:sz w:val="20"/>
              </w:rPr>
              <w:t xml:space="preserve">524,3</w:t>
            </w:r>
          </w:p>
        </w:tc>
        <w:tc>
          <w:tcPr>
            <w:tcW w:w="1191" w:type="dxa"/>
            <w:vAlign w:val="center"/>
            <w:tcBorders>
              <w:top w:val="nil"/>
              <w:left w:val="nil"/>
              <w:bottom w:val="nil"/>
              <w:right w:val="nil"/>
            </w:tcBorders>
          </w:tcPr>
          <w:p>
            <w:pPr>
              <w:pStyle w:val="0"/>
              <w:jc w:val="center"/>
            </w:pPr>
            <w:r>
              <w:rPr>
                <w:sz w:val="20"/>
              </w:rPr>
              <w:t xml:space="preserve">-3 294,5</w:t>
            </w:r>
          </w:p>
          <w:p>
            <w:pPr>
              <w:pStyle w:val="0"/>
              <w:jc w:val="center"/>
            </w:pPr>
            <w:r>
              <w:rPr>
                <w:sz w:val="20"/>
              </w:rPr>
              <w:t xml:space="preserve">(-1 026,1)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247" w:type="dxa"/>
            <w:vAlign w:val="center"/>
            <w:tcBorders>
              <w:top w:val="nil"/>
              <w:left w:val="nil"/>
              <w:bottom w:val="nil"/>
              <w:right w:val="nil"/>
            </w:tcBorders>
          </w:tcPr>
          <w:p>
            <w:pPr>
              <w:pStyle w:val="0"/>
              <w:jc w:val="center"/>
            </w:pPr>
            <w:r>
              <w:rPr>
                <w:sz w:val="20"/>
              </w:rPr>
              <w:t xml:space="preserve">-3 000,7</w:t>
            </w:r>
          </w:p>
          <w:p>
            <w:pPr>
              <w:pStyle w:val="0"/>
              <w:jc w:val="center"/>
            </w:pPr>
            <w:r>
              <w:rPr>
                <w:sz w:val="20"/>
              </w:rPr>
              <w:t xml:space="preserve">(-4 496,9)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-1 595,4</w:t>
            </w:r>
          </w:p>
        </w:tc>
        <w:tc>
          <w:tcPr>
            <w:tcW w:w="1020" w:type="dxa"/>
            <w:vAlign w:val="center"/>
            <w:tcBorders>
              <w:top w:val="nil"/>
              <w:left w:val="nil"/>
              <w:bottom w:val="nil"/>
              <w:right w:val="nil"/>
            </w:tcBorders>
          </w:tcPr>
          <w:p>
            <w:pPr>
              <w:pStyle w:val="0"/>
              <w:jc w:val="center"/>
            </w:pPr>
            <w:r>
              <w:rPr>
                <w:sz w:val="20"/>
              </w:rPr>
              <w:t xml:space="preserve">-830,5</w:t>
            </w:r>
          </w:p>
        </w:tc>
        <w:tc>
          <w:tcPr>
            <w:tcW w:w="1020" w:type="dxa"/>
            <w:vAlign w:val="center"/>
            <w:tcBorders>
              <w:top w:val="nil"/>
              <w:left w:val="nil"/>
              <w:bottom w:val="nil"/>
              <w:right w:val="nil"/>
            </w:tcBorders>
          </w:tcPr>
          <w:p>
            <w:pPr>
              <w:pStyle w:val="0"/>
              <w:jc w:val="center"/>
            </w:pPr>
            <w:r>
              <w:rPr>
                <w:sz w:val="20"/>
              </w:rPr>
              <w:t xml:space="preserve">-1 536,4</w:t>
            </w:r>
          </w:p>
        </w:tc>
      </w:tr>
      <w:tr>
        <w:tc>
          <w:tcPr>
            <w:tcW w:w="2154" w:type="dxa"/>
            <w:vAlign w:val="center"/>
            <w:tcBorders>
              <w:top w:val="nil"/>
              <w:left w:val="nil"/>
              <w:bottom w:val="single" w:sz="4"/>
              <w:right w:val="nil"/>
            </w:tcBorders>
          </w:tcPr>
          <w:p>
            <w:pPr>
              <w:pStyle w:val="0"/>
            </w:pPr>
            <w:r>
              <w:rPr>
                <w:sz w:val="20"/>
              </w:rPr>
              <w:t xml:space="preserve">% % ВВП</w:t>
            </w:r>
          </w:p>
        </w:tc>
        <w:tc>
          <w:tcPr>
            <w:tcW w:w="1020" w:type="dxa"/>
            <w:vAlign w:val="center"/>
            <w:tcBorders>
              <w:top w:val="nil"/>
              <w:left w:val="nil"/>
              <w:bottom w:val="single" w:sz="4"/>
              <w:right w:val="nil"/>
            </w:tcBorders>
          </w:tcPr>
          <w:p>
            <w:pPr>
              <w:pStyle w:val="0"/>
              <w:jc w:val="center"/>
            </w:pPr>
            <w:r>
              <w:rPr>
                <w:sz w:val="20"/>
              </w:rPr>
              <w:t xml:space="preserve">1,8</w:t>
            </w:r>
          </w:p>
        </w:tc>
        <w:tc>
          <w:tcPr>
            <w:tcW w:w="1020" w:type="dxa"/>
            <w:vAlign w:val="center"/>
            <w:tcBorders>
              <w:top w:val="nil"/>
              <w:left w:val="nil"/>
              <w:bottom w:val="single" w:sz="4"/>
              <w:right w:val="nil"/>
            </w:tcBorders>
          </w:tcPr>
          <w:p>
            <w:pPr>
              <w:pStyle w:val="0"/>
              <w:jc w:val="center"/>
            </w:pPr>
            <w:r>
              <w:rPr>
                <w:sz w:val="20"/>
              </w:rPr>
              <w:t xml:space="preserve">-3,8</w:t>
            </w:r>
          </w:p>
        </w:tc>
        <w:tc>
          <w:tcPr>
            <w:tcW w:w="1020" w:type="dxa"/>
            <w:vAlign w:val="center"/>
            <w:tcBorders>
              <w:top w:val="nil"/>
              <w:left w:val="nil"/>
              <w:bottom w:val="single" w:sz="4"/>
              <w:right w:val="nil"/>
            </w:tcBorders>
          </w:tcPr>
          <w:p>
            <w:pPr>
              <w:pStyle w:val="0"/>
              <w:jc w:val="center"/>
            </w:pPr>
            <w:r>
              <w:rPr>
                <w:sz w:val="20"/>
              </w:rPr>
              <w:t xml:space="preserve">0,4</w:t>
            </w:r>
          </w:p>
        </w:tc>
        <w:tc>
          <w:tcPr>
            <w:tcW w:w="1191" w:type="dxa"/>
            <w:vAlign w:val="center"/>
            <w:tcBorders>
              <w:top w:val="nil"/>
              <w:left w:val="nil"/>
              <w:bottom w:val="single" w:sz="4"/>
              <w:right w:val="nil"/>
            </w:tcBorders>
          </w:tcPr>
          <w:p>
            <w:pPr>
              <w:pStyle w:val="0"/>
              <w:jc w:val="center"/>
            </w:pPr>
            <w:r>
              <w:rPr>
                <w:sz w:val="20"/>
              </w:rPr>
              <w:t xml:space="preserve">-2,1</w:t>
            </w:r>
          </w:p>
          <w:p>
            <w:pPr>
              <w:pStyle w:val="0"/>
              <w:jc w:val="center"/>
            </w:pPr>
            <w:r>
              <w:rPr>
                <w:sz w:val="20"/>
              </w:rPr>
              <w:t xml:space="preserve">(-0,7)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247" w:type="dxa"/>
            <w:vAlign w:val="center"/>
            <w:tcBorders>
              <w:top w:val="nil"/>
              <w:left w:val="nil"/>
              <w:bottom w:val="single" w:sz="4"/>
              <w:right w:val="nil"/>
            </w:tcBorders>
          </w:tcPr>
          <w:p>
            <w:pPr>
              <w:pStyle w:val="0"/>
              <w:jc w:val="center"/>
            </w:pPr>
            <w:r>
              <w:rPr>
                <w:sz w:val="20"/>
              </w:rPr>
              <w:t xml:space="preserve">-1,8</w:t>
            </w:r>
          </w:p>
          <w:p>
            <w:pPr>
              <w:pStyle w:val="0"/>
              <w:jc w:val="center"/>
            </w:pPr>
            <w:r>
              <w:rPr>
                <w:sz w:val="20"/>
              </w:rPr>
              <w:t xml:space="preserve">(-2,7) </w:t>
            </w:r>
            <w:hyperlink w:history="0" w:anchor="P1395" w:tooltip="&lt;*&gt; с корректировкой на &quot;перенос&quot;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
              <w:r>
                <w:rPr>
                  <w:sz w:val="20"/>
                  <w:color w:val="0000ff"/>
                </w:rPr>
                <w:t xml:space="preserve">&lt;*&gt;</w:t>
              </w:r>
            </w:hyperlink>
          </w:p>
        </w:tc>
        <w:tc>
          <w:tcPr>
            <w:tcW w:w="1020" w:type="dxa"/>
            <w:vAlign w:val="center"/>
            <w:tcBorders>
              <w:top w:val="nil"/>
              <w:left w:val="nil"/>
              <w:bottom w:val="single" w:sz="4"/>
              <w:right w:val="nil"/>
            </w:tcBorders>
          </w:tcPr>
          <w:p>
            <w:pPr>
              <w:pStyle w:val="0"/>
              <w:jc w:val="center"/>
            </w:pPr>
            <w:r>
              <w:rPr>
                <w:sz w:val="20"/>
              </w:rPr>
              <w:t xml:space="preserve">-0,9</w:t>
            </w:r>
          </w:p>
        </w:tc>
        <w:tc>
          <w:tcPr>
            <w:tcW w:w="1020" w:type="dxa"/>
            <w:vAlign w:val="center"/>
            <w:tcBorders>
              <w:top w:val="nil"/>
              <w:left w:val="nil"/>
              <w:bottom w:val="single" w:sz="4"/>
              <w:right w:val="nil"/>
            </w:tcBorders>
          </w:tcPr>
          <w:p>
            <w:pPr>
              <w:pStyle w:val="0"/>
              <w:jc w:val="center"/>
            </w:pPr>
            <w:r>
              <w:rPr>
                <w:sz w:val="20"/>
              </w:rPr>
              <w:t xml:space="preserve">-0,4</w:t>
            </w:r>
          </w:p>
        </w:tc>
        <w:tc>
          <w:tcPr>
            <w:tcW w:w="1020" w:type="dxa"/>
            <w:vAlign w:val="center"/>
            <w:tcBorders>
              <w:top w:val="nil"/>
              <w:left w:val="nil"/>
              <w:bottom w:val="single" w:sz="4"/>
              <w:right w:val="nil"/>
            </w:tcBorders>
          </w:tcPr>
          <w:p>
            <w:pPr>
              <w:pStyle w:val="0"/>
              <w:jc w:val="center"/>
            </w:pPr>
            <w:r>
              <w:rPr>
                <w:sz w:val="20"/>
              </w:rPr>
              <w:t xml:space="preserve">-0,8</w:t>
            </w:r>
          </w:p>
        </w:tc>
      </w:tr>
    </w:tbl>
    <w:p>
      <w:pPr>
        <w:pStyle w:val="0"/>
        <w:jc w:val="both"/>
      </w:pPr>
      <w:r>
        <w:rPr>
          <w:sz w:val="20"/>
        </w:rPr>
      </w:r>
    </w:p>
    <w:p>
      <w:pPr>
        <w:pStyle w:val="0"/>
        <w:ind w:firstLine="540"/>
        <w:jc w:val="both"/>
      </w:pPr>
      <w:r>
        <w:rPr>
          <w:sz w:val="20"/>
        </w:rPr>
        <w:t xml:space="preserve">--------------------------------</w:t>
      </w:r>
    </w:p>
    <w:bookmarkStart w:id="1395" w:name="P1395"/>
    <w:bookmarkEnd w:id="1395"/>
    <w:p>
      <w:pPr>
        <w:pStyle w:val="0"/>
        <w:spacing w:before="200" w:line-rule="auto"/>
        <w:ind w:firstLine="540"/>
        <w:jc w:val="both"/>
      </w:pPr>
      <w:r>
        <w:rPr>
          <w:sz w:val="20"/>
        </w:rPr>
        <w:t xml:space="preserve">&lt;*&gt; с корректировкой на "перенос" расходов с 2022 на 2023 год в размере ~ 1,5 трлн рублей (через трансферт/профицит ПФР) и без учета предоставления отсрочки по уплате страховых взносов в 2022 году и ее возврата в 2023/2024 гг. в размере 772,2 млрд рублей (за счет средств ФНБ);</w:t>
      </w:r>
    </w:p>
    <w:bookmarkStart w:id="1396" w:name="P1396"/>
    <w:bookmarkEnd w:id="1396"/>
    <w:p>
      <w:pPr>
        <w:pStyle w:val="0"/>
        <w:spacing w:before="200" w:line-rule="auto"/>
        <w:ind w:firstLine="540"/>
        <w:jc w:val="both"/>
      </w:pPr>
      <w:r>
        <w:rPr>
          <w:sz w:val="20"/>
        </w:rPr>
        <w:t xml:space="preserve">&lt;**&gt; первичный структурный баланс при базовых нефтегазовых доходах с учетом сальдо бюджетных и межгосударственных кредитов.</w:t>
      </w:r>
    </w:p>
    <w:p>
      <w:pPr>
        <w:pStyle w:val="0"/>
        <w:jc w:val="both"/>
      </w:pPr>
      <w:r>
        <w:rPr>
          <w:sz w:val="20"/>
        </w:rPr>
      </w:r>
    </w:p>
    <w:p>
      <w:pPr>
        <w:pStyle w:val="2"/>
        <w:outlineLvl w:val="3"/>
        <w:ind w:firstLine="540"/>
        <w:jc w:val="both"/>
      </w:pPr>
      <w:r>
        <w:rPr>
          <w:sz w:val="20"/>
        </w:rPr>
        <w:t xml:space="preserve">Доходы федерального бюджета</w:t>
      </w:r>
    </w:p>
    <w:p>
      <w:pPr>
        <w:pStyle w:val="0"/>
        <w:spacing w:before="200" w:line-rule="auto"/>
        <w:ind w:firstLine="540"/>
        <w:jc w:val="both"/>
      </w:pPr>
      <w:r>
        <w:rPr>
          <w:sz w:val="20"/>
        </w:rPr>
        <w:t xml:space="preserve">Нефтегазовые доходы после роста до 7,6% ВВП в 2022 году (на фоне всплеска цен на энергоресурсы) и ожидаемого снижения до 5,3% ВВП по итогам 2023 года (на фоне снижения мировых цен на энергоносители, роста дисконта к цене нефти марки Брент и влияния ряда действующих ограничений на экспорт) прогнозируются на уровне 6,4% ВВП в 2024 году (с учетом динамики обменного курса и ряда вышеупомянутых корректировок налогового законодательства) с последующим снижением по отношению к ВВП (до 5,6% в 2026 г.) на прогнозном горизонте как вследствие стабилизации ценовой конъюнктуры (после резких колебаний в 2020 - 2022 гг.), так и в результате увеличения доли добычи нефти на месторождениях с льготными режимами налогообложения (в том числе с учетом перехода месторождений "вязкой" нефти на режим НДД с 2024 года).</w:t>
      </w:r>
    </w:p>
    <w:p>
      <w:pPr>
        <w:pStyle w:val="0"/>
        <w:spacing w:before="200" w:line-rule="auto"/>
        <w:ind w:firstLine="540"/>
        <w:jc w:val="both"/>
      </w:pPr>
      <w:r>
        <w:rPr>
          <w:sz w:val="20"/>
        </w:rPr>
        <w:t xml:space="preserve">Структура и объем ненефтегазовых доходов федерального бюджета на прогнозном горизонте 2024 - 2026 гг. в целом будут стабильны (на уровне порядка 11 - 12% ВВП, за исключением 2024 года, когда их уровень составит 13,1% ВВП в результате действия разовых факторов) на фоне восстановления экономического роста после спада в 2022 году.</w:t>
      </w:r>
    </w:p>
    <w:p>
      <w:pPr>
        <w:pStyle w:val="0"/>
        <w:jc w:val="both"/>
      </w:pPr>
      <w:r>
        <w:rPr>
          <w:sz w:val="20"/>
        </w:rPr>
      </w:r>
    </w:p>
    <w:p>
      <w:pPr>
        <w:pStyle w:val="0"/>
        <w:ind w:firstLine="540"/>
        <w:jc w:val="both"/>
      </w:pPr>
      <w:r>
        <w:rPr>
          <w:sz w:val="20"/>
        </w:rPr>
        <w:t xml:space="preserve">Таблица 4.1.2. Доходы федерального бюджета в 2019 - 2026 гг.</w:t>
      </w:r>
    </w:p>
    <w:p>
      <w:pPr>
        <w:pStyle w:val="0"/>
        <w:jc w:val="both"/>
      </w:pPr>
      <w:r>
        <w:rPr>
          <w:sz w:val="20"/>
        </w:rPr>
      </w:r>
    </w:p>
    <w:p>
      <w:pPr>
        <w:pStyle w:val="0"/>
        <w:jc w:val="right"/>
      </w:pPr>
      <w:r>
        <w:rPr>
          <w:sz w:val="20"/>
        </w:rPr>
        <w:t xml:space="preserve">млрд рублей</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2154"/>
        <w:gridCol w:w="1020"/>
        <w:gridCol w:w="1020"/>
        <w:gridCol w:w="1020"/>
        <w:gridCol w:w="1191"/>
        <w:gridCol w:w="1247"/>
        <w:gridCol w:w="1020"/>
        <w:gridCol w:w="1020"/>
        <w:gridCol w:w="1020"/>
      </w:tblGrid>
      <w:tr>
        <w:tblPrEx>
          <w:tblBorders>
            <w:insideH w:val="single" w:sz="4"/>
          </w:tblBorders>
        </w:tblPrEx>
        <w:tc>
          <w:tcPr>
            <w:tcW w:w="2154" w:type="dxa"/>
            <w:tcBorders>
              <w:top w:val="single" w:sz="4"/>
              <w:left w:val="nil"/>
              <w:bottom w:val="single" w:sz="4"/>
              <w:right w:val="nil"/>
            </w:tcBorders>
          </w:tcPr>
          <w:p>
            <w:pPr>
              <w:pStyle w:val="0"/>
              <w:jc w:val="center"/>
            </w:pPr>
            <w:r>
              <w:rPr>
                <w:sz w:val="20"/>
              </w:rPr>
              <w:t xml:space="preserve">Показатель</w:t>
            </w:r>
          </w:p>
        </w:tc>
        <w:tc>
          <w:tcPr>
            <w:tcW w:w="1020" w:type="dxa"/>
            <w:tcBorders>
              <w:top w:val="single" w:sz="4"/>
              <w:left w:val="nil"/>
              <w:bottom w:val="single" w:sz="4"/>
              <w:right w:val="nil"/>
            </w:tcBorders>
          </w:tcPr>
          <w:p>
            <w:pPr>
              <w:pStyle w:val="0"/>
              <w:jc w:val="center"/>
            </w:pPr>
            <w:r>
              <w:rPr>
                <w:sz w:val="20"/>
              </w:rPr>
              <w:t xml:space="preserve">2019</w:t>
            </w:r>
          </w:p>
        </w:tc>
        <w:tc>
          <w:tcPr>
            <w:tcW w:w="1020" w:type="dxa"/>
            <w:tcBorders>
              <w:top w:val="single" w:sz="4"/>
              <w:left w:val="nil"/>
              <w:bottom w:val="single" w:sz="4"/>
              <w:right w:val="nil"/>
            </w:tcBorders>
          </w:tcPr>
          <w:p>
            <w:pPr>
              <w:pStyle w:val="0"/>
              <w:jc w:val="center"/>
            </w:pPr>
            <w:r>
              <w:rPr>
                <w:sz w:val="20"/>
              </w:rPr>
              <w:t xml:space="preserve">2020</w:t>
            </w:r>
          </w:p>
        </w:tc>
        <w:tc>
          <w:tcPr>
            <w:tcW w:w="1020" w:type="dxa"/>
            <w:tcBorders>
              <w:top w:val="single" w:sz="4"/>
              <w:left w:val="nil"/>
              <w:bottom w:val="single" w:sz="4"/>
              <w:right w:val="nil"/>
            </w:tcBorders>
          </w:tcPr>
          <w:p>
            <w:pPr>
              <w:pStyle w:val="0"/>
              <w:jc w:val="center"/>
            </w:pPr>
            <w:r>
              <w:rPr>
                <w:sz w:val="20"/>
              </w:rPr>
              <w:t xml:space="preserve">2021</w:t>
            </w:r>
          </w:p>
        </w:tc>
        <w:tc>
          <w:tcPr>
            <w:tcW w:w="1191" w:type="dxa"/>
            <w:tcBorders>
              <w:top w:val="single" w:sz="4"/>
              <w:left w:val="nil"/>
              <w:bottom w:val="single" w:sz="4"/>
              <w:right w:val="nil"/>
            </w:tcBorders>
          </w:tcPr>
          <w:p>
            <w:pPr>
              <w:pStyle w:val="0"/>
              <w:jc w:val="center"/>
            </w:pPr>
            <w:r>
              <w:rPr>
                <w:sz w:val="20"/>
              </w:rPr>
              <w:t xml:space="preserve">2022</w:t>
            </w:r>
          </w:p>
        </w:tc>
        <w:tc>
          <w:tcPr>
            <w:tcW w:w="1247" w:type="dxa"/>
            <w:tcBorders>
              <w:top w:val="single" w:sz="4"/>
              <w:left w:val="nil"/>
              <w:bottom w:val="single" w:sz="4"/>
              <w:right w:val="nil"/>
            </w:tcBorders>
          </w:tcPr>
          <w:p>
            <w:pPr>
              <w:pStyle w:val="0"/>
              <w:jc w:val="center"/>
            </w:pPr>
            <w:r>
              <w:rPr>
                <w:sz w:val="20"/>
              </w:rPr>
              <w:t xml:space="preserve">2023 </w:t>
            </w:r>
            <w:hyperlink w:history="0" w:anchor="P1552" w:tooltip="&lt;*&gt; оценка;">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2024</w:t>
            </w:r>
          </w:p>
        </w:tc>
        <w:tc>
          <w:tcPr>
            <w:tcW w:w="1020" w:type="dxa"/>
            <w:tcBorders>
              <w:top w:val="single" w:sz="4"/>
              <w:left w:val="nil"/>
              <w:bottom w:val="single" w:sz="4"/>
              <w:right w:val="nil"/>
            </w:tcBorders>
          </w:tcPr>
          <w:p>
            <w:pPr>
              <w:pStyle w:val="0"/>
              <w:jc w:val="center"/>
            </w:pPr>
            <w:r>
              <w:rPr>
                <w:sz w:val="20"/>
              </w:rPr>
              <w:t xml:space="preserve">2025</w:t>
            </w:r>
          </w:p>
        </w:tc>
        <w:tc>
          <w:tcPr>
            <w:tcW w:w="1020" w:type="dxa"/>
            <w:tcBorders>
              <w:top w:val="single" w:sz="4"/>
              <w:left w:val="nil"/>
              <w:bottom w:val="single" w:sz="4"/>
              <w:right w:val="nil"/>
            </w:tcBorders>
          </w:tcPr>
          <w:p>
            <w:pPr>
              <w:pStyle w:val="0"/>
              <w:jc w:val="center"/>
            </w:pPr>
            <w:r>
              <w:rPr>
                <w:sz w:val="20"/>
              </w:rPr>
              <w:t xml:space="preserve">2026</w:t>
            </w:r>
          </w:p>
        </w:tc>
      </w:tr>
      <w:tr>
        <w:tc>
          <w:tcPr>
            <w:tcW w:w="2154" w:type="dxa"/>
            <w:tcBorders>
              <w:top w:val="single" w:sz="4"/>
              <w:left w:val="nil"/>
              <w:bottom w:val="nil"/>
              <w:right w:val="nil"/>
            </w:tcBorders>
          </w:tcPr>
          <w:p>
            <w:pPr>
              <w:pStyle w:val="0"/>
            </w:pPr>
            <w:r>
              <w:rPr>
                <w:sz w:val="20"/>
              </w:rPr>
              <w:t xml:space="preserve">ДОХОДЫ, ВСЕГО</w:t>
            </w:r>
          </w:p>
        </w:tc>
        <w:tc>
          <w:tcPr>
            <w:tcW w:w="1020" w:type="dxa"/>
            <w:vAlign w:val="center"/>
            <w:tcBorders>
              <w:top w:val="single" w:sz="4"/>
              <w:left w:val="nil"/>
              <w:bottom w:val="nil"/>
              <w:right w:val="nil"/>
            </w:tcBorders>
          </w:tcPr>
          <w:p>
            <w:pPr>
              <w:pStyle w:val="0"/>
              <w:jc w:val="center"/>
            </w:pPr>
            <w:r>
              <w:rPr>
                <w:sz w:val="20"/>
              </w:rPr>
              <w:t xml:space="preserve">20 188,8</w:t>
            </w:r>
          </w:p>
        </w:tc>
        <w:tc>
          <w:tcPr>
            <w:tcW w:w="1020" w:type="dxa"/>
            <w:vAlign w:val="center"/>
            <w:tcBorders>
              <w:top w:val="single" w:sz="4"/>
              <w:left w:val="nil"/>
              <w:bottom w:val="nil"/>
              <w:right w:val="nil"/>
            </w:tcBorders>
          </w:tcPr>
          <w:p>
            <w:pPr>
              <w:pStyle w:val="0"/>
              <w:jc w:val="center"/>
            </w:pPr>
            <w:r>
              <w:rPr>
                <w:sz w:val="20"/>
              </w:rPr>
              <w:t xml:space="preserve">18 719,1</w:t>
            </w:r>
          </w:p>
        </w:tc>
        <w:tc>
          <w:tcPr>
            <w:tcW w:w="1020" w:type="dxa"/>
            <w:vAlign w:val="center"/>
            <w:tcBorders>
              <w:top w:val="single" w:sz="4"/>
              <w:left w:val="nil"/>
              <w:bottom w:val="nil"/>
              <w:right w:val="nil"/>
            </w:tcBorders>
          </w:tcPr>
          <w:p>
            <w:pPr>
              <w:pStyle w:val="0"/>
              <w:jc w:val="center"/>
            </w:pPr>
            <w:r>
              <w:rPr>
                <w:sz w:val="20"/>
              </w:rPr>
              <w:t xml:space="preserve">25 286,4</w:t>
            </w:r>
          </w:p>
        </w:tc>
        <w:tc>
          <w:tcPr>
            <w:tcW w:w="1191" w:type="dxa"/>
            <w:vAlign w:val="center"/>
            <w:tcBorders>
              <w:top w:val="single" w:sz="4"/>
              <w:left w:val="nil"/>
              <w:bottom w:val="nil"/>
              <w:right w:val="nil"/>
            </w:tcBorders>
          </w:tcPr>
          <w:p>
            <w:pPr>
              <w:pStyle w:val="0"/>
              <w:jc w:val="center"/>
            </w:pPr>
            <w:r>
              <w:rPr>
                <w:sz w:val="20"/>
              </w:rPr>
              <w:t xml:space="preserve">27 824,4</w:t>
            </w:r>
          </w:p>
        </w:tc>
        <w:tc>
          <w:tcPr>
            <w:tcW w:w="1247" w:type="dxa"/>
            <w:vAlign w:val="center"/>
            <w:tcBorders>
              <w:top w:val="single" w:sz="4"/>
              <w:left w:val="nil"/>
              <w:bottom w:val="nil"/>
              <w:right w:val="nil"/>
            </w:tcBorders>
          </w:tcPr>
          <w:p>
            <w:pPr>
              <w:pStyle w:val="0"/>
              <w:jc w:val="center"/>
            </w:pPr>
            <w:r>
              <w:rPr>
                <w:sz w:val="20"/>
              </w:rPr>
              <w:t xml:space="preserve">28 674,1</w:t>
            </w:r>
          </w:p>
        </w:tc>
        <w:tc>
          <w:tcPr>
            <w:tcW w:w="1020" w:type="dxa"/>
            <w:vAlign w:val="center"/>
            <w:tcBorders>
              <w:top w:val="single" w:sz="4"/>
              <w:left w:val="nil"/>
              <w:bottom w:val="nil"/>
              <w:right w:val="nil"/>
            </w:tcBorders>
          </w:tcPr>
          <w:p>
            <w:pPr>
              <w:pStyle w:val="0"/>
              <w:jc w:val="center"/>
            </w:pPr>
            <w:r>
              <w:rPr>
                <w:sz w:val="20"/>
              </w:rPr>
              <w:t xml:space="preserve">35 065,3</w:t>
            </w:r>
          </w:p>
        </w:tc>
        <w:tc>
          <w:tcPr>
            <w:tcW w:w="1020" w:type="dxa"/>
            <w:vAlign w:val="center"/>
            <w:tcBorders>
              <w:top w:val="single" w:sz="4"/>
              <w:left w:val="nil"/>
              <w:bottom w:val="nil"/>
              <w:right w:val="nil"/>
            </w:tcBorders>
          </w:tcPr>
          <w:p>
            <w:pPr>
              <w:pStyle w:val="0"/>
              <w:jc w:val="center"/>
            </w:pPr>
            <w:r>
              <w:rPr>
                <w:sz w:val="20"/>
              </w:rPr>
              <w:t xml:space="preserve">33 552,4</w:t>
            </w:r>
          </w:p>
        </w:tc>
        <w:tc>
          <w:tcPr>
            <w:tcW w:w="1020" w:type="dxa"/>
            <w:vAlign w:val="center"/>
            <w:tcBorders>
              <w:top w:val="single" w:sz="4"/>
              <w:left w:val="nil"/>
              <w:bottom w:val="nil"/>
              <w:right w:val="nil"/>
            </w:tcBorders>
          </w:tcPr>
          <w:p>
            <w:pPr>
              <w:pStyle w:val="0"/>
              <w:jc w:val="center"/>
            </w:pPr>
            <w:r>
              <w:rPr>
                <w:sz w:val="20"/>
              </w:rPr>
              <w:t xml:space="preserve">34 051,0</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18,4</w:t>
            </w:r>
          </w:p>
        </w:tc>
        <w:tc>
          <w:tcPr>
            <w:tcW w:w="1020" w:type="dxa"/>
            <w:vAlign w:val="center"/>
            <w:tcBorders>
              <w:top w:val="nil"/>
              <w:left w:val="nil"/>
              <w:bottom w:val="nil"/>
              <w:right w:val="nil"/>
            </w:tcBorders>
          </w:tcPr>
          <w:p>
            <w:pPr>
              <w:pStyle w:val="0"/>
              <w:jc w:val="center"/>
            </w:pPr>
            <w:r>
              <w:rPr>
                <w:sz w:val="20"/>
              </w:rPr>
              <w:t xml:space="preserve">17,4</w:t>
            </w:r>
          </w:p>
        </w:tc>
        <w:tc>
          <w:tcPr>
            <w:tcW w:w="1020" w:type="dxa"/>
            <w:vAlign w:val="center"/>
            <w:tcBorders>
              <w:top w:val="nil"/>
              <w:left w:val="nil"/>
              <w:bottom w:val="nil"/>
              <w:right w:val="nil"/>
            </w:tcBorders>
          </w:tcPr>
          <w:p>
            <w:pPr>
              <w:pStyle w:val="0"/>
              <w:jc w:val="center"/>
            </w:pPr>
            <w:r>
              <w:rPr>
                <w:sz w:val="20"/>
              </w:rPr>
              <w:t xml:space="preserve">18,7</w:t>
            </w:r>
          </w:p>
        </w:tc>
        <w:tc>
          <w:tcPr>
            <w:tcW w:w="1191" w:type="dxa"/>
            <w:vAlign w:val="center"/>
            <w:tcBorders>
              <w:top w:val="nil"/>
              <w:left w:val="nil"/>
              <w:bottom w:val="nil"/>
              <w:right w:val="nil"/>
            </w:tcBorders>
          </w:tcPr>
          <w:p>
            <w:pPr>
              <w:pStyle w:val="0"/>
              <w:jc w:val="center"/>
            </w:pPr>
            <w:r>
              <w:rPr>
                <w:sz w:val="20"/>
              </w:rPr>
              <w:t xml:space="preserve">18,1</w:t>
            </w:r>
          </w:p>
        </w:tc>
        <w:tc>
          <w:tcPr>
            <w:tcW w:w="1247" w:type="dxa"/>
            <w:vAlign w:val="center"/>
            <w:tcBorders>
              <w:top w:val="nil"/>
              <w:left w:val="nil"/>
              <w:bottom w:val="nil"/>
              <w:right w:val="nil"/>
            </w:tcBorders>
          </w:tcPr>
          <w:p>
            <w:pPr>
              <w:pStyle w:val="0"/>
              <w:jc w:val="center"/>
            </w:pPr>
            <w:r>
              <w:rPr>
                <w:sz w:val="20"/>
              </w:rPr>
              <w:t xml:space="preserve">17,3</w:t>
            </w:r>
          </w:p>
        </w:tc>
        <w:tc>
          <w:tcPr>
            <w:tcW w:w="1020" w:type="dxa"/>
            <w:vAlign w:val="center"/>
            <w:tcBorders>
              <w:top w:val="nil"/>
              <w:left w:val="nil"/>
              <w:bottom w:val="nil"/>
              <w:right w:val="nil"/>
            </w:tcBorders>
          </w:tcPr>
          <w:p>
            <w:pPr>
              <w:pStyle w:val="0"/>
              <w:jc w:val="center"/>
            </w:pPr>
            <w:r>
              <w:rPr>
                <w:sz w:val="20"/>
              </w:rPr>
              <w:t xml:space="preserve">19,5</w:t>
            </w:r>
          </w:p>
        </w:tc>
        <w:tc>
          <w:tcPr>
            <w:tcW w:w="1020" w:type="dxa"/>
            <w:vAlign w:val="center"/>
            <w:tcBorders>
              <w:top w:val="nil"/>
              <w:left w:val="nil"/>
              <w:bottom w:val="nil"/>
              <w:right w:val="nil"/>
            </w:tcBorders>
          </w:tcPr>
          <w:p>
            <w:pPr>
              <w:pStyle w:val="0"/>
              <w:jc w:val="center"/>
            </w:pPr>
            <w:r>
              <w:rPr>
                <w:sz w:val="20"/>
              </w:rPr>
              <w:t xml:space="preserve">17,6</w:t>
            </w:r>
          </w:p>
        </w:tc>
        <w:tc>
          <w:tcPr>
            <w:tcW w:w="1020" w:type="dxa"/>
            <w:vAlign w:val="center"/>
            <w:tcBorders>
              <w:top w:val="nil"/>
              <w:left w:val="nil"/>
              <w:bottom w:val="nil"/>
              <w:right w:val="nil"/>
            </w:tcBorders>
          </w:tcPr>
          <w:p>
            <w:pPr>
              <w:pStyle w:val="0"/>
              <w:jc w:val="center"/>
            </w:pPr>
            <w:r>
              <w:rPr>
                <w:sz w:val="20"/>
              </w:rPr>
              <w:t xml:space="preserve">16,8</w:t>
            </w:r>
          </w:p>
        </w:tc>
      </w:tr>
      <w:tr>
        <w:tc>
          <w:tcPr>
            <w:tcW w:w="2154" w:type="dxa"/>
            <w:tcBorders>
              <w:top w:val="nil"/>
              <w:left w:val="nil"/>
              <w:bottom w:val="nil"/>
              <w:right w:val="nil"/>
            </w:tcBorders>
          </w:tcPr>
          <w:p>
            <w:pPr>
              <w:pStyle w:val="0"/>
            </w:pPr>
            <w:r>
              <w:rPr>
                <w:sz w:val="20"/>
              </w:rPr>
              <w:t xml:space="preserve">НЕФТЕГАЗОВЫЕ</w:t>
            </w:r>
          </w:p>
        </w:tc>
        <w:tc>
          <w:tcPr>
            <w:tcW w:w="1020" w:type="dxa"/>
            <w:vAlign w:val="center"/>
            <w:tcBorders>
              <w:top w:val="nil"/>
              <w:left w:val="nil"/>
              <w:bottom w:val="nil"/>
              <w:right w:val="nil"/>
            </w:tcBorders>
          </w:tcPr>
          <w:p>
            <w:pPr>
              <w:pStyle w:val="0"/>
              <w:jc w:val="center"/>
            </w:pPr>
            <w:r>
              <w:rPr>
                <w:sz w:val="20"/>
              </w:rPr>
              <w:t xml:space="preserve">7 924,3</w:t>
            </w:r>
          </w:p>
        </w:tc>
        <w:tc>
          <w:tcPr>
            <w:tcW w:w="1020" w:type="dxa"/>
            <w:vAlign w:val="center"/>
            <w:tcBorders>
              <w:top w:val="nil"/>
              <w:left w:val="nil"/>
              <w:bottom w:val="nil"/>
              <w:right w:val="nil"/>
            </w:tcBorders>
          </w:tcPr>
          <w:p>
            <w:pPr>
              <w:pStyle w:val="0"/>
              <w:jc w:val="center"/>
            </w:pPr>
            <w:r>
              <w:rPr>
                <w:sz w:val="20"/>
              </w:rPr>
              <w:t xml:space="preserve">5 235,2</w:t>
            </w:r>
          </w:p>
        </w:tc>
        <w:tc>
          <w:tcPr>
            <w:tcW w:w="1020" w:type="dxa"/>
            <w:vAlign w:val="center"/>
            <w:tcBorders>
              <w:top w:val="nil"/>
              <w:left w:val="nil"/>
              <w:bottom w:val="nil"/>
              <w:right w:val="nil"/>
            </w:tcBorders>
          </w:tcPr>
          <w:p>
            <w:pPr>
              <w:pStyle w:val="0"/>
              <w:jc w:val="center"/>
            </w:pPr>
            <w:r>
              <w:rPr>
                <w:sz w:val="20"/>
              </w:rPr>
              <w:t xml:space="preserve">9 056,5</w:t>
            </w:r>
          </w:p>
        </w:tc>
        <w:tc>
          <w:tcPr>
            <w:tcW w:w="1191" w:type="dxa"/>
            <w:vAlign w:val="center"/>
            <w:tcBorders>
              <w:top w:val="nil"/>
              <w:left w:val="nil"/>
              <w:bottom w:val="nil"/>
              <w:right w:val="nil"/>
            </w:tcBorders>
          </w:tcPr>
          <w:p>
            <w:pPr>
              <w:pStyle w:val="0"/>
              <w:jc w:val="center"/>
            </w:pPr>
            <w:r>
              <w:rPr>
                <w:sz w:val="20"/>
              </w:rPr>
              <w:t xml:space="preserve">11 586,2</w:t>
            </w:r>
          </w:p>
        </w:tc>
        <w:tc>
          <w:tcPr>
            <w:tcW w:w="1247" w:type="dxa"/>
            <w:vAlign w:val="center"/>
            <w:tcBorders>
              <w:top w:val="nil"/>
              <w:left w:val="nil"/>
              <w:bottom w:val="nil"/>
              <w:right w:val="nil"/>
            </w:tcBorders>
          </w:tcPr>
          <w:p>
            <w:pPr>
              <w:pStyle w:val="0"/>
              <w:jc w:val="center"/>
            </w:pPr>
            <w:r>
              <w:rPr>
                <w:sz w:val="20"/>
              </w:rPr>
              <w:t xml:space="preserve">8 863,5</w:t>
            </w:r>
          </w:p>
        </w:tc>
        <w:tc>
          <w:tcPr>
            <w:tcW w:w="1020" w:type="dxa"/>
            <w:vAlign w:val="center"/>
            <w:tcBorders>
              <w:top w:val="nil"/>
              <w:left w:val="nil"/>
              <w:bottom w:val="nil"/>
              <w:right w:val="nil"/>
            </w:tcBorders>
          </w:tcPr>
          <w:p>
            <w:pPr>
              <w:pStyle w:val="0"/>
              <w:jc w:val="center"/>
            </w:pPr>
            <w:r>
              <w:rPr>
                <w:sz w:val="20"/>
              </w:rPr>
              <w:t xml:space="preserve">11 504,3</w:t>
            </w:r>
          </w:p>
        </w:tc>
        <w:tc>
          <w:tcPr>
            <w:tcW w:w="1020" w:type="dxa"/>
            <w:vAlign w:val="center"/>
            <w:tcBorders>
              <w:top w:val="nil"/>
              <w:left w:val="nil"/>
              <w:bottom w:val="nil"/>
              <w:right w:val="nil"/>
            </w:tcBorders>
          </w:tcPr>
          <w:p>
            <w:pPr>
              <w:pStyle w:val="0"/>
              <w:jc w:val="center"/>
            </w:pPr>
            <w:r>
              <w:rPr>
                <w:sz w:val="20"/>
              </w:rPr>
              <w:t xml:space="preserve">11 759,8</w:t>
            </w:r>
          </w:p>
        </w:tc>
        <w:tc>
          <w:tcPr>
            <w:tcW w:w="1020" w:type="dxa"/>
            <w:vAlign w:val="center"/>
            <w:tcBorders>
              <w:top w:val="nil"/>
              <w:left w:val="nil"/>
              <w:bottom w:val="nil"/>
              <w:right w:val="nil"/>
            </w:tcBorders>
          </w:tcPr>
          <w:p>
            <w:pPr>
              <w:pStyle w:val="0"/>
              <w:jc w:val="center"/>
            </w:pPr>
            <w:r>
              <w:rPr>
                <w:sz w:val="20"/>
              </w:rPr>
              <w:t xml:space="preserve">11 414,7</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7,2</w:t>
            </w:r>
          </w:p>
        </w:tc>
        <w:tc>
          <w:tcPr>
            <w:tcW w:w="1020" w:type="dxa"/>
            <w:vAlign w:val="center"/>
            <w:tcBorders>
              <w:top w:val="nil"/>
              <w:left w:val="nil"/>
              <w:bottom w:val="nil"/>
              <w:right w:val="nil"/>
            </w:tcBorders>
          </w:tcPr>
          <w:p>
            <w:pPr>
              <w:pStyle w:val="0"/>
              <w:jc w:val="center"/>
            </w:pPr>
            <w:r>
              <w:rPr>
                <w:sz w:val="20"/>
              </w:rPr>
              <w:t xml:space="preserve">4,9</w:t>
            </w:r>
          </w:p>
        </w:tc>
        <w:tc>
          <w:tcPr>
            <w:tcW w:w="1020" w:type="dxa"/>
            <w:vAlign w:val="center"/>
            <w:tcBorders>
              <w:top w:val="nil"/>
              <w:left w:val="nil"/>
              <w:bottom w:val="nil"/>
              <w:right w:val="nil"/>
            </w:tcBorders>
          </w:tcPr>
          <w:p>
            <w:pPr>
              <w:pStyle w:val="0"/>
              <w:jc w:val="center"/>
            </w:pPr>
            <w:r>
              <w:rPr>
                <w:sz w:val="20"/>
              </w:rPr>
              <w:t xml:space="preserve">6,7</w:t>
            </w:r>
          </w:p>
        </w:tc>
        <w:tc>
          <w:tcPr>
            <w:tcW w:w="1191" w:type="dxa"/>
            <w:vAlign w:val="center"/>
            <w:tcBorders>
              <w:top w:val="nil"/>
              <w:left w:val="nil"/>
              <w:bottom w:val="nil"/>
              <w:right w:val="nil"/>
            </w:tcBorders>
          </w:tcPr>
          <w:p>
            <w:pPr>
              <w:pStyle w:val="0"/>
              <w:jc w:val="center"/>
            </w:pPr>
            <w:r>
              <w:rPr>
                <w:sz w:val="20"/>
              </w:rPr>
              <w:t xml:space="preserve">7,6</w:t>
            </w:r>
          </w:p>
        </w:tc>
        <w:tc>
          <w:tcPr>
            <w:tcW w:w="1247" w:type="dxa"/>
            <w:vAlign w:val="center"/>
            <w:tcBorders>
              <w:top w:val="nil"/>
              <w:left w:val="nil"/>
              <w:bottom w:val="nil"/>
              <w:right w:val="nil"/>
            </w:tcBorders>
          </w:tcPr>
          <w:p>
            <w:pPr>
              <w:pStyle w:val="0"/>
              <w:jc w:val="center"/>
            </w:pPr>
            <w:r>
              <w:rPr>
                <w:sz w:val="20"/>
              </w:rPr>
              <w:t xml:space="preserve">5,3</w:t>
            </w:r>
          </w:p>
        </w:tc>
        <w:tc>
          <w:tcPr>
            <w:tcW w:w="1020" w:type="dxa"/>
            <w:vAlign w:val="center"/>
            <w:tcBorders>
              <w:top w:val="nil"/>
              <w:left w:val="nil"/>
              <w:bottom w:val="nil"/>
              <w:right w:val="nil"/>
            </w:tcBorders>
          </w:tcPr>
          <w:p>
            <w:pPr>
              <w:pStyle w:val="0"/>
              <w:jc w:val="center"/>
            </w:pPr>
            <w:r>
              <w:rPr>
                <w:sz w:val="20"/>
              </w:rPr>
              <w:t xml:space="preserve">6,4</w:t>
            </w:r>
          </w:p>
        </w:tc>
        <w:tc>
          <w:tcPr>
            <w:tcW w:w="1020" w:type="dxa"/>
            <w:vAlign w:val="center"/>
            <w:tcBorders>
              <w:top w:val="nil"/>
              <w:left w:val="nil"/>
              <w:bottom w:val="nil"/>
              <w:right w:val="nil"/>
            </w:tcBorders>
          </w:tcPr>
          <w:p>
            <w:pPr>
              <w:pStyle w:val="0"/>
              <w:jc w:val="center"/>
            </w:pPr>
            <w:r>
              <w:rPr>
                <w:sz w:val="20"/>
              </w:rPr>
              <w:t xml:space="preserve">6,2</w:t>
            </w:r>
          </w:p>
        </w:tc>
        <w:tc>
          <w:tcPr>
            <w:tcW w:w="1020" w:type="dxa"/>
            <w:vAlign w:val="center"/>
            <w:tcBorders>
              <w:top w:val="nil"/>
              <w:left w:val="nil"/>
              <w:bottom w:val="nil"/>
              <w:right w:val="nil"/>
            </w:tcBorders>
          </w:tcPr>
          <w:p>
            <w:pPr>
              <w:pStyle w:val="0"/>
              <w:jc w:val="center"/>
            </w:pPr>
            <w:r>
              <w:rPr>
                <w:sz w:val="20"/>
              </w:rPr>
              <w:t xml:space="preserve">5,6</w:t>
            </w:r>
          </w:p>
        </w:tc>
      </w:tr>
      <w:tr>
        <w:tc>
          <w:tcPr>
            <w:tcW w:w="2154" w:type="dxa"/>
            <w:tcBorders>
              <w:top w:val="nil"/>
              <w:left w:val="nil"/>
              <w:bottom w:val="nil"/>
              <w:right w:val="nil"/>
            </w:tcBorders>
          </w:tcPr>
          <w:p>
            <w:pPr>
              <w:pStyle w:val="0"/>
            </w:pPr>
            <w:r>
              <w:rPr>
                <w:sz w:val="20"/>
              </w:rPr>
              <w:t xml:space="preserve">базовые НГД</w:t>
            </w:r>
          </w:p>
        </w:tc>
        <w:tc>
          <w:tcPr>
            <w:tcW w:w="1020" w:type="dxa"/>
            <w:vAlign w:val="center"/>
            <w:tcBorders>
              <w:top w:val="nil"/>
              <w:left w:val="nil"/>
              <w:bottom w:val="nil"/>
              <w:right w:val="nil"/>
            </w:tcBorders>
          </w:tcPr>
          <w:p>
            <w:pPr>
              <w:pStyle w:val="0"/>
              <w:jc w:val="center"/>
            </w:pPr>
            <w:r>
              <w:rPr>
                <w:sz w:val="20"/>
              </w:rPr>
              <w:t xml:space="preserve">4 967,4</w:t>
            </w:r>
          </w:p>
        </w:tc>
        <w:tc>
          <w:tcPr>
            <w:tcW w:w="1020" w:type="dxa"/>
            <w:vAlign w:val="center"/>
            <w:tcBorders>
              <w:top w:val="nil"/>
              <w:left w:val="nil"/>
              <w:bottom w:val="nil"/>
              <w:right w:val="nil"/>
            </w:tcBorders>
          </w:tcPr>
          <w:p>
            <w:pPr>
              <w:pStyle w:val="0"/>
              <w:jc w:val="center"/>
            </w:pPr>
            <w:r>
              <w:rPr>
                <w:sz w:val="20"/>
              </w:rPr>
              <w:t xml:space="preserve">5 557,6</w:t>
            </w:r>
          </w:p>
        </w:tc>
        <w:tc>
          <w:tcPr>
            <w:tcW w:w="1020" w:type="dxa"/>
            <w:vAlign w:val="center"/>
            <w:tcBorders>
              <w:top w:val="nil"/>
              <w:left w:val="nil"/>
              <w:bottom w:val="nil"/>
              <w:right w:val="nil"/>
            </w:tcBorders>
          </w:tcPr>
          <w:p>
            <w:pPr>
              <w:pStyle w:val="0"/>
              <w:jc w:val="center"/>
            </w:pPr>
            <w:r>
              <w:rPr>
                <w:sz w:val="20"/>
              </w:rPr>
              <w:t xml:space="preserve">5 889,5</w:t>
            </w:r>
          </w:p>
        </w:tc>
        <w:tc>
          <w:tcPr>
            <w:tcW w:w="1191" w:type="dxa"/>
            <w:vAlign w:val="center"/>
            <w:tcBorders>
              <w:top w:val="nil"/>
              <w:left w:val="nil"/>
              <w:bottom w:val="nil"/>
              <w:right w:val="nil"/>
            </w:tcBorders>
          </w:tcPr>
          <w:p>
            <w:pPr>
              <w:pStyle w:val="0"/>
              <w:jc w:val="center"/>
            </w:pPr>
            <w:r>
              <w:rPr>
                <w:sz w:val="20"/>
              </w:rPr>
              <w:t xml:space="preserve">6 508,9</w:t>
            </w:r>
          </w:p>
        </w:tc>
        <w:tc>
          <w:tcPr>
            <w:tcW w:w="1247" w:type="dxa"/>
            <w:vAlign w:val="center"/>
            <w:tcBorders>
              <w:top w:val="nil"/>
              <w:left w:val="nil"/>
              <w:bottom w:val="nil"/>
              <w:right w:val="nil"/>
            </w:tcBorders>
          </w:tcPr>
          <w:p>
            <w:pPr>
              <w:pStyle w:val="0"/>
              <w:jc w:val="center"/>
            </w:pPr>
            <w:r>
              <w:rPr>
                <w:sz w:val="20"/>
              </w:rPr>
              <w:t xml:space="preserve">8 000,0</w:t>
            </w:r>
          </w:p>
        </w:tc>
        <w:tc>
          <w:tcPr>
            <w:tcW w:w="1020" w:type="dxa"/>
            <w:vAlign w:val="center"/>
            <w:tcBorders>
              <w:top w:val="nil"/>
              <w:left w:val="nil"/>
              <w:bottom w:val="nil"/>
              <w:right w:val="nil"/>
            </w:tcBorders>
          </w:tcPr>
          <w:p>
            <w:pPr>
              <w:pStyle w:val="0"/>
              <w:jc w:val="center"/>
            </w:pPr>
            <w:r>
              <w:rPr>
                <w:sz w:val="20"/>
              </w:rPr>
              <w:t xml:space="preserve">9 683,2</w:t>
            </w:r>
          </w:p>
        </w:tc>
        <w:tc>
          <w:tcPr>
            <w:tcW w:w="1020" w:type="dxa"/>
            <w:vAlign w:val="center"/>
            <w:tcBorders>
              <w:top w:val="nil"/>
              <w:left w:val="nil"/>
              <w:bottom w:val="nil"/>
              <w:right w:val="nil"/>
            </w:tcBorders>
          </w:tcPr>
          <w:p>
            <w:pPr>
              <w:pStyle w:val="0"/>
              <w:jc w:val="center"/>
            </w:pPr>
            <w:r>
              <w:rPr>
                <w:sz w:val="20"/>
              </w:rPr>
              <w:t xml:space="preserve">9 924,1</w:t>
            </w:r>
          </w:p>
        </w:tc>
        <w:tc>
          <w:tcPr>
            <w:tcW w:w="1020" w:type="dxa"/>
            <w:vAlign w:val="center"/>
            <w:tcBorders>
              <w:top w:val="nil"/>
              <w:left w:val="nil"/>
              <w:bottom w:val="nil"/>
              <w:right w:val="nil"/>
            </w:tcBorders>
          </w:tcPr>
          <w:p>
            <w:pPr>
              <w:pStyle w:val="0"/>
              <w:jc w:val="center"/>
            </w:pPr>
            <w:r>
              <w:rPr>
                <w:sz w:val="20"/>
              </w:rPr>
              <w:t xml:space="preserve">9 569,8</w:t>
            </w:r>
          </w:p>
        </w:tc>
      </w:tr>
      <w:tr>
        <w:tc>
          <w:tcPr>
            <w:tcW w:w="2154" w:type="dxa"/>
            <w:tcBorders>
              <w:top w:val="nil"/>
              <w:left w:val="nil"/>
              <w:bottom w:val="nil"/>
              <w:right w:val="nil"/>
            </w:tcBorders>
          </w:tcPr>
          <w:p>
            <w:pPr>
              <w:pStyle w:val="0"/>
            </w:pPr>
            <w:r>
              <w:rPr>
                <w:sz w:val="20"/>
              </w:rPr>
              <w:t xml:space="preserve">дополнительные НГД</w:t>
            </w:r>
          </w:p>
        </w:tc>
        <w:tc>
          <w:tcPr>
            <w:tcW w:w="1020" w:type="dxa"/>
            <w:vAlign w:val="center"/>
            <w:tcBorders>
              <w:top w:val="nil"/>
              <w:left w:val="nil"/>
              <w:bottom w:val="nil"/>
              <w:right w:val="nil"/>
            </w:tcBorders>
          </w:tcPr>
          <w:p>
            <w:pPr>
              <w:pStyle w:val="0"/>
              <w:jc w:val="center"/>
            </w:pPr>
            <w:r>
              <w:rPr>
                <w:sz w:val="20"/>
              </w:rPr>
              <w:t xml:space="preserve">2 956,8</w:t>
            </w:r>
          </w:p>
        </w:tc>
        <w:tc>
          <w:tcPr>
            <w:tcW w:w="1020" w:type="dxa"/>
            <w:vAlign w:val="center"/>
            <w:tcBorders>
              <w:top w:val="nil"/>
              <w:left w:val="nil"/>
              <w:bottom w:val="nil"/>
              <w:right w:val="nil"/>
            </w:tcBorders>
          </w:tcPr>
          <w:p>
            <w:pPr>
              <w:pStyle w:val="0"/>
              <w:jc w:val="center"/>
            </w:pPr>
            <w:r>
              <w:rPr>
                <w:sz w:val="20"/>
              </w:rPr>
              <w:t xml:space="preserve">-322,3</w:t>
            </w:r>
          </w:p>
        </w:tc>
        <w:tc>
          <w:tcPr>
            <w:tcW w:w="1020" w:type="dxa"/>
            <w:vAlign w:val="center"/>
            <w:tcBorders>
              <w:top w:val="nil"/>
              <w:left w:val="nil"/>
              <w:bottom w:val="nil"/>
              <w:right w:val="nil"/>
            </w:tcBorders>
          </w:tcPr>
          <w:p>
            <w:pPr>
              <w:pStyle w:val="0"/>
              <w:jc w:val="center"/>
            </w:pPr>
            <w:r>
              <w:rPr>
                <w:sz w:val="20"/>
              </w:rPr>
              <w:t xml:space="preserve">3 167,0</w:t>
            </w:r>
          </w:p>
        </w:tc>
        <w:tc>
          <w:tcPr>
            <w:tcW w:w="1191" w:type="dxa"/>
            <w:vAlign w:val="center"/>
            <w:tcBorders>
              <w:top w:val="nil"/>
              <w:left w:val="nil"/>
              <w:bottom w:val="nil"/>
              <w:right w:val="nil"/>
            </w:tcBorders>
          </w:tcPr>
          <w:p>
            <w:pPr>
              <w:pStyle w:val="0"/>
              <w:jc w:val="center"/>
            </w:pPr>
            <w:r>
              <w:rPr>
                <w:sz w:val="20"/>
              </w:rPr>
              <w:t xml:space="preserve">5 077,3</w:t>
            </w:r>
          </w:p>
        </w:tc>
        <w:tc>
          <w:tcPr>
            <w:tcW w:w="1247" w:type="dxa"/>
            <w:vAlign w:val="center"/>
            <w:tcBorders>
              <w:top w:val="nil"/>
              <w:left w:val="nil"/>
              <w:bottom w:val="nil"/>
              <w:right w:val="nil"/>
            </w:tcBorders>
          </w:tcPr>
          <w:p>
            <w:pPr>
              <w:pStyle w:val="0"/>
              <w:jc w:val="center"/>
            </w:pPr>
            <w:r>
              <w:rPr>
                <w:sz w:val="20"/>
              </w:rPr>
              <w:t xml:space="preserve">863,5</w:t>
            </w:r>
          </w:p>
        </w:tc>
        <w:tc>
          <w:tcPr>
            <w:tcW w:w="1020" w:type="dxa"/>
            <w:vAlign w:val="center"/>
            <w:tcBorders>
              <w:top w:val="nil"/>
              <w:left w:val="nil"/>
              <w:bottom w:val="nil"/>
              <w:right w:val="nil"/>
            </w:tcBorders>
          </w:tcPr>
          <w:p>
            <w:pPr>
              <w:pStyle w:val="0"/>
              <w:jc w:val="center"/>
            </w:pPr>
            <w:r>
              <w:rPr>
                <w:sz w:val="20"/>
              </w:rPr>
              <w:t xml:space="preserve">1 821,1</w:t>
            </w:r>
          </w:p>
        </w:tc>
        <w:tc>
          <w:tcPr>
            <w:tcW w:w="1020" w:type="dxa"/>
            <w:vAlign w:val="center"/>
            <w:tcBorders>
              <w:top w:val="nil"/>
              <w:left w:val="nil"/>
              <w:bottom w:val="nil"/>
              <w:right w:val="nil"/>
            </w:tcBorders>
          </w:tcPr>
          <w:p>
            <w:pPr>
              <w:pStyle w:val="0"/>
              <w:jc w:val="center"/>
            </w:pPr>
            <w:r>
              <w:rPr>
                <w:sz w:val="20"/>
              </w:rPr>
              <w:t xml:space="preserve">1 835,7</w:t>
            </w:r>
          </w:p>
        </w:tc>
        <w:tc>
          <w:tcPr>
            <w:tcW w:w="1020" w:type="dxa"/>
            <w:vAlign w:val="center"/>
            <w:tcBorders>
              <w:top w:val="nil"/>
              <w:left w:val="nil"/>
              <w:bottom w:val="nil"/>
              <w:right w:val="nil"/>
            </w:tcBorders>
          </w:tcPr>
          <w:p>
            <w:pPr>
              <w:pStyle w:val="0"/>
              <w:jc w:val="center"/>
            </w:pPr>
            <w:r>
              <w:rPr>
                <w:sz w:val="20"/>
              </w:rPr>
              <w:t xml:space="preserve">1 844,8</w:t>
            </w:r>
          </w:p>
        </w:tc>
      </w:tr>
      <w:tr>
        <w:tc>
          <w:tcPr>
            <w:tcW w:w="2154" w:type="dxa"/>
            <w:tcBorders>
              <w:top w:val="nil"/>
              <w:left w:val="nil"/>
              <w:bottom w:val="nil"/>
              <w:right w:val="nil"/>
            </w:tcBorders>
          </w:tcPr>
          <w:p>
            <w:pPr>
              <w:pStyle w:val="0"/>
            </w:pPr>
            <w:r>
              <w:rPr>
                <w:sz w:val="20"/>
              </w:rPr>
              <w:t xml:space="preserve">НЕНЕФТЕГАЗОВЫЕ</w:t>
            </w:r>
          </w:p>
        </w:tc>
        <w:tc>
          <w:tcPr>
            <w:tcW w:w="1020" w:type="dxa"/>
            <w:vAlign w:val="center"/>
            <w:tcBorders>
              <w:top w:val="nil"/>
              <w:left w:val="nil"/>
              <w:bottom w:val="nil"/>
              <w:right w:val="nil"/>
            </w:tcBorders>
          </w:tcPr>
          <w:p>
            <w:pPr>
              <w:pStyle w:val="0"/>
              <w:jc w:val="center"/>
            </w:pPr>
            <w:r>
              <w:rPr>
                <w:sz w:val="20"/>
              </w:rPr>
              <w:t xml:space="preserve">12 264,5</w:t>
            </w:r>
          </w:p>
        </w:tc>
        <w:tc>
          <w:tcPr>
            <w:tcW w:w="1020" w:type="dxa"/>
            <w:vAlign w:val="center"/>
            <w:tcBorders>
              <w:top w:val="nil"/>
              <w:left w:val="nil"/>
              <w:bottom w:val="nil"/>
              <w:right w:val="nil"/>
            </w:tcBorders>
          </w:tcPr>
          <w:p>
            <w:pPr>
              <w:pStyle w:val="0"/>
              <w:jc w:val="center"/>
            </w:pPr>
            <w:r>
              <w:rPr>
                <w:sz w:val="20"/>
              </w:rPr>
              <w:t xml:space="preserve">13 483,8</w:t>
            </w:r>
          </w:p>
        </w:tc>
        <w:tc>
          <w:tcPr>
            <w:tcW w:w="1020" w:type="dxa"/>
            <w:vAlign w:val="center"/>
            <w:tcBorders>
              <w:top w:val="nil"/>
              <w:left w:val="nil"/>
              <w:bottom w:val="nil"/>
              <w:right w:val="nil"/>
            </w:tcBorders>
          </w:tcPr>
          <w:p>
            <w:pPr>
              <w:pStyle w:val="0"/>
              <w:jc w:val="center"/>
            </w:pPr>
            <w:r>
              <w:rPr>
                <w:sz w:val="20"/>
              </w:rPr>
              <w:t xml:space="preserve">16 229,9</w:t>
            </w:r>
          </w:p>
        </w:tc>
        <w:tc>
          <w:tcPr>
            <w:tcW w:w="1191" w:type="dxa"/>
            <w:vAlign w:val="center"/>
            <w:tcBorders>
              <w:top w:val="nil"/>
              <w:left w:val="nil"/>
              <w:bottom w:val="nil"/>
              <w:right w:val="nil"/>
            </w:tcBorders>
          </w:tcPr>
          <w:p>
            <w:pPr>
              <w:pStyle w:val="0"/>
              <w:jc w:val="center"/>
            </w:pPr>
            <w:r>
              <w:rPr>
                <w:sz w:val="20"/>
              </w:rPr>
              <w:t xml:space="preserve">16 238,2</w:t>
            </w:r>
          </w:p>
        </w:tc>
        <w:tc>
          <w:tcPr>
            <w:tcW w:w="1247" w:type="dxa"/>
            <w:vAlign w:val="center"/>
            <w:tcBorders>
              <w:top w:val="nil"/>
              <w:left w:val="nil"/>
              <w:bottom w:val="nil"/>
              <w:right w:val="nil"/>
            </w:tcBorders>
          </w:tcPr>
          <w:p>
            <w:pPr>
              <w:pStyle w:val="0"/>
              <w:jc w:val="center"/>
            </w:pPr>
            <w:r>
              <w:rPr>
                <w:sz w:val="20"/>
              </w:rPr>
              <w:t xml:space="preserve">19 810,5</w:t>
            </w:r>
          </w:p>
        </w:tc>
        <w:tc>
          <w:tcPr>
            <w:tcW w:w="1020" w:type="dxa"/>
            <w:vAlign w:val="center"/>
            <w:tcBorders>
              <w:top w:val="nil"/>
              <w:left w:val="nil"/>
              <w:bottom w:val="nil"/>
              <w:right w:val="nil"/>
            </w:tcBorders>
          </w:tcPr>
          <w:p>
            <w:pPr>
              <w:pStyle w:val="0"/>
              <w:jc w:val="center"/>
            </w:pPr>
            <w:r>
              <w:rPr>
                <w:sz w:val="20"/>
              </w:rPr>
              <w:t xml:space="preserve">23 561,0</w:t>
            </w:r>
          </w:p>
        </w:tc>
        <w:tc>
          <w:tcPr>
            <w:tcW w:w="1020" w:type="dxa"/>
            <w:vAlign w:val="center"/>
            <w:tcBorders>
              <w:top w:val="nil"/>
              <w:left w:val="nil"/>
              <w:bottom w:val="nil"/>
              <w:right w:val="nil"/>
            </w:tcBorders>
          </w:tcPr>
          <w:p>
            <w:pPr>
              <w:pStyle w:val="0"/>
              <w:jc w:val="center"/>
            </w:pPr>
            <w:r>
              <w:rPr>
                <w:sz w:val="20"/>
              </w:rPr>
              <w:t xml:space="preserve">21 792,6</w:t>
            </w:r>
          </w:p>
        </w:tc>
        <w:tc>
          <w:tcPr>
            <w:tcW w:w="1020" w:type="dxa"/>
            <w:vAlign w:val="center"/>
            <w:tcBorders>
              <w:top w:val="nil"/>
              <w:left w:val="nil"/>
              <w:bottom w:val="nil"/>
              <w:right w:val="nil"/>
            </w:tcBorders>
          </w:tcPr>
          <w:p>
            <w:pPr>
              <w:pStyle w:val="0"/>
              <w:jc w:val="center"/>
            </w:pPr>
            <w:r>
              <w:rPr>
                <w:sz w:val="20"/>
              </w:rPr>
              <w:t xml:space="preserve">22 636,3</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11,2</w:t>
            </w:r>
          </w:p>
        </w:tc>
        <w:tc>
          <w:tcPr>
            <w:tcW w:w="1020" w:type="dxa"/>
            <w:vAlign w:val="center"/>
            <w:tcBorders>
              <w:top w:val="nil"/>
              <w:left w:val="nil"/>
              <w:bottom w:val="nil"/>
              <w:right w:val="nil"/>
            </w:tcBorders>
          </w:tcPr>
          <w:p>
            <w:pPr>
              <w:pStyle w:val="0"/>
              <w:jc w:val="center"/>
            </w:pPr>
            <w:r>
              <w:rPr>
                <w:sz w:val="20"/>
              </w:rPr>
              <w:t xml:space="preserve">12,5</w:t>
            </w:r>
          </w:p>
        </w:tc>
        <w:tc>
          <w:tcPr>
            <w:tcW w:w="1020" w:type="dxa"/>
            <w:vAlign w:val="center"/>
            <w:tcBorders>
              <w:top w:val="nil"/>
              <w:left w:val="nil"/>
              <w:bottom w:val="nil"/>
              <w:right w:val="nil"/>
            </w:tcBorders>
          </w:tcPr>
          <w:p>
            <w:pPr>
              <w:pStyle w:val="0"/>
              <w:jc w:val="center"/>
            </w:pPr>
            <w:r>
              <w:rPr>
                <w:sz w:val="20"/>
              </w:rPr>
              <w:t xml:space="preserve">12,0</w:t>
            </w:r>
          </w:p>
        </w:tc>
        <w:tc>
          <w:tcPr>
            <w:tcW w:w="1191" w:type="dxa"/>
            <w:vAlign w:val="center"/>
            <w:tcBorders>
              <w:top w:val="nil"/>
              <w:left w:val="nil"/>
              <w:bottom w:val="nil"/>
              <w:right w:val="nil"/>
            </w:tcBorders>
          </w:tcPr>
          <w:p>
            <w:pPr>
              <w:pStyle w:val="0"/>
              <w:jc w:val="center"/>
            </w:pPr>
            <w:r>
              <w:rPr>
                <w:sz w:val="20"/>
              </w:rPr>
              <w:t xml:space="preserve">10,6</w:t>
            </w:r>
          </w:p>
        </w:tc>
        <w:tc>
          <w:tcPr>
            <w:tcW w:w="1247" w:type="dxa"/>
            <w:vAlign w:val="center"/>
            <w:tcBorders>
              <w:top w:val="nil"/>
              <w:left w:val="nil"/>
              <w:bottom w:val="nil"/>
              <w:right w:val="nil"/>
            </w:tcBorders>
          </w:tcPr>
          <w:p>
            <w:pPr>
              <w:pStyle w:val="0"/>
              <w:jc w:val="center"/>
            </w:pPr>
            <w:r>
              <w:rPr>
                <w:sz w:val="20"/>
              </w:rPr>
              <w:t xml:space="preserve">11,9</w:t>
            </w:r>
          </w:p>
        </w:tc>
        <w:tc>
          <w:tcPr>
            <w:tcW w:w="1020" w:type="dxa"/>
            <w:vAlign w:val="center"/>
            <w:tcBorders>
              <w:top w:val="nil"/>
              <w:left w:val="nil"/>
              <w:bottom w:val="nil"/>
              <w:right w:val="nil"/>
            </w:tcBorders>
          </w:tcPr>
          <w:p>
            <w:pPr>
              <w:pStyle w:val="0"/>
              <w:jc w:val="center"/>
            </w:pPr>
            <w:r>
              <w:rPr>
                <w:sz w:val="20"/>
              </w:rPr>
              <w:t xml:space="preserve">13,1</w:t>
            </w:r>
          </w:p>
        </w:tc>
        <w:tc>
          <w:tcPr>
            <w:tcW w:w="1020" w:type="dxa"/>
            <w:vAlign w:val="center"/>
            <w:tcBorders>
              <w:top w:val="nil"/>
              <w:left w:val="nil"/>
              <w:bottom w:val="nil"/>
              <w:right w:val="nil"/>
            </w:tcBorders>
          </w:tcPr>
          <w:p>
            <w:pPr>
              <w:pStyle w:val="0"/>
              <w:jc w:val="center"/>
            </w:pPr>
            <w:r>
              <w:rPr>
                <w:sz w:val="20"/>
              </w:rPr>
              <w:t xml:space="preserve">11,4</w:t>
            </w:r>
          </w:p>
        </w:tc>
        <w:tc>
          <w:tcPr>
            <w:tcW w:w="1020" w:type="dxa"/>
            <w:vAlign w:val="center"/>
            <w:tcBorders>
              <w:top w:val="nil"/>
              <w:left w:val="nil"/>
              <w:bottom w:val="nil"/>
              <w:right w:val="nil"/>
            </w:tcBorders>
          </w:tcPr>
          <w:p>
            <w:pPr>
              <w:pStyle w:val="0"/>
              <w:jc w:val="center"/>
            </w:pPr>
            <w:r>
              <w:rPr>
                <w:sz w:val="20"/>
              </w:rPr>
              <w:t xml:space="preserve">11,2</w:t>
            </w:r>
          </w:p>
        </w:tc>
      </w:tr>
      <w:tr>
        <w:tc>
          <w:tcPr>
            <w:tcW w:w="2154" w:type="dxa"/>
            <w:tcBorders>
              <w:top w:val="nil"/>
              <w:left w:val="nil"/>
              <w:bottom w:val="nil"/>
              <w:right w:val="nil"/>
            </w:tcBorders>
          </w:tcPr>
          <w:p>
            <w:pPr>
              <w:pStyle w:val="0"/>
            </w:pPr>
            <w:r>
              <w:rPr>
                <w:sz w:val="20"/>
              </w:rPr>
              <w:t xml:space="preserve">Оборотные налоги</w:t>
            </w:r>
          </w:p>
          <w:p>
            <w:pPr>
              <w:pStyle w:val="0"/>
            </w:pPr>
            <w:r>
              <w:rPr>
                <w:sz w:val="20"/>
              </w:rPr>
              <w:t xml:space="preserve">(НДС, акцизы </w:t>
            </w:r>
            <w:hyperlink w:history="0" w:anchor="P1553" w:tooltip="&lt;**&gt; за исключением акциза на природный газ и жидкую сталь;">
              <w:r>
                <w:rPr>
                  <w:sz w:val="20"/>
                  <w:color w:val="0000ff"/>
                </w:rPr>
                <w:t xml:space="preserve">&lt;**&gt;</w:t>
              </w:r>
            </w:hyperlink>
            <w:r>
              <w:rPr>
                <w:sz w:val="20"/>
              </w:rPr>
              <w:t xml:space="preserve">, пошлины)</w:t>
            </w:r>
          </w:p>
        </w:tc>
        <w:tc>
          <w:tcPr>
            <w:tcW w:w="1020" w:type="dxa"/>
            <w:vAlign w:val="center"/>
            <w:tcBorders>
              <w:top w:val="nil"/>
              <w:left w:val="nil"/>
              <w:bottom w:val="nil"/>
              <w:right w:val="nil"/>
            </w:tcBorders>
          </w:tcPr>
          <w:p>
            <w:pPr>
              <w:pStyle w:val="0"/>
              <w:jc w:val="center"/>
            </w:pPr>
            <w:r>
              <w:rPr>
                <w:sz w:val="20"/>
              </w:rPr>
              <w:t xml:space="preserve">8 785,4</w:t>
            </w:r>
          </w:p>
        </w:tc>
        <w:tc>
          <w:tcPr>
            <w:tcW w:w="1020" w:type="dxa"/>
            <w:vAlign w:val="center"/>
            <w:tcBorders>
              <w:top w:val="nil"/>
              <w:left w:val="nil"/>
              <w:bottom w:val="nil"/>
              <w:right w:val="nil"/>
            </w:tcBorders>
          </w:tcPr>
          <w:p>
            <w:pPr>
              <w:pStyle w:val="0"/>
              <w:jc w:val="center"/>
            </w:pPr>
            <w:r>
              <w:rPr>
                <w:sz w:val="20"/>
              </w:rPr>
              <w:t xml:space="preserve">8 870,4</w:t>
            </w:r>
          </w:p>
        </w:tc>
        <w:tc>
          <w:tcPr>
            <w:tcW w:w="1020" w:type="dxa"/>
            <w:vAlign w:val="center"/>
            <w:tcBorders>
              <w:top w:val="nil"/>
              <w:left w:val="nil"/>
              <w:bottom w:val="nil"/>
              <w:right w:val="nil"/>
            </w:tcBorders>
          </w:tcPr>
          <w:p>
            <w:pPr>
              <w:pStyle w:val="0"/>
              <w:jc w:val="center"/>
            </w:pPr>
            <w:r>
              <w:rPr>
                <w:sz w:val="20"/>
              </w:rPr>
              <w:t xml:space="preserve">11 145,3</w:t>
            </w:r>
          </w:p>
        </w:tc>
        <w:tc>
          <w:tcPr>
            <w:tcW w:w="1191" w:type="dxa"/>
            <w:vAlign w:val="center"/>
            <w:tcBorders>
              <w:top w:val="nil"/>
              <w:left w:val="nil"/>
              <w:bottom w:val="nil"/>
              <w:right w:val="nil"/>
            </w:tcBorders>
          </w:tcPr>
          <w:p>
            <w:pPr>
              <w:pStyle w:val="0"/>
              <w:jc w:val="center"/>
            </w:pPr>
            <w:r>
              <w:rPr>
                <w:sz w:val="20"/>
              </w:rPr>
              <w:t xml:space="preserve">11 114,4</w:t>
            </w:r>
          </w:p>
        </w:tc>
        <w:tc>
          <w:tcPr>
            <w:tcW w:w="1247" w:type="dxa"/>
            <w:vAlign w:val="center"/>
            <w:tcBorders>
              <w:top w:val="nil"/>
              <w:left w:val="nil"/>
              <w:bottom w:val="nil"/>
              <w:right w:val="nil"/>
            </w:tcBorders>
          </w:tcPr>
          <w:p>
            <w:pPr>
              <w:pStyle w:val="0"/>
              <w:jc w:val="center"/>
            </w:pPr>
            <w:r>
              <w:rPr>
                <w:sz w:val="20"/>
              </w:rPr>
              <w:t xml:space="preserve">13 641,3</w:t>
            </w:r>
          </w:p>
        </w:tc>
        <w:tc>
          <w:tcPr>
            <w:tcW w:w="1020" w:type="dxa"/>
            <w:vAlign w:val="center"/>
            <w:tcBorders>
              <w:top w:val="nil"/>
              <w:left w:val="nil"/>
              <w:bottom w:val="nil"/>
              <w:right w:val="nil"/>
            </w:tcBorders>
          </w:tcPr>
          <w:p>
            <w:pPr>
              <w:pStyle w:val="0"/>
              <w:jc w:val="center"/>
            </w:pPr>
            <w:r>
              <w:rPr>
                <w:sz w:val="20"/>
              </w:rPr>
              <w:t xml:space="preserve">14 782,5</w:t>
            </w:r>
          </w:p>
        </w:tc>
        <w:tc>
          <w:tcPr>
            <w:tcW w:w="1020" w:type="dxa"/>
            <w:vAlign w:val="center"/>
            <w:tcBorders>
              <w:top w:val="nil"/>
              <w:left w:val="nil"/>
              <w:bottom w:val="nil"/>
              <w:right w:val="nil"/>
            </w:tcBorders>
          </w:tcPr>
          <w:p>
            <w:pPr>
              <w:pStyle w:val="0"/>
              <w:jc w:val="center"/>
            </w:pPr>
            <w:r>
              <w:rPr>
                <w:sz w:val="20"/>
              </w:rPr>
              <w:t xml:space="preserve">15 615,0</w:t>
            </w:r>
          </w:p>
        </w:tc>
        <w:tc>
          <w:tcPr>
            <w:tcW w:w="1020" w:type="dxa"/>
            <w:vAlign w:val="center"/>
            <w:tcBorders>
              <w:top w:val="nil"/>
              <w:left w:val="nil"/>
              <w:bottom w:val="nil"/>
              <w:right w:val="nil"/>
            </w:tcBorders>
          </w:tcPr>
          <w:p>
            <w:pPr>
              <w:pStyle w:val="0"/>
              <w:jc w:val="center"/>
            </w:pPr>
            <w:r>
              <w:rPr>
                <w:sz w:val="20"/>
              </w:rPr>
              <w:t xml:space="preserve">16 457,9</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8,0</w:t>
            </w:r>
          </w:p>
        </w:tc>
        <w:tc>
          <w:tcPr>
            <w:tcW w:w="1020" w:type="dxa"/>
            <w:vAlign w:val="center"/>
            <w:tcBorders>
              <w:top w:val="nil"/>
              <w:left w:val="nil"/>
              <w:bottom w:val="nil"/>
              <w:right w:val="nil"/>
            </w:tcBorders>
          </w:tcPr>
          <w:p>
            <w:pPr>
              <w:pStyle w:val="0"/>
              <w:jc w:val="center"/>
            </w:pPr>
            <w:r>
              <w:rPr>
                <w:sz w:val="20"/>
              </w:rPr>
              <w:t xml:space="preserve">8,2</w:t>
            </w:r>
          </w:p>
        </w:tc>
        <w:tc>
          <w:tcPr>
            <w:tcW w:w="1020" w:type="dxa"/>
            <w:vAlign w:val="center"/>
            <w:tcBorders>
              <w:top w:val="nil"/>
              <w:left w:val="nil"/>
              <w:bottom w:val="nil"/>
              <w:right w:val="nil"/>
            </w:tcBorders>
          </w:tcPr>
          <w:p>
            <w:pPr>
              <w:pStyle w:val="0"/>
              <w:jc w:val="center"/>
            </w:pPr>
            <w:r>
              <w:rPr>
                <w:sz w:val="20"/>
              </w:rPr>
              <w:t xml:space="preserve">8,2</w:t>
            </w:r>
          </w:p>
        </w:tc>
        <w:tc>
          <w:tcPr>
            <w:tcW w:w="1191" w:type="dxa"/>
            <w:vAlign w:val="center"/>
            <w:tcBorders>
              <w:top w:val="nil"/>
              <w:left w:val="nil"/>
              <w:bottom w:val="nil"/>
              <w:right w:val="nil"/>
            </w:tcBorders>
          </w:tcPr>
          <w:p>
            <w:pPr>
              <w:pStyle w:val="0"/>
              <w:jc w:val="center"/>
            </w:pPr>
            <w:r>
              <w:rPr>
                <w:sz w:val="20"/>
              </w:rPr>
              <w:t xml:space="preserve">7,2</w:t>
            </w:r>
          </w:p>
        </w:tc>
        <w:tc>
          <w:tcPr>
            <w:tcW w:w="1247" w:type="dxa"/>
            <w:vAlign w:val="center"/>
            <w:tcBorders>
              <w:top w:val="nil"/>
              <w:left w:val="nil"/>
              <w:bottom w:val="nil"/>
              <w:right w:val="nil"/>
            </w:tcBorders>
          </w:tcPr>
          <w:p>
            <w:pPr>
              <w:pStyle w:val="0"/>
              <w:jc w:val="center"/>
            </w:pPr>
            <w:r>
              <w:rPr>
                <w:sz w:val="20"/>
              </w:rPr>
              <w:t xml:space="preserve">8,2</w:t>
            </w:r>
          </w:p>
        </w:tc>
        <w:tc>
          <w:tcPr>
            <w:tcW w:w="1020" w:type="dxa"/>
            <w:vAlign w:val="center"/>
            <w:tcBorders>
              <w:top w:val="nil"/>
              <w:left w:val="nil"/>
              <w:bottom w:val="nil"/>
              <w:right w:val="nil"/>
            </w:tcBorders>
          </w:tcPr>
          <w:p>
            <w:pPr>
              <w:pStyle w:val="0"/>
              <w:jc w:val="center"/>
            </w:pPr>
            <w:r>
              <w:rPr>
                <w:sz w:val="20"/>
              </w:rPr>
              <w:t xml:space="preserve">8,2</w:t>
            </w:r>
          </w:p>
        </w:tc>
        <w:tc>
          <w:tcPr>
            <w:tcW w:w="1020" w:type="dxa"/>
            <w:vAlign w:val="center"/>
            <w:tcBorders>
              <w:top w:val="nil"/>
              <w:left w:val="nil"/>
              <w:bottom w:val="nil"/>
              <w:right w:val="nil"/>
            </w:tcBorders>
          </w:tcPr>
          <w:p>
            <w:pPr>
              <w:pStyle w:val="0"/>
              <w:jc w:val="center"/>
            </w:pPr>
            <w:r>
              <w:rPr>
                <w:sz w:val="20"/>
              </w:rPr>
              <w:t xml:space="preserve">8,2</w:t>
            </w:r>
          </w:p>
        </w:tc>
        <w:tc>
          <w:tcPr>
            <w:tcW w:w="1020" w:type="dxa"/>
            <w:vAlign w:val="center"/>
            <w:tcBorders>
              <w:top w:val="nil"/>
              <w:left w:val="nil"/>
              <w:bottom w:val="nil"/>
              <w:right w:val="nil"/>
            </w:tcBorders>
          </w:tcPr>
          <w:p>
            <w:pPr>
              <w:pStyle w:val="0"/>
              <w:jc w:val="center"/>
            </w:pPr>
            <w:r>
              <w:rPr>
                <w:sz w:val="20"/>
              </w:rPr>
              <w:t xml:space="preserve">8,1</w:t>
            </w:r>
          </w:p>
        </w:tc>
      </w:tr>
      <w:tr>
        <w:tc>
          <w:tcPr>
            <w:tcW w:w="2154" w:type="dxa"/>
            <w:tcBorders>
              <w:top w:val="nil"/>
              <w:left w:val="nil"/>
              <w:bottom w:val="nil"/>
              <w:right w:val="nil"/>
            </w:tcBorders>
          </w:tcPr>
          <w:p>
            <w:pPr>
              <w:pStyle w:val="0"/>
            </w:pPr>
            <w:r>
              <w:rPr>
                <w:sz w:val="20"/>
              </w:rPr>
              <w:t xml:space="preserve">Налоги на доходы</w:t>
            </w:r>
          </w:p>
        </w:tc>
        <w:tc>
          <w:tcPr>
            <w:tcW w:w="1020" w:type="dxa"/>
            <w:vAlign w:val="center"/>
            <w:tcBorders>
              <w:top w:val="nil"/>
              <w:left w:val="nil"/>
              <w:bottom w:val="nil"/>
              <w:right w:val="nil"/>
            </w:tcBorders>
          </w:tcPr>
          <w:p>
            <w:pPr>
              <w:pStyle w:val="0"/>
              <w:jc w:val="center"/>
            </w:pPr>
            <w:r>
              <w:rPr>
                <w:sz w:val="20"/>
              </w:rPr>
              <w:t xml:space="preserve">1 185,0</w:t>
            </w:r>
          </w:p>
        </w:tc>
        <w:tc>
          <w:tcPr>
            <w:tcW w:w="1020" w:type="dxa"/>
            <w:vAlign w:val="center"/>
            <w:tcBorders>
              <w:top w:val="nil"/>
              <w:left w:val="nil"/>
              <w:bottom w:val="nil"/>
              <w:right w:val="nil"/>
            </w:tcBorders>
          </w:tcPr>
          <w:p>
            <w:pPr>
              <w:pStyle w:val="0"/>
              <w:jc w:val="center"/>
            </w:pPr>
            <w:r>
              <w:rPr>
                <w:sz w:val="20"/>
              </w:rPr>
              <w:t xml:space="preserve">1 091,4</w:t>
            </w:r>
          </w:p>
        </w:tc>
        <w:tc>
          <w:tcPr>
            <w:tcW w:w="1020" w:type="dxa"/>
            <w:vAlign w:val="center"/>
            <w:tcBorders>
              <w:top w:val="nil"/>
              <w:left w:val="nil"/>
              <w:bottom w:val="nil"/>
              <w:right w:val="nil"/>
            </w:tcBorders>
          </w:tcPr>
          <w:p>
            <w:pPr>
              <w:pStyle w:val="0"/>
              <w:jc w:val="center"/>
            </w:pPr>
            <w:r>
              <w:rPr>
                <w:sz w:val="20"/>
              </w:rPr>
              <w:t xml:space="preserve">1 643,1</w:t>
            </w:r>
          </w:p>
        </w:tc>
        <w:tc>
          <w:tcPr>
            <w:tcW w:w="1191" w:type="dxa"/>
            <w:vAlign w:val="center"/>
            <w:tcBorders>
              <w:top w:val="nil"/>
              <w:left w:val="nil"/>
              <w:bottom w:val="nil"/>
              <w:right w:val="nil"/>
            </w:tcBorders>
          </w:tcPr>
          <w:p>
            <w:pPr>
              <w:pStyle w:val="0"/>
              <w:jc w:val="center"/>
            </w:pPr>
            <w:r>
              <w:rPr>
                <w:sz w:val="20"/>
              </w:rPr>
              <w:t xml:space="preserve">1 818,5</w:t>
            </w:r>
          </w:p>
        </w:tc>
        <w:tc>
          <w:tcPr>
            <w:tcW w:w="1247" w:type="dxa"/>
            <w:vAlign w:val="center"/>
            <w:tcBorders>
              <w:top w:val="nil"/>
              <w:left w:val="nil"/>
              <w:bottom w:val="nil"/>
              <w:right w:val="nil"/>
            </w:tcBorders>
          </w:tcPr>
          <w:p>
            <w:pPr>
              <w:pStyle w:val="0"/>
              <w:jc w:val="center"/>
            </w:pPr>
            <w:r>
              <w:rPr>
                <w:sz w:val="20"/>
              </w:rPr>
              <w:t xml:space="preserve">1 987,6</w:t>
            </w:r>
          </w:p>
        </w:tc>
        <w:tc>
          <w:tcPr>
            <w:tcW w:w="1020" w:type="dxa"/>
            <w:vAlign w:val="center"/>
            <w:tcBorders>
              <w:top w:val="nil"/>
              <w:left w:val="nil"/>
              <w:bottom w:val="nil"/>
              <w:right w:val="nil"/>
            </w:tcBorders>
          </w:tcPr>
          <w:p>
            <w:pPr>
              <w:pStyle w:val="0"/>
              <w:jc w:val="center"/>
            </w:pPr>
            <w:r>
              <w:rPr>
                <w:sz w:val="20"/>
              </w:rPr>
              <w:t xml:space="preserve">2 209,9</w:t>
            </w:r>
          </w:p>
        </w:tc>
        <w:tc>
          <w:tcPr>
            <w:tcW w:w="1020" w:type="dxa"/>
            <w:vAlign w:val="center"/>
            <w:tcBorders>
              <w:top w:val="nil"/>
              <w:left w:val="nil"/>
              <w:bottom w:val="nil"/>
              <w:right w:val="nil"/>
            </w:tcBorders>
          </w:tcPr>
          <w:p>
            <w:pPr>
              <w:pStyle w:val="0"/>
              <w:jc w:val="center"/>
            </w:pPr>
            <w:r>
              <w:rPr>
                <w:sz w:val="20"/>
              </w:rPr>
              <w:t xml:space="preserve">2 295,2</w:t>
            </w:r>
          </w:p>
        </w:tc>
        <w:tc>
          <w:tcPr>
            <w:tcW w:w="1020" w:type="dxa"/>
            <w:vAlign w:val="center"/>
            <w:tcBorders>
              <w:top w:val="nil"/>
              <w:left w:val="nil"/>
              <w:bottom w:val="nil"/>
              <w:right w:val="nil"/>
            </w:tcBorders>
          </w:tcPr>
          <w:p>
            <w:pPr>
              <w:pStyle w:val="0"/>
              <w:jc w:val="center"/>
            </w:pPr>
            <w:r>
              <w:rPr>
                <w:sz w:val="20"/>
              </w:rPr>
              <w:t xml:space="preserve">2 359,2</w:t>
            </w:r>
          </w:p>
        </w:tc>
      </w:tr>
      <w:tr>
        <w:tc>
          <w:tcPr>
            <w:tcW w:w="2154" w:type="dxa"/>
            <w:tcBorders>
              <w:top w:val="nil"/>
              <w:left w:val="nil"/>
              <w:bottom w:val="nil"/>
              <w:right w:val="nil"/>
            </w:tcBorders>
          </w:tcPr>
          <w:p>
            <w:pPr>
              <w:pStyle w:val="0"/>
            </w:pPr>
            <w:r>
              <w:rPr>
                <w:sz w:val="20"/>
              </w:rPr>
              <w:t xml:space="preserve">Дивиденды (вкл Сбербанк)</w:t>
            </w:r>
          </w:p>
        </w:tc>
        <w:tc>
          <w:tcPr>
            <w:tcW w:w="1020" w:type="dxa"/>
            <w:vAlign w:val="center"/>
            <w:tcBorders>
              <w:top w:val="nil"/>
              <w:left w:val="nil"/>
              <w:bottom w:val="nil"/>
              <w:right w:val="nil"/>
            </w:tcBorders>
          </w:tcPr>
          <w:p>
            <w:pPr>
              <w:pStyle w:val="0"/>
              <w:jc w:val="center"/>
            </w:pPr>
            <w:r>
              <w:rPr>
                <w:sz w:val="20"/>
              </w:rPr>
              <w:t xml:space="preserve">622,3</w:t>
            </w:r>
          </w:p>
        </w:tc>
        <w:tc>
          <w:tcPr>
            <w:tcW w:w="1020" w:type="dxa"/>
            <w:vAlign w:val="center"/>
            <w:tcBorders>
              <w:top w:val="nil"/>
              <w:left w:val="nil"/>
              <w:bottom w:val="nil"/>
              <w:right w:val="nil"/>
            </w:tcBorders>
          </w:tcPr>
          <w:p>
            <w:pPr>
              <w:pStyle w:val="0"/>
              <w:jc w:val="center"/>
            </w:pPr>
            <w:r>
              <w:rPr>
                <w:sz w:val="20"/>
              </w:rPr>
              <w:t xml:space="preserve">633,9</w:t>
            </w:r>
          </w:p>
        </w:tc>
        <w:tc>
          <w:tcPr>
            <w:tcW w:w="1020" w:type="dxa"/>
            <w:vAlign w:val="center"/>
            <w:tcBorders>
              <w:top w:val="nil"/>
              <w:left w:val="nil"/>
              <w:bottom w:val="nil"/>
              <w:right w:val="nil"/>
            </w:tcBorders>
          </w:tcPr>
          <w:p>
            <w:pPr>
              <w:pStyle w:val="0"/>
              <w:jc w:val="center"/>
            </w:pPr>
            <w:r>
              <w:rPr>
                <w:sz w:val="20"/>
              </w:rPr>
              <w:t xml:space="preserve">550,7</w:t>
            </w:r>
          </w:p>
        </w:tc>
        <w:tc>
          <w:tcPr>
            <w:tcW w:w="1191" w:type="dxa"/>
            <w:vAlign w:val="center"/>
            <w:tcBorders>
              <w:top w:val="nil"/>
              <w:left w:val="nil"/>
              <w:bottom w:val="nil"/>
              <w:right w:val="nil"/>
            </w:tcBorders>
          </w:tcPr>
          <w:p>
            <w:pPr>
              <w:pStyle w:val="0"/>
              <w:jc w:val="center"/>
            </w:pPr>
            <w:r>
              <w:rPr>
                <w:sz w:val="20"/>
              </w:rPr>
              <w:t xml:space="preserve">753,5</w:t>
            </w:r>
          </w:p>
        </w:tc>
        <w:tc>
          <w:tcPr>
            <w:tcW w:w="1247" w:type="dxa"/>
            <w:vAlign w:val="center"/>
            <w:tcBorders>
              <w:top w:val="nil"/>
              <w:left w:val="nil"/>
              <w:bottom w:val="nil"/>
              <w:right w:val="nil"/>
            </w:tcBorders>
          </w:tcPr>
          <w:p>
            <w:pPr>
              <w:pStyle w:val="0"/>
              <w:jc w:val="center"/>
            </w:pPr>
            <w:r>
              <w:rPr>
                <w:sz w:val="20"/>
              </w:rPr>
              <w:t xml:space="preserve">619,0</w:t>
            </w:r>
          </w:p>
        </w:tc>
        <w:tc>
          <w:tcPr>
            <w:tcW w:w="1020" w:type="dxa"/>
            <w:vAlign w:val="center"/>
            <w:tcBorders>
              <w:top w:val="nil"/>
              <w:left w:val="nil"/>
              <w:bottom w:val="nil"/>
              <w:right w:val="nil"/>
            </w:tcBorders>
          </w:tcPr>
          <w:p>
            <w:pPr>
              <w:pStyle w:val="0"/>
              <w:jc w:val="center"/>
            </w:pPr>
            <w:r>
              <w:rPr>
                <w:sz w:val="20"/>
              </w:rPr>
              <w:t xml:space="preserve">652,3</w:t>
            </w:r>
          </w:p>
        </w:tc>
        <w:tc>
          <w:tcPr>
            <w:tcW w:w="1020" w:type="dxa"/>
            <w:vAlign w:val="center"/>
            <w:tcBorders>
              <w:top w:val="nil"/>
              <w:left w:val="nil"/>
              <w:bottom w:val="nil"/>
              <w:right w:val="nil"/>
            </w:tcBorders>
          </w:tcPr>
          <w:p>
            <w:pPr>
              <w:pStyle w:val="0"/>
              <w:jc w:val="center"/>
            </w:pPr>
            <w:r>
              <w:rPr>
                <w:sz w:val="20"/>
              </w:rPr>
              <w:t xml:space="preserve">586,9</w:t>
            </w:r>
          </w:p>
        </w:tc>
        <w:tc>
          <w:tcPr>
            <w:tcW w:w="1020" w:type="dxa"/>
            <w:vAlign w:val="center"/>
            <w:tcBorders>
              <w:top w:val="nil"/>
              <w:left w:val="nil"/>
              <w:bottom w:val="nil"/>
              <w:right w:val="nil"/>
            </w:tcBorders>
          </w:tcPr>
          <w:p>
            <w:pPr>
              <w:pStyle w:val="0"/>
              <w:jc w:val="center"/>
            </w:pPr>
            <w:r>
              <w:rPr>
                <w:sz w:val="20"/>
              </w:rPr>
              <w:t xml:space="preserve">623,1</w:t>
            </w:r>
          </w:p>
        </w:tc>
      </w:tr>
      <w:tr>
        <w:tc>
          <w:tcPr>
            <w:tcW w:w="2154" w:type="dxa"/>
            <w:tcBorders>
              <w:top w:val="nil"/>
              <w:left w:val="nil"/>
              <w:bottom w:val="nil"/>
              <w:right w:val="nil"/>
            </w:tcBorders>
          </w:tcPr>
          <w:p>
            <w:pPr>
              <w:pStyle w:val="0"/>
            </w:pPr>
            <w:r>
              <w:rPr>
                <w:sz w:val="20"/>
              </w:rPr>
              <w:t xml:space="preserve">Рентные налоги ГМК (НДПИ, ЭП, акциз на сталь)</w:t>
            </w:r>
          </w:p>
        </w:tc>
        <w:tc>
          <w:tcPr>
            <w:tcW w:w="1020" w:type="dxa"/>
            <w:vAlign w:val="center"/>
            <w:tcBorders>
              <w:top w:val="nil"/>
              <w:left w:val="nil"/>
              <w:bottom w:val="nil"/>
              <w:right w:val="nil"/>
            </w:tcBorders>
          </w:tcPr>
          <w:p>
            <w:pPr>
              <w:pStyle w:val="0"/>
              <w:jc w:val="center"/>
            </w:pPr>
            <w:r>
              <w:rPr>
                <w:sz w:val="20"/>
              </w:rPr>
              <w:t xml:space="preserve">53,2</w:t>
            </w:r>
          </w:p>
        </w:tc>
        <w:tc>
          <w:tcPr>
            <w:tcW w:w="1020" w:type="dxa"/>
            <w:vAlign w:val="center"/>
            <w:tcBorders>
              <w:top w:val="nil"/>
              <w:left w:val="nil"/>
              <w:bottom w:val="nil"/>
              <w:right w:val="nil"/>
            </w:tcBorders>
          </w:tcPr>
          <w:p>
            <w:pPr>
              <w:pStyle w:val="0"/>
              <w:jc w:val="center"/>
            </w:pPr>
            <w:r>
              <w:rPr>
                <w:sz w:val="20"/>
              </w:rPr>
              <w:t xml:space="preserve">53,2</w:t>
            </w:r>
          </w:p>
        </w:tc>
        <w:tc>
          <w:tcPr>
            <w:tcW w:w="1020" w:type="dxa"/>
            <w:vAlign w:val="center"/>
            <w:tcBorders>
              <w:top w:val="nil"/>
              <w:left w:val="nil"/>
              <w:bottom w:val="nil"/>
              <w:right w:val="nil"/>
            </w:tcBorders>
          </w:tcPr>
          <w:p>
            <w:pPr>
              <w:pStyle w:val="0"/>
              <w:jc w:val="center"/>
            </w:pPr>
            <w:r>
              <w:rPr>
                <w:sz w:val="20"/>
              </w:rPr>
              <w:t xml:space="preserve">332,3</w:t>
            </w:r>
          </w:p>
        </w:tc>
        <w:tc>
          <w:tcPr>
            <w:tcW w:w="1191" w:type="dxa"/>
            <w:vAlign w:val="center"/>
            <w:tcBorders>
              <w:top w:val="nil"/>
              <w:left w:val="nil"/>
              <w:bottom w:val="nil"/>
              <w:right w:val="nil"/>
            </w:tcBorders>
          </w:tcPr>
          <w:p>
            <w:pPr>
              <w:pStyle w:val="0"/>
              <w:jc w:val="center"/>
            </w:pPr>
            <w:r>
              <w:rPr>
                <w:sz w:val="20"/>
              </w:rPr>
              <w:t xml:space="preserve">239,7</w:t>
            </w:r>
          </w:p>
        </w:tc>
        <w:tc>
          <w:tcPr>
            <w:tcW w:w="1247" w:type="dxa"/>
            <w:vAlign w:val="center"/>
            <w:tcBorders>
              <w:top w:val="nil"/>
              <w:left w:val="nil"/>
              <w:bottom w:val="nil"/>
              <w:right w:val="nil"/>
            </w:tcBorders>
          </w:tcPr>
          <w:p>
            <w:pPr>
              <w:pStyle w:val="0"/>
              <w:jc w:val="center"/>
            </w:pPr>
            <w:r>
              <w:rPr>
                <w:sz w:val="20"/>
              </w:rPr>
              <w:t xml:space="preserve">314,3</w:t>
            </w:r>
          </w:p>
        </w:tc>
        <w:tc>
          <w:tcPr>
            <w:tcW w:w="1020" w:type="dxa"/>
            <w:vAlign w:val="center"/>
            <w:tcBorders>
              <w:top w:val="nil"/>
              <w:left w:val="nil"/>
              <w:bottom w:val="nil"/>
              <w:right w:val="nil"/>
            </w:tcBorders>
          </w:tcPr>
          <w:p>
            <w:pPr>
              <w:pStyle w:val="0"/>
              <w:jc w:val="center"/>
            </w:pPr>
            <w:r>
              <w:rPr>
                <w:sz w:val="20"/>
              </w:rPr>
              <w:t xml:space="preserve">328,3</w:t>
            </w:r>
          </w:p>
        </w:tc>
        <w:tc>
          <w:tcPr>
            <w:tcW w:w="1020" w:type="dxa"/>
            <w:vAlign w:val="center"/>
            <w:tcBorders>
              <w:top w:val="nil"/>
              <w:left w:val="nil"/>
              <w:bottom w:val="nil"/>
              <w:right w:val="nil"/>
            </w:tcBorders>
          </w:tcPr>
          <w:p>
            <w:pPr>
              <w:pStyle w:val="0"/>
              <w:jc w:val="center"/>
            </w:pPr>
            <w:r>
              <w:rPr>
                <w:sz w:val="20"/>
              </w:rPr>
              <w:t xml:space="preserve">264,9</w:t>
            </w:r>
          </w:p>
        </w:tc>
        <w:tc>
          <w:tcPr>
            <w:tcW w:w="1020" w:type="dxa"/>
            <w:vAlign w:val="center"/>
            <w:tcBorders>
              <w:top w:val="nil"/>
              <w:left w:val="nil"/>
              <w:bottom w:val="nil"/>
              <w:right w:val="nil"/>
            </w:tcBorders>
          </w:tcPr>
          <w:p>
            <w:pPr>
              <w:pStyle w:val="0"/>
              <w:jc w:val="center"/>
            </w:pPr>
            <w:r>
              <w:rPr>
                <w:sz w:val="20"/>
              </w:rPr>
              <w:t xml:space="preserve">268,7</w:t>
            </w:r>
          </w:p>
        </w:tc>
      </w:tr>
      <w:tr>
        <w:tc>
          <w:tcPr>
            <w:tcW w:w="2154" w:type="dxa"/>
            <w:tcBorders>
              <w:top w:val="nil"/>
              <w:left w:val="nil"/>
              <w:bottom w:val="nil"/>
              <w:right w:val="nil"/>
            </w:tcBorders>
          </w:tcPr>
          <w:p>
            <w:pPr>
              <w:pStyle w:val="0"/>
            </w:pPr>
            <w:r>
              <w:rPr>
                <w:sz w:val="20"/>
              </w:rPr>
              <w:t xml:space="preserve">Другие доходы</w:t>
            </w:r>
          </w:p>
        </w:tc>
        <w:tc>
          <w:tcPr>
            <w:tcW w:w="1020" w:type="dxa"/>
            <w:vAlign w:val="center"/>
            <w:tcBorders>
              <w:top w:val="nil"/>
              <w:left w:val="nil"/>
              <w:bottom w:val="nil"/>
              <w:right w:val="nil"/>
            </w:tcBorders>
          </w:tcPr>
          <w:p>
            <w:pPr>
              <w:pStyle w:val="0"/>
              <w:jc w:val="center"/>
            </w:pPr>
            <w:r>
              <w:rPr>
                <w:sz w:val="20"/>
              </w:rPr>
              <w:t xml:space="preserve">1 618,6</w:t>
            </w:r>
          </w:p>
        </w:tc>
        <w:tc>
          <w:tcPr>
            <w:tcW w:w="1020" w:type="dxa"/>
            <w:vAlign w:val="center"/>
            <w:tcBorders>
              <w:top w:val="nil"/>
              <w:left w:val="nil"/>
              <w:bottom w:val="nil"/>
              <w:right w:val="nil"/>
            </w:tcBorders>
          </w:tcPr>
          <w:p>
            <w:pPr>
              <w:pStyle w:val="0"/>
              <w:jc w:val="center"/>
            </w:pPr>
            <w:r>
              <w:rPr>
                <w:sz w:val="20"/>
              </w:rPr>
              <w:t xml:space="preserve">2 834,9</w:t>
            </w:r>
          </w:p>
        </w:tc>
        <w:tc>
          <w:tcPr>
            <w:tcW w:w="1020" w:type="dxa"/>
            <w:vAlign w:val="center"/>
            <w:tcBorders>
              <w:top w:val="nil"/>
              <w:left w:val="nil"/>
              <w:bottom w:val="nil"/>
              <w:right w:val="nil"/>
            </w:tcBorders>
          </w:tcPr>
          <w:p>
            <w:pPr>
              <w:pStyle w:val="0"/>
              <w:jc w:val="center"/>
            </w:pPr>
            <w:r>
              <w:rPr>
                <w:sz w:val="20"/>
              </w:rPr>
              <w:t xml:space="preserve">2 558,5</w:t>
            </w:r>
          </w:p>
        </w:tc>
        <w:tc>
          <w:tcPr>
            <w:tcW w:w="1191" w:type="dxa"/>
            <w:vAlign w:val="center"/>
            <w:tcBorders>
              <w:top w:val="nil"/>
              <w:left w:val="nil"/>
              <w:bottom w:val="nil"/>
              <w:right w:val="nil"/>
            </w:tcBorders>
          </w:tcPr>
          <w:p>
            <w:pPr>
              <w:pStyle w:val="0"/>
              <w:jc w:val="center"/>
            </w:pPr>
            <w:r>
              <w:rPr>
                <w:sz w:val="20"/>
              </w:rPr>
              <w:t xml:space="preserve">2 312,1</w:t>
            </w:r>
          </w:p>
        </w:tc>
        <w:tc>
          <w:tcPr>
            <w:tcW w:w="1247" w:type="dxa"/>
            <w:vAlign w:val="center"/>
            <w:tcBorders>
              <w:top w:val="nil"/>
              <w:left w:val="nil"/>
              <w:bottom w:val="nil"/>
              <w:right w:val="nil"/>
            </w:tcBorders>
          </w:tcPr>
          <w:p>
            <w:pPr>
              <w:pStyle w:val="0"/>
              <w:jc w:val="center"/>
            </w:pPr>
            <w:r>
              <w:rPr>
                <w:sz w:val="20"/>
              </w:rPr>
              <w:t xml:space="preserve">3 248,4</w:t>
            </w:r>
          </w:p>
        </w:tc>
        <w:tc>
          <w:tcPr>
            <w:tcW w:w="1020" w:type="dxa"/>
            <w:vAlign w:val="center"/>
            <w:tcBorders>
              <w:top w:val="nil"/>
              <w:left w:val="nil"/>
              <w:bottom w:val="nil"/>
              <w:right w:val="nil"/>
            </w:tcBorders>
          </w:tcPr>
          <w:p>
            <w:pPr>
              <w:pStyle w:val="0"/>
              <w:jc w:val="center"/>
            </w:pPr>
            <w:r>
              <w:rPr>
                <w:sz w:val="20"/>
              </w:rPr>
              <w:t xml:space="preserve">5 588,0</w:t>
            </w:r>
          </w:p>
        </w:tc>
        <w:tc>
          <w:tcPr>
            <w:tcW w:w="1020" w:type="dxa"/>
            <w:vAlign w:val="center"/>
            <w:tcBorders>
              <w:top w:val="nil"/>
              <w:left w:val="nil"/>
              <w:bottom w:val="nil"/>
              <w:right w:val="nil"/>
            </w:tcBorders>
          </w:tcPr>
          <w:p>
            <w:pPr>
              <w:pStyle w:val="0"/>
              <w:jc w:val="center"/>
            </w:pPr>
            <w:r>
              <w:rPr>
                <w:sz w:val="20"/>
              </w:rPr>
              <w:t xml:space="preserve">3 030,6</w:t>
            </w:r>
          </w:p>
        </w:tc>
        <w:tc>
          <w:tcPr>
            <w:tcW w:w="1020" w:type="dxa"/>
            <w:vAlign w:val="center"/>
            <w:tcBorders>
              <w:top w:val="nil"/>
              <w:left w:val="nil"/>
              <w:bottom w:val="nil"/>
              <w:right w:val="nil"/>
            </w:tcBorders>
          </w:tcPr>
          <w:p>
            <w:pPr>
              <w:pStyle w:val="0"/>
              <w:jc w:val="center"/>
            </w:pPr>
            <w:r>
              <w:rPr>
                <w:sz w:val="20"/>
              </w:rPr>
              <w:t xml:space="preserve">2 927,4</w:t>
            </w:r>
          </w:p>
        </w:tc>
      </w:tr>
      <w:tr>
        <w:tc>
          <w:tcPr>
            <w:tcW w:w="2154" w:type="dxa"/>
            <w:tcBorders>
              <w:top w:val="nil"/>
              <w:left w:val="nil"/>
              <w:bottom w:val="single" w:sz="4"/>
              <w:right w:val="nil"/>
            </w:tcBorders>
          </w:tcPr>
          <w:p>
            <w:pPr>
              <w:pStyle w:val="0"/>
              <w:ind w:firstLine="283"/>
            </w:pPr>
            <w:r>
              <w:rPr>
                <w:sz w:val="20"/>
              </w:rPr>
              <w:t xml:space="preserve">в т.ч. нерегулярного характера</w:t>
            </w:r>
          </w:p>
        </w:tc>
        <w:tc>
          <w:tcPr>
            <w:tcW w:w="1020" w:type="dxa"/>
            <w:vAlign w:val="center"/>
            <w:tcBorders>
              <w:top w:val="nil"/>
              <w:left w:val="nil"/>
              <w:bottom w:val="single" w:sz="4"/>
              <w:right w:val="nil"/>
            </w:tcBorders>
          </w:tcPr>
          <w:p>
            <w:pPr>
              <w:pStyle w:val="0"/>
              <w:jc w:val="center"/>
            </w:pPr>
            <w:r>
              <w:rPr>
                <w:sz w:val="20"/>
              </w:rPr>
              <w:t xml:space="preserve">155,6</w:t>
            </w:r>
          </w:p>
        </w:tc>
        <w:tc>
          <w:tcPr>
            <w:tcW w:w="1020" w:type="dxa"/>
            <w:vAlign w:val="center"/>
            <w:tcBorders>
              <w:top w:val="nil"/>
              <w:left w:val="nil"/>
              <w:bottom w:val="single" w:sz="4"/>
              <w:right w:val="nil"/>
            </w:tcBorders>
          </w:tcPr>
          <w:p>
            <w:pPr>
              <w:pStyle w:val="0"/>
              <w:jc w:val="center"/>
            </w:pPr>
            <w:r>
              <w:rPr>
                <w:sz w:val="20"/>
              </w:rPr>
              <w:t xml:space="preserve">1 313,2</w:t>
            </w:r>
          </w:p>
        </w:tc>
        <w:tc>
          <w:tcPr>
            <w:tcW w:w="1020" w:type="dxa"/>
            <w:vAlign w:val="center"/>
            <w:tcBorders>
              <w:top w:val="nil"/>
              <w:left w:val="nil"/>
              <w:bottom w:val="single" w:sz="4"/>
              <w:right w:val="nil"/>
            </w:tcBorders>
          </w:tcPr>
          <w:p>
            <w:pPr>
              <w:pStyle w:val="0"/>
              <w:jc w:val="center"/>
            </w:pPr>
            <w:r>
              <w:rPr>
                <w:sz w:val="20"/>
              </w:rPr>
              <w:t xml:space="preserve">644,0</w:t>
            </w:r>
          </w:p>
        </w:tc>
        <w:tc>
          <w:tcPr>
            <w:tcW w:w="1191" w:type="dxa"/>
            <w:vAlign w:val="center"/>
            <w:tcBorders>
              <w:top w:val="nil"/>
              <w:left w:val="nil"/>
              <w:bottom w:val="single" w:sz="4"/>
              <w:right w:val="nil"/>
            </w:tcBorders>
          </w:tcPr>
          <w:p>
            <w:pPr>
              <w:pStyle w:val="0"/>
              <w:jc w:val="center"/>
            </w:pPr>
            <w:r>
              <w:rPr>
                <w:sz w:val="20"/>
              </w:rPr>
              <w:t xml:space="preserve">139,1</w:t>
            </w:r>
          </w:p>
        </w:tc>
        <w:tc>
          <w:tcPr>
            <w:tcW w:w="1247" w:type="dxa"/>
            <w:vAlign w:val="center"/>
            <w:tcBorders>
              <w:top w:val="nil"/>
              <w:left w:val="nil"/>
              <w:bottom w:val="single" w:sz="4"/>
              <w:right w:val="nil"/>
            </w:tcBorders>
          </w:tcPr>
          <w:p>
            <w:pPr>
              <w:pStyle w:val="0"/>
              <w:jc w:val="center"/>
            </w:pPr>
            <w:r>
              <w:rPr>
                <w:sz w:val="20"/>
              </w:rPr>
              <w:t xml:space="preserve">745,9</w:t>
            </w:r>
          </w:p>
        </w:tc>
        <w:tc>
          <w:tcPr>
            <w:tcW w:w="1020" w:type="dxa"/>
            <w:vAlign w:val="center"/>
            <w:tcBorders>
              <w:top w:val="nil"/>
              <w:left w:val="nil"/>
              <w:bottom w:val="single" w:sz="4"/>
              <w:right w:val="nil"/>
            </w:tcBorders>
          </w:tcPr>
          <w:p>
            <w:pPr>
              <w:pStyle w:val="0"/>
              <w:jc w:val="center"/>
            </w:pPr>
            <w:r>
              <w:rPr>
                <w:sz w:val="20"/>
              </w:rPr>
              <w:t xml:space="preserve">2 521,9 </w:t>
            </w:r>
            <w:hyperlink w:history="0" w:anchor="P1554" w:tooltip="&lt;***&gt; включая возврат в доход федерального бюджета трансферта от внебюджетных фондов, связанного с предоставлением в 2022 году отсрочек по страховым взносам, временным повышением вывозных таможенных пошлин на ряд товаров и другие &quot;разовые&quot; поступления">
              <w:r>
                <w:rPr>
                  <w:sz w:val="20"/>
                  <w:color w:val="0000ff"/>
                </w:rPr>
                <w:t xml:space="preserve">&lt;***&gt;</w:t>
              </w:r>
            </w:hyperlink>
          </w:p>
        </w:tc>
        <w:tc>
          <w:tcPr>
            <w:tcW w:w="1020" w:type="dxa"/>
            <w:vAlign w:val="center"/>
            <w:tcBorders>
              <w:top w:val="nil"/>
              <w:left w:val="nil"/>
              <w:bottom w:val="single" w:sz="4"/>
              <w:right w:val="nil"/>
            </w:tcBorders>
          </w:tcPr>
          <w:p>
            <w:pPr>
              <w:pStyle w:val="0"/>
              <w:jc w:val="center"/>
            </w:pPr>
            <w:r>
              <w:rPr>
                <w:sz w:val="20"/>
              </w:rPr>
              <w:t xml:space="preserve">154,6</w:t>
            </w:r>
          </w:p>
        </w:tc>
        <w:tc>
          <w:tcPr>
            <w:tcW w:w="1020" w:type="dxa"/>
            <w:vAlign w:val="center"/>
            <w:tcBorders>
              <w:top w:val="nil"/>
              <w:left w:val="nil"/>
              <w:bottom w:val="single" w:sz="4"/>
              <w:right w:val="nil"/>
            </w:tcBorders>
          </w:tcPr>
          <w:p>
            <w:pPr>
              <w:pStyle w:val="0"/>
              <w:jc w:val="center"/>
            </w:pPr>
            <w:r>
              <w:rPr>
                <w:sz w:val="20"/>
              </w:rPr>
              <w:t xml:space="preserve">113,1</w:t>
            </w:r>
          </w:p>
        </w:tc>
      </w:tr>
    </w:tbl>
    <w:p>
      <w:pPr>
        <w:sectPr>
          <w:headerReference w:type="default" r:id="rId28"/>
          <w:headerReference w:type="first" r:id="rId28"/>
          <w:footerReference w:type="default" r:id="rId29"/>
          <w:footerReference w:type="first" r:id="rId2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1552" w:name="P1552"/>
    <w:bookmarkEnd w:id="1552"/>
    <w:p>
      <w:pPr>
        <w:pStyle w:val="0"/>
        <w:spacing w:before="200" w:line-rule="auto"/>
        <w:ind w:firstLine="540"/>
        <w:jc w:val="both"/>
      </w:pPr>
      <w:r>
        <w:rPr>
          <w:sz w:val="20"/>
        </w:rPr>
        <w:t xml:space="preserve">&lt;*&gt; оценка;</w:t>
      </w:r>
    </w:p>
    <w:bookmarkStart w:id="1553" w:name="P1553"/>
    <w:bookmarkEnd w:id="1553"/>
    <w:p>
      <w:pPr>
        <w:pStyle w:val="0"/>
        <w:spacing w:before="200" w:line-rule="auto"/>
        <w:ind w:firstLine="540"/>
        <w:jc w:val="both"/>
      </w:pPr>
      <w:r>
        <w:rPr>
          <w:sz w:val="20"/>
        </w:rPr>
        <w:t xml:space="preserve">&lt;**&gt; за исключением акциза на природный газ и жидкую сталь;</w:t>
      </w:r>
    </w:p>
    <w:bookmarkStart w:id="1554" w:name="P1554"/>
    <w:bookmarkEnd w:id="1554"/>
    <w:p>
      <w:pPr>
        <w:pStyle w:val="0"/>
        <w:spacing w:before="200" w:line-rule="auto"/>
        <w:ind w:firstLine="540"/>
        <w:jc w:val="both"/>
      </w:pPr>
      <w:r>
        <w:rPr>
          <w:sz w:val="20"/>
        </w:rPr>
        <w:t xml:space="preserve">&lt;***&gt; включая возврат в доход федерального бюджета трансферта от внебюджетных фондов, связанного с предоставлением в 2022 году отсрочек по страховым взносам, временным повышением вывозных таможенных пошлин на ряд товаров и другие "разовые" поступления</w:t>
      </w:r>
    </w:p>
    <w:p>
      <w:pPr>
        <w:pStyle w:val="0"/>
        <w:jc w:val="both"/>
      </w:pPr>
      <w:r>
        <w:rPr>
          <w:sz w:val="20"/>
        </w:rPr>
      </w:r>
    </w:p>
    <w:p>
      <w:pPr>
        <w:pStyle w:val="2"/>
        <w:outlineLvl w:val="3"/>
        <w:ind w:firstLine="540"/>
        <w:jc w:val="both"/>
      </w:pPr>
      <w:r>
        <w:rPr>
          <w:sz w:val="20"/>
        </w:rPr>
        <w:t xml:space="preserve">Расходы федерального бюджета</w:t>
      </w:r>
    </w:p>
    <w:p>
      <w:pPr>
        <w:pStyle w:val="0"/>
        <w:spacing w:before="200" w:line-rule="auto"/>
        <w:ind w:firstLine="540"/>
        <w:jc w:val="both"/>
      </w:pPr>
      <w:r>
        <w:rPr>
          <w:sz w:val="20"/>
        </w:rPr>
        <w:t xml:space="preserve">Общий уровень и структура расходов федерального бюджета определены исходя из формирования предельных расходов в соответствии с "бюджетными правилами" и приоритетного финансирования мероприятий, направленных на поддержку населения, структурную трансформацию экономики и достижение национальных целей развития.</w:t>
      </w:r>
    </w:p>
    <w:p>
      <w:pPr>
        <w:pStyle w:val="0"/>
        <w:spacing w:before="200" w:line-rule="auto"/>
        <w:ind w:firstLine="540"/>
        <w:jc w:val="both"/>
      </w:pPr>
      <w:r>
        <w:rPr>
          <w:sz w:val="20"/>
        </w:rPr>
        <w:t xml:space="preserve">В расчете базовых бюджетных ассигнований учтены следующие факторы:</w:t>
      </w:r>
    </w:p>
    <w:p>
      <w:pPr>
        <w:pStyle w:val="0"/>
        <w:spacing w:before="200" w:line-rule="auto"/>
        <w:ind w:firstLine="540"/>
        <w:jc w:val="both"/>
      </w:pPr>
      <w:r>
        <w:rPr>
          <w:sz w:val="20"/>
        </w:rPr>
        <w:t xml:space="preserve">- завершение финансирования обязательств ограниченного срока действия;</w:t>
      </w:r>
    </w:p>
    <w:p>
      <w:pPr>
        <w:pStyle w:val="0"/>
        <w:spacing w:before="200" w:line-rule="auto"/>
        <w:ind w:firstLine="540"/>
        <w:jc w:val="both"/>
      </w:pPr>
      <w:r>
        <w:rPr>
          <w:sz w:val="20"/>
        </w:rPr>
        <w:t xml:space="preserve">- финансирование мероприятий "длящегося" характера, возникших в ходе исполнения федерального бюджета в 2023 г.;</w:t>
      </w:r>
    </w:p>
    <w:p>
      <w:pPr>
        <w:pStyle w:val="0"/>
        <w:spacing w:before="200" w:line-rule="auto"/>
        <w:ind w:firstLine="540"/>
        <w:jc w:val="both"/>
      </w:pPr>
      <w:r>
        <w:rPr>
          <w:sz w:val="20"/>
        </w:rPr>
        <w:t xml:space="preserve">- уточнение контингента получателей выплат;</w:t>
      </w:r>
    </w:p>
    <w:p>
      <w:pPr>
        <w:pStyle w:val="0"/>
        <w:spacing w:before="200" w:line-rule="auto"/>
        <w:ind w:firstLine="540"/>
        <w:jc w:val="both"/>
      </w:pPr>
      <w:r>
        <w:rPr>
          <w:sz w:val="20"/>
        </w:rPr>
        <w:t xml:space="preserve">- ежегодная индексация (повышение) на прогнозный уровень инфляции: публичных нормативных обязательств, пенсий военнослужащих, стипендиального фонда;</w:t>
      </w:r>
    </w:p>
    <w:p>
      <w:pPr>
        <w:pStyle w:val="0"/>
        <w:spacing w:before="200" w:line-rule="auto"/>
        <w:ind w:firstLine="540"/>
        <w:jc w:val="both"/>
      </w:pPr>
      <w:r>
        <w:rPr>
          <w:sz w:val="20"/>
        </w:rPr>
        <w:t xml:space="preserve">- пропуск индексации оплаты труда государственных служащих и денежного довольствия военнослужащих в 2024 году с индексацией на прогнозный уровень инфляции в 2025 - 2026 годах;</w:t>
      </w:r>
    </w:p>
    <w:p>
      <w:pPr>
        <w:pStyle w:val="0"/>
        <w:spacing w:before="200" w:line-rule="auto"/>
        <w:ind w:firstLine="540"/>
        <w:jc w:val="both"/>
      </w:pPr>
      <w:r>
        <w:rPr>
          <w:sz w:val="20"/>
        </w:rPr>
        <w:t xml:space="preserve">- увеличение прожиточного минимума для детей и прожиточного минимума пенсионеров за прошедший год;</w:t>
      </w:r>
    </w:p>
    <w:p>
      <w:pPr>
        <w:pStyle w:val="0"/>
        <w:spacing w:before="200" w:line-rule="auto"/>
        <w:ind w:firstLine="540"/>
        <w:jc w:val="both"/>
      </w:pPr>
      <w:r>
        <w:rPr>
          <w:sz w:val="20"/>
        </w:rPr>
        <w:t xml:space="preserve">- индексация оплаты труда отдельных категорий работников бюджетного сектора на прогнозный темп роста среднемесячной начисленной заработной платы работников организаций;</w:t>
      </w:r>
    </w:p>
    <w:p>
      <w:pPr>
        <w:pStyle w:val="0"/>
        <w:spacing w:before="200" w:line-rule="auto"/>
        <w:ind w:firstLine="540"/>
        <w:jc w:val="both"/>
      </w:pPr>
      <w:r>
        <w:rPr>
          <w:sz w:val="20"/>
        </w:rPr>
        <w:t xml:space="preserve">- уточнение бюджетных ассигнований на предоставление межбюджетных трансфертов бюджетам государственных внебюджетных фондов;</w:t>
      </w:r>
    </w:p>
    <w:p>
      <w:pPr>
        <w:pStyle w:val="0"/>
        <w:spacing w:before="200" w:line-rule="auto"/>
        <w:ind w:firstLine="540"/>
        <w:jc w:val="both"/>
      </w:pPr>
      <w:r>
        <w:rPr>
          <w:sz w:val="20"/>
        </w:rPr>
        <w:t xml:space="preserve">- изменение прогнозируемого курса доллара США по отношению к рублю;</w:t>
      </w:r>
    </w:p>
    <w:p>
      <w:pPr>
        <w:pStyle w:val="0"/>
        <w:spacing w:before="200" w:line-rule="auto"/>
        <w:ind w:firstLine="540"/>
        <w:jc w:val="both"/>
      </w:pPr>
      <w:r>
        <w:rPr>
          <w:sz w:val="20"/>
        </w:rPr>
        <w:t xml:space="preserve">- уточнение законодательно установленного объема бюджетных ассигнований Федерального дорожного фонда и иных бюджетных ассигнований, зависящих от объема поступления отдельных доходов;</w:t>
      </w:r>
    </w:p>
    <w:p>
      <w:pPr>
        <w:pStyle w:val="0"/>
        <w:spacing w:before="200" w:line-rule="auto"/>
        <w:ind w:firstLine="540"/>
        <w:jc w:val="both"/>
      </w:pPr>
      <w:r>
        <w:rPr>
          <w:sz w:val="20"/>
        </w:rPr>
        <w:t xml:space="preserve">- уточнение бюджетных ассигнований на обслуживание государственного долга.</w:t>
      </w:r>
    </w:p>
    <w:p>
      <w:pPr>
        <w:pStyle w:val="0"/>
        <w:jc w:val="both"/>
      </w:pPr>
      <w:r>
        <w:rPr>
          <w:sz w:val="20"/>
        </w:rPr>
      </w:r>
    </w:p>
    <w:p>
      <w:pPr>
        <w:pStyle w:val="0"/>
        <w:ind w:firstLine="540"/>
        <w:jc w:val="both"/>
      </w:pPr>
      <w:r>
        <w:rPr>
          <w:sz w:val="20"/>
        </w:rPr>
        <w:t xml:space="preserve">Таблица 4.1.3. Расходы федерального бюджета в 2019 - 2026 гг.</w:t>
      </w:r>
    </w:p>
    <w:p>
      <w:pPr>
        <w:pStyle w:val="0"/>
        <w:jc w:val="both"/>
      </w:pPr>
      <w:r>
        <w:rPr>
          <w:sz w:val="20"/>
        </w:rPr>
      </w:r>
    </w:p>
    <w:p>
      <w:pPr>
        <w:pStyle w:val="0"/>
        <w:jc w:val="right"/>
      </w:pPr>
      <w:r>
        <w:rPr>
          <w:sz w:val="20"/>
        </w:rPr>
        <w:t xml:space="preserve">млрд рублей</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2551"/>
        <w:gridCol w:w="793"/>
        <w:gridCol w:w="907"/>
        <w:gridCol w:w="963"/>
        <w:gridCol w:w="963"/>
        <w:gridCol w:w="963"/>
        <w:gridCol w:w="963"/>
        <w:gridCol w:w="963"/>
      </w:tblGrid>
      <w:tr>
        <w:tblPrEx>
          <w:tblBorders>
            <w:insideH w:val="single" w:sz="4"/>
          </w:tblBorders>
        </w:tblPrEx>
        <w:tc>
          <w:tcPr>
            <w:tcW w:w="2551" w:type="dxa"/>
            <w:tcBorders>
              <w:top w:val="single" w:sz="4"/>
              <w:left w:val="nil"/>
              <w:bottom w:val="single" w:sz="4"/>
              <w:right w:val="nil"/>
            </w:tcBorders>
          </w:tcPr>
          <w:p>
            <w:pPr>
              <w:pStyle w:val="0"/>
              <w:jc w:val="center"/>
            </w:pPr>
            <w:r>
              <w:rPr>
                <w:sz w:val="20"/>
              </w:rPr>
              <w:t xml:space="preserve">Показатель</w:t>
            </w:r>
          </w:p>
        </w:tc>
        <w:tc>
          <w:tcPr>
            <w:tcW w:w="793" w:type="dxa"/>
            <w:tcBorders>
              <w:top w:val="single" w:sz="4"/>
              <w:left w:val="nil"/>
              <w:bottom w:val="single" w:sz="4"/>
              <w:right w:val="nil"/>
            </w:tcBorders>
          </w:tcPr>
          <w:p>
            <w:pPr>
              <w:pStyle w:val="0"/>
              <w:jc w:val="center"/>
            </w:pPr>
            <w:r>
              <w:rPr>
                <w:sz w:val="20"/>
              </w:rPr>
              <w:t xml:space="preserve">2019</w:t>
            </w:r>
          </w:p>
        </w:tc>
        <w:tc>
          <w:tcPr>
            <w:tcW w:w="907" w:type="dxa"/>
            <w:tcBorders>
              <w:top w:val="single" w:sz="4"/>
              <w:left w:val="nil"/>
              <w:bottom w:val="single" w:sz="4"/>
              <w:right w:val="nil"/>
            </w:tcBorders>
          </w:tcPr>
          <w:p>
            <w:pPr>
              <w:pStyle w:val="0"/>
              <w:jc w:val="center"/>
            </w:pPr>
            <w:r>
              <w:rPr>
                <w:sz w:val="20"/>
              </w:rPr>
              <w:t xml:space="preserve">2020</w:t>
            </w:r>
          </w:p>
        </w:tc>
        <w:tc>
          <w:tcPr>
            <w:tcW w:w="963" w:type="dxa"/>
            <w:tcBorders>
              <w:top w:val="single" w:sz="4"/>
              <w:left w:val="nil"/>
              <w:bottom w:val="single" w:sz="4"/>
              <w:right w:val="nil"/>
            </w:tcBorders>
          </w:tcPr>
          <w:p>
            <w:pPr>
              <w:pStyle w:val="0"/>
              <w:jc w:val="center"/>
            </w:pPr>
            <w:r>
              <w:rPr>
                <w:sz w:val="20"/>
              </w:rPr>
              <w:t xml:space="preserve">2021</w:t>
            </w:r>
          </w:p>
        </w:tc>
        <w:tc>
          <w:tcPr>
            <w:tcW w:w="963" w:type="dxa"/>
            <w:tcBorders>
              <w:top w:val="single" w:sz="4"/>
              <w:left w:val="nil"/>
              <w:bottom w:val="single" w:sz="4"/>
              <w:right w:val="nil"/>
            </w:tcBorders>
          </w:tcPr>
          <w:p>
            <w:pPr>
              <w:pStyle w:val="0"/>
              <w:jc w:val="center"/>
            </w:pPr>
            <w:r>
              <w:rPr>
                <w:sz w:val="20"/>
              </w:rPr>
              <w:t xml:space="preserve">2023 </w:t>
            </w:r>
            <w:hyperlink w:history="0" w:anchor="P1712" w:tooltip="&lt;*&gt; с учетом сводной бюджетной росписи федерального бюджета на 1 сентября 2023 г.">
              <w:r>
                <w:rPr>
                  <w:sz w:val="20"/>
                  <w:color w:val="0000ff"/>
                </w:rPr>
                <w:t xml:space="preserve">&lt;*&gt;</w:t>
              </w:r>
            </w:hyperlink>
          </w:p>
        </w:tc>
        <w:tc>
          <w:tcPr>
            <w:tcW w:w="963" w:type="dxa"/>
            <w:tcBorders>
              <w:top w:val="single" w:sz="4"/>
              <w:left w:val="nil"/>
              <w:bottom w:val="single" w:sz="4"/>
              <w:right w:val="nil"/>
            </w:tcBorders>
          </w:tcPr>
          <w:p>
            <w:pPr>
              <w:pStyle w:val="0"/>
              <w:jc w:val="center"/>
            </w:pPr>
            <w:r>
              <w:rPr>
                <w:sz w:val="20"/>
              </w:rPr>
              <w:t xml:space="preserve">2024</w:t>
            </w:r>
          </w:p>
        </w:tc>
        <w:tc>
          <w:tcPr>
            <w:tcW w:w="963" w:type="dxa"/>
            <w:tcBorders>
              <w:top w:val="single" w:sz="4"/>
              <w:left w:val="nil"/>
              <w:bottom w:val="single" w:sz="4"/>
              <w:right w:val="nil"/>
            </w:tcBorders>
          </w:tcPr>
          <w:p>
            <w:pPr>
              <w:pStyle w:val="0"/>
              <w:jc w:val="center"/>
            </w:pPr>
            <w:r>
              <w:rPr>
                <w:sz w:val="20"/>
              </w:rPr>
              <w:t xml:space="preserve">2025</w:t>
            </w:r>
          </w:p>
        </w:tc>
        <w:tc>
          <w:tcPr>
            <w:tcW w:w="963" w:type="dxa"/>
            <w:tcBorders>
              <w:top w:val="single" w:sz="4"/>
              <w:left w:val="nil"/>
              <w:bottom w:val="single" w:sz="4"/>
              <w:right w:val="nil"/>
            </w:tcBorders>
          </w:tcPr>
          <w:p>
            <w:pPr>
              <w:pStyle w:val="0"/>
              <w:jc w:val="center"/>
            </w:pPr>
            <w:r>
              <w:rPr>
                <w:sz w:val="20"/>
              </w:rPr>
              <w:t xml:space="preserve">2026</w:t>
            </w:r>
          </w:p>
        </w:tc>
      </w:tr>
      <w:tr>
        <w:tc>
          <w:tcPr>
            <w:tcW w:w="2551" w:type="dxa"/>
            <w:tcBorders>
              <w:top w:val="single" w:sz="4"/>
              <w:left w:val="nil"/>
              <w:bottom w:val="nil"/>
              <w:right w:val="nil"/>
            </w:tcBorders>
          </w:tcPr>
          <w:p>
            <w:pPr>
              <w:pStyle w:val="0"/>
            </w:pPr>
            <w:r>
              <w:rPr>
                <w:sz w:val="20"/>
              </w:rPr>
              <w:t xml:space="preserve">Всего</w:t>
            </w:r>
          </w:p>
        </w:tc>
        <w:tc>
          <w:tcPr>
            <w:tcW w:w="793" w:type="dxa"/>
            <w:vAlign w:val="center"/>
            <w:tcBorders>
              <w:top w:val="single" w:sz="4"/>
              <w:left w:val="nil"/>
              <w:bottom w:val="nil"/>
              <w:right w:val="nil"/>
            </w:tcBorders>
          </w:tcPr>
          <w:p>
            <w:pPr>
              <w:pStyle w:val="0"/>
              <w:jc w:val="center"/>
            </w:pPr>
            <w:r>
              <w:rPr>
                <w:sz w:val="20"/>
              </w:rPr>
              <w:t xml:space="preserve">18 214,5</w:t>
            </w:r>
          </w:p>
        </w:tc>
        <w:tc>
          <w:tcPr>
            <w:tcW w:w="907" w:type="dxa"/>
            <w:vAlign w:val="center"/>
            <w:tcBorders>
              <w:top w:val="single" w:sz="4"/>
              <w:left w:val="nil"/>
              <w:bottom w:val="nil"/>
              <w:right w:val="nil"/>
            </w:tcBorders>
          </w:tcPr>
          <w:p>
            <w:pPr>
              <w:pStyle w:val="0"/>
              <w:jc w:val="center"/>
            </w:pPr>
            <w:r>
              <w:rPr>
                <w:sz w:val="20"/>
              </w:rPr>
              <w:t xml:space="preserve">22 821,6</w:t>
            </w:r>
          </w:p>
        </w:tc>
        <w:tc>
          <w:tcPr>
            <w:tcW w:w="963" w:type="dxa"/>
            <w:vAlign w:val="center"/>
            <w:tcBorders>
              <w:top w:val="single" w:sz="4"/>
              <w:left w:val="nil"/>
              <w:bottom w:val="nil"/>
              <w:right w:val="nil"/>
            </w:tcBorders>
          </w:tcPr>
          <w:p>
            <w:pPr>
              <w:pStyle w:val="0"/>
              <w:jc w:val="center"/>
            </w:pPr>
            <w:r>
              <w:rPr>
                <w:sz w:val="20"/>
              </w:rPr>
              <w:t xml:space="preserve">24 762,1</w:t>
            </w:r>
          </w:p>
        </w:tc>
        <w:tc>
          <w:tcPr>
            <w:tcW w:w="963" w:type="dxa"/>
            <w:vAlign w:val="center"/>
            <w:tcBorders>
              <w:top w:val="single" w:sz="4"/>
              <w:left w:val="nil"/>
              <w:bottom w:val="nil"/>
              <w:right w:val="nil"/>
            </w:tcBorders>
          </w:tcPr>
          <w:p>
            <w:pPr>
              <w:pStyle w:val="0"/>
              <w:jc w:val="center"/>
            </w:pPr>
            <w:r>
              <w:rPr>
                <w:sz w:val="20"/>
              </w:rPr>
              <w:t xml:space="preserve">30 265,8</w:t>
            </w:r>
          </w:p>
        </w:tc>
        <w:tc>
          <w:tcPr>
            <w:tcW w:w="963" w:type="dxa"/>
            <w:vAlign w:val="center"/>
            <w:tcBorders>
              <w:top w:val="single" w:sz="4"/>
              <w:left w:val="nil"/>
              <w:bottom w:val="nil"/>
              <w:right w:val="nil"/>
            </w:tcBorders>
          </w:tcPr>
          <w:p>
            <w:pPr>
              <w:pStyle w:val="0"/>
              <w:jc w:val="center"/>
            </w:pPr>
            <w:r>
              <w:rPr>
                <w:sz w:val="20"/>
              </w:rPr>
              <w:t xml:space="preserve">36 660,7</w:t>
            </w:r>
          </w:p>
        </w:tc>
        <w:tc>
          <w:tcPr>
            <w:tcW w:w="963" w:type="dxa"/>
            <w:vAlign w:val="center"/>
            <w:tcBorders>
              <w:top w:val="single" w:sz="4"/>
              <w:left w:val="nil"/>
              <w:bottom w:val="nil"/>
              <w:right w:val="nil"/>
            </w:tcBorders>
          </w:tcPr>
          <w:p>
            <w:pPr>
              <w:pStyle w:val="0"/>
              <w:jc w:val="center"/>
            </w:pPr>
            <w:r>
              <w:rPr>
                <w:sz w:val="20"/>
              </w:rPr>
              <w:t xml:space="preserve">34 382,8</w:t>
            </w:r>
          </w:p>
        </w:tc>
        <w:tc>
          <w:tcPr>
            <w:tcW w:w="963" w:type="dxa"/>
            <w:vAlign w:val="center"/>
            <w:tcBorders>
              <w:top w:val="single" w:sz="4"/>
              <w:left w:val="nil"/>
              <w:bottom w:val="nil"/>
              <w:right w:val="nil"/>
            </w:tcBorders>
          </w:tcPr>
          <w:p>
            <w:pPr>
              <w:pStyle w:val="0"/>
              <w:jc w:val="center"/>
            </w:pPr>
            <w:r>
              <w:rPr>
                <w:sz w:val="20"/>
              </w:rPr>
              <w:t xml:space="preserve">35 587,4</w:t>
            </w:r>
          </w:p>
        </w:tc>
      </w:tr>
      <w:tr>
        <w:tc>
          <w:tcPr>
            <w:tcW w:w="2551" w:type="dxa"/>
            <w:tcBorders>
              <w:top w:val="nil"/>
              <w:left w:val="nil"/>
              <w:bottom w:val="nil"/>
              <w:right w:val="nil"/>
            </w:tcBorders>
          </w:tcPr>
          <w:p>
            <w:pPr>
              <w:pStyle w:val="0"/>
            </w:pPr>
            <w:r>
              <w:rPr>
                <w:sz w:val="20"/>
              </w:rPr>
              <w:t xml:space="preserve">Общегосударственные вопросы</w:t>
            </w:r>
          </w:p>
        </w:tc>
        <w:tc>
          <w:tcPr>
            <w:tcW w:w="793" w:type="dxa"/>
            <w:vAlign w:val="center"/>
            <w:tcBorders>
              <w:top w:val="nil"/>
              <w:left w:val="nil"/>
              <w:bottom w:val="nil"/>
              <w:right w:val="nil"/>
            </w:tcBorders>
          </w:tcPr>
          <w:p>
            <w:pPr>
              <w:pStyle w:val="0"/>
              <w:jc w:val="center"/>
            </w:pPr>
            <w:r>
              <w:rPr>
                <w:sz w:val="20"/>
              </w:rPr>
              <w:t xml:space="preserve">1 363,5</w:t>
            </w:r>
          </w:p>
        </w:tc>
        <w:tc>
          <w:tcPr>
            <w:tcW w:w="907" w:type="dxa"/>
            <w:vAlign w:val="center"/>
            <w:tcBorders>
              <w:top w:val="nil"/>
              <w:left w:val="nil"/>
              <w:bottom w:val="nil"/>
              <w:right w:val="nil"/>
            </w:tcBorders>
          </w:tcPr>
          <w:p>
            <w:pPr>
              <w:pStyle w:val="0"/>
              <w:jc w:val="center"/>
            </w:pPr>
            <w:r>
              <w:rPr>
                <w:sz w:val="20"/>
              </w:rPr>
              <w:t xml:space="preserve">1 507,7</w:t>
            </w:r>
          </w:p>
        </w:tc>
        <w:tc>
          <w:tcPr>
            <w:tcW w:w="963" w:type="dxa"/>
            <w:vAlign w:val="center"/>
            <w:tcBorders>
              <w:top w:val="nil"/>
              <w:left w:val="nil"/>
              <w:bottom w:val="nil"/>
              <w:right w:val="nil"/>
            </w:tcBorders>
          </w:tcPr>
          <w:p>
            <w:pPr>
              <w:pStyle w:val="0"/>
              <w:jc w:val="center"/>
            </w:pPr>
            <w:r>
              <w:rPr>
                <w:sz w:val="20"/>
              </w:rPr>
              <w:t xml:space="preserve">1 759,5</w:t>
            </w:r>
          </w:p>
        </w:tc>
        <w:tc>
          <w:tcPr>
            <w:tcW w:w="963" w:type="dxa"/>
            <w:vAlign w:val="center"/>
            <w:tcBorders>
              <w:top w:val="nil"/>
              <w:left w:val="nil"/>
              <w:bottom w:val="nil"/>
              <w:right w:val="nil"/>
            </w:tcBorders>
          </w:tcPr>
          <w:p>
            <w:pPr>
              <w:pStyle w:val="0"/>
              <w:jc w:val="center"/>
            </w:pPr>
            <w:r>
              <w:rPr>
                <w:sz w:val="20"/>
              </w:rPr>
              <w:t xml:space="preserve">2 324,4</w:t>
            </w:r>
          </w:p>
        </w:tc>
        <w:tc>
          <w:tcPr>
            <w:tcW w:w="963" w:type="dxa"/>
            <w:vAlign w:val="center"/>
            <w:tcBorders>
              <w:top w:val="nil"/>
              <w:left w:val="nil"/>
              <w:bottom w:val="nil"/>
              <w:right w:val="nil"/>
            </w:tcBorders>
          </w:tcPr>
          <w:p>
            <w:pPr>
              <w:pStyle w:val="0"/>
              <w:jc w:val="center"/>
            </w:pPr>
            <w:r>
              <w:rPr>
                <w:sz w:val="20"/>
              </w:rPr>
              <w:t xml:space="preserve">2 171,0</w:t>
            </w:r>
          </w:p>
        </w:tc>
        <w:tc>
          <w:tcPr>
            <w:tcW w:w="963" w:type="dxa"/>
            <w:vAlign w:val="center"/>
            <w:tcBorders>
              <w:top w:val="nil"/>
              <w:left w:val="nil"/>
              <w:bottom w:val="nil"/>
              <w:right w:val="nil"/>
            </w:tcBorders>
          </w:tcPr>
          <w:p>
            <w:pPr>
              <w:pStyle w:val="0"/>
              <w:jc w:val="center"/>
            </w:pPr>
            <w:r>
              <w:rPr>
                <w:sz w:val="20"/>
              </w:rPr>
              <w:t xml:space="preserve">2 286,9</w:t>
            </w:r>
          </w:p>
        </w:tc>
        <w:tc>
          <w:tcPr>
            <w:tcW w:w="963" w:type="dxa"/>
            <w:vAlign w:val="center"/>
            <w:tcBorders>
              <w:top w:val="nil"/>
              <w:left w:val="nil"/>
              <w:bottom w:val="nil"/>
              <w:right w:val="nil"/>
            </w:tcBorders>
          </w:tcPr>
          <w:p>
            <w:pPr>
              <w:pStyle w:val="0"/>
              <w:jc w:val="center"/>
            </w:pPr>
            <w:r>
              <w:rPr>
                <w:sz w:val="20"/>
              </w:rPr>
              <w:t xml:space="preserve">2 410,8</w:t>
            </w:r>
          </w:p>
        </w:tc>
      </w:tr>
      <w:tr>
        <w:tc>
          <w:tcPr>
            <w:tcW w:w="2551" w:type="dxa"/>
            <w:tcBorders>
              <w:top w:val="nil"/>
              <w:left w:val="nil"/>
              <w:bottom w:val="nil"/>
              <w:right w:val="nil"/>
            </w:tcBorders>
          </w:tcPr>
          <w:p>
            <w:pPr>
              <w:pStyle w:val="0"/>
            </w:pPr>
            <w:r>
              <w:rPr>
                <w:sz w:val="20"/>
              </w:rPr>
              <w:t xml:space="preserve">Национальная оборона</w:t>
            </w:r>
          </w:p>
        </w:tc>
        <w:tc>
          <w:tcPr>
            <w:tcW w:w="793" w:type="dxa"/>
            <w:vAlign w:val="center"/>
            <w:tcBorders>
              <w:top w:val="nil"/>
              <w:left w:val="nil"/>
              <w:bottom w:val="nil"/>
              <w:right w:val="nil"/>
            </w:tcBorders>
          </w:tcPr>
          <w:p>
            <w:pPr>
              <w:pStyle w:val="0"/>
              <w:jc w:val="center"/>
            </w:pPr>
            <w:r>
              <w:rPr>
                <w:sz w:val="20"/>
              </w:rPr>
              <w:t xml:space="preserve">2 997,4</w:t>
            </w:r>
          </w:p>
        </w:tc>
        <w:tc>
          <w:tcPr>
            <w:tcW w:w="907" w:type="dxa"/>
            <w:vAlign w:val="center"/>
            <w:tcBorders>
              <w:top w:val="nil"/>
              <w:left w:val="nil"/>
              <w:bottom w:val="nil"/>
              <w:right w:val="nil"/>
            </w:tcBorders>
          </w:tcPr>
          <w:p>
            <w:pPr>
              <w:pStyle w:val="0"/>
              <w:jc w:val="center"/>
            </w:pPr>
            <w:r>
              <w:rPr>
                <w:sz w:val="20"/>
              </w:rPr>
              <w:t xml:space="preserve">3 168,8</w:t>
            </w:r>
          </w:p>
        </w:tc>
        <w:tc>
          <w:tcPr>
            <w:tcW w:w="963" w:type="dxa"/>
            <w:vAlign w:val="center"/>
            <w:tcBorders>
              <w:top w:val="nil"/>
              <w:left w:val="nil"/>
              <w:bottom w:val="nil"/>
              <w:right w:val="nil"/>
            </w:tcBorders>
          </w:tcPr>
          <w:p>
            <w:pPr>
              <w:pStyle w:val="0"/>
              <w:jc w:val="center"/>
            </w:pPr>
            <w:r>
              <w:rPr>
                <w:sz w:val="20"/>
              </w:rPr>
              <w:t xml:space="preserve">3 573,6</w:t>
            </w:r>
          </w:p>
        </w:tc>
        <w:tc>
          <w:tcPr>
            <w:tcW w:w="963" w:type="dxa"/>
            <w:vAlign w:val="center"/>
            <w:tcBorders>
              <w:top w:val="nil"/>
              <w:left w:val="nil"/>
              <w:bottom w:val="nil"/>
              <w:right w:val="nil"/>
            </w:tcBorders>
          </w:tcPr>
          <w:p>
            <w:pPr>
              <w:pStyle w:val="0"/>
              <w:jc w:val="center"/>
            </w:pPr>
            <w:r>
              <w:rPr>
                <w:sz w:val="20"/>
              </w:rPr>
              <w:t xml:space="preserve">6 406,7</w:t>
            </w:r>
          </w:p>
        </w:tc>
        <w:tc>
          <w:tcPr>
            <w:tcW w:w="963" w:type="dxa"/>
            <w:vAlign w:val="center"/>
            <w:tcBorders>
              <w:top w:val="nil"/>
              <w:left w:val="nil"/>
              <w:bottom w:val="nil"/>
              <w:right w:val="nil"/>
            </w:tcBorders>
          </w:tcPr>
          <w:p>
            <w:pPr>
              <w:pStyle w:val="0"/>
              <w:jc w:val="center"/>
            </w:pPr>
            <w:r>
              <w:rPr>
                <w:sz w:val="20"/>
              </w:rPr>
              <w:t xml:space="preserve">10 775,4</w:t>
            </w:r>
          </w:p>
        </w:tc>
        <w:tc>
          <w:tcPr>
            <w:tcW w:w="963" w:type="dxa"/>
            <w:vAlign w:val="center"/>
            <w:tcBorders>
              <w:top w:val="nil"/>
              <w:left w:val="nil"/>
              <w:bottom w:val="nil"/>
              <w:right w:val="nil"/>
            </w:tcBorders>
          </w:tcPr>
          <w:p>
            <w:pPr>
              <w:pStyle w:val="0"/>
              <w:jc w:val="center"/>
            </w:pPr>
            <w:r>
              <w:rPr>
                <w:sz w:val="20"/>
              </w:rPr>
              <w:t xml:space="preserve">8 534,1</w:t>
            </w:r>
          </w:p>
        </w:tc>
        <w:tc>
          <w:tcPr>
            <w:tcW w:w="963" w:type="dxa"/>
            <w:vAlign w:val="center"/>
            <w:tcBorders>
              <w:top w:val="nil"/>
              <w:left w:val="nil"/>
              <w:bottom w:val="nil"/>
              <w:right w:val="nil"/>
            </w:tcBorders>
          </w:tcPr>
          <w:p>
            <w:pPr>
              <w:pStyle w:val="0"/>
              <w:jc w:val="center"/>
            </w:pPr>
            <w:r>
              <w:rPr>
                <w:sz w:val="20"/>
              </w:rPr>
              <w:t xml:space="preserve">7 409,0</w:t>
            </w:r>
          </w:p>
        </w:tc>
      </w:tr>
      <w:tr>
        <w:tc>
          <w:tcPr>
            <w:tcW w:w="2551" w:type="dxa"/>
            <w:tcBorders>
              <w:top w:val="nil"/>
              <w:left w:val="nil"/>
              <w:bottom w:val="nil"/>
              <w:right w:val="nil"/>
            </w:tcBorders>
          </w:tcPr>
          <w:p>
            <w:pPr>
              <w:pStyle w:val="0"/>
            </w:pPr>
            <w:r>
              <w:rPr>
                <w:sz w:val="20"/>
              </w:rPr>
              <w:t xml:space="preserve">Нацбезопасность и правоохрана</w:t>
            </w:r>
          </w:p>
        </w:tc>
        <w:tc>
          <w:tcPr>
            <w:tcW w:w="793" w:type="dxa"/>
            <w:vAlign w:val="center"/>
            <w:tcBorders>
              <w:top w:val="nil"/>
              <w:left w:val="nil"/>
              <w:bottom w:val="nil"/>
              <w:right w:val="nil"/>
            </w:tcBorders>
          </w:tcPr>
          <w:p>
            <w:pPr>
              <w:pStyle w:val="0"/>
              <w:jc w:val="center"/>
            </w:pPr>
            <w:r>
              <w:rPr>
                <w:sz w:val="20"/>
              </w:rPr>
              <w:t xml:space="preserve">2 083,2</w:t>
            </w:r>
          </w:p>
        </w:tc>
        <w:tc>
          <w:tcPr>
            <w:tcW w:w="907" w:type="dxa"/>
            <w:vAlign w:val="center"/>
            <w:tcBorders>
              <w:top w:val="nil"/>
              <w:left w:val="nil"/>
              <w:bottom w:val="nil"/>
              <w:right w:val="nil"/>
            </w:tcBorders>
          </w:tcPr>
          <w:p>
            <w:pPr>
              <w:pStyle w:val="0"/>
              <w:jc w:val="center"/>
            </w:pPr>
            <w:r>
              <w:rPr>
                <w:sz w:val="20"/>
              </w:rPr>
              <w:t xml:space="preserve">2 226,6</w:t>
            </w:r>
          </w:p>
        </w:tc>
        <w:tc>
          <w:tcPr>
            <w:tcW w:w="963" w:type="dxa"/>
            <w:vAlign w:val="center"/>
            <w:tcBorders>
              <w:top w:val="nil"/>
              <w:left w:val="nil"/>
              <w:bottom w:val="nil"/>
              <w:right w:val="nil"/>
            </w:tcBorders>
          </w:tcPr>
          <w:p>
            <w:pPr>
              <w:pStyle w:val="0"/>
              <w:jc w:val="center"/>
            </w:pPr>
            <w:r>
              <w:rPr>
                <w:sz w:val="20"/>
              </w:rPr>
              <w:t xml:space="preserve">2 335,9</w:t>
            </w:r>
          </w:p>
        </w:tc>
        <w:tc>
          <w:tcPr>
            <w:tcW w:w="963" w:type="dxa"/>
            <w:vAlign w:val="center"/>
            <w:tcBorders>
              <w:top w:val="nil"/>
              <w:left w:val="nil"/>
              <w:bottom w:val="nil"/>
              <w:right w:val="nil"/>
            </w:tcBorders>
          </w:tcPr>
          <w:p>
            <w:pPr>
              <w:pStyle w:val="0"/>
              <w:jc w:val="center"/>
            </w:pPr>
            <w:r>
              <w:rPr>
                <w:sz w:val="20"/>
              </w:rPr>
              <w:t xml:space="preserve">3 225,6</w:t>
            </w:r>
          </w:p>
        </w:tc>
        <w:tc>
          <w:tcPr>
            <w:tcW w:w="963" w:type="dxa"/>
            <w:vAlign w:val="center"/>
            <w:tcBorders>
              <w:top w:val="nil"/>
              <w:left w:val="nil"/>
              <w:bottom w:val="nil"/>
              <w:right w:val="nil"/>
            </w:tcBorders>
          </w:tcPr>
          <w:p>
            <w:pPr>
              <w:pStyle w:val="0"/>
              <w:jc w:val="center"/>
            </w:pPr>
            <w:r>
              <w:rPr>
                <w:sz w:val="20"/>
              </w:rPr>
              <w:t xml:space="preserve">3 388,6</w:t>
            </w:r>
          </w:p>
        </w:tc>
        <w:tc>
          <w:tcPr>
            <w:tcW w:w="963" w:type="dxa"/>
            <w:vAlign w:val="center"/>
            <w:tcBorders>
              <w:top w:val="nil"/>
              <w:left w:val="nil"/>
              <w:bottom w:val="nil"/>
              <w:right w:val="nil"/>
            </w:tcBorders>
          </w:tcPr>
          <w:p>
            <w:pPr>
              <w:pStyle w:val="0"/>
              <w:jc w:val="center"/>
            </w:pPr>
            <w:r>
              <w:rPr>
                <w:sz w:val="20"/>
              </w:rPr>
              <w:t xml:space="preserve">3 275,2</w:t>
            </w:r>
          </w:p>
        </w:tc>
        <w:tc>
          <w:tcPr>
            <w:tcW w:w="963" w:type="dxa"/>
            <w:vAlign w:val="center"/>
            <w:tcBorders>
              <w:top w:val="nil"/>
              <w:left w:val="nil"/>
              <w:bottom w:val="nil"/>
              <w:right w:val="nil"/>
            </w:tcBorders>
          </w:tcPr>
          <w:p>
            <w:pPr>
              <w:pStyle w:val="0"/>
              <w:jc w:val="center"/>
            </w:pPr>
            <w:r>
              <w:rPr>
                <w:sz w:val="20"/>
              </w:rPr>
              <w:t xml:space="preserve">3 406,4</w:t>
            </w:r>
          </w:p>
        </w:tc>
      </w:tr>
      <w:tr>
        <w:tc>
          <w:tcPr>
            <w:tcW w:w="2551" w:type="dxa"/>
            <w:tcBorders>
              <w:top w:val="nil"/>
              <w:left w:val="nil"/>
              <w:bottom w:val="nil"/>
              <w:right w:val="nil"/>
            </w:tcBorders>
          </w:tcPr>
          <w:p>
            <w:pPr>
              <w:pStyle w:val="0"/>
            </w:pPr>
            <w:r>
              <w:rPr>
                <w:sz w:val="20"/>
              </w:rPr>
              <w:t xml:space="preserve">Национальная экономика</w:t>
            </w:r>
          </w:p>
        </w:tc>
        <w:tc>
          <w:tcPr>
            <w:tcW w:w="793" w:type="dxa"/>
            <w:vAlign w:val="center"/>
            <w:tcBorders>
              <w:top w:val="nil"/>
              <w:left w:val="nil"/>
              <w:bottom w:val="nil"/>
              <w:right w:val="nil"/>
            </w:tcBorders>
          </w:tcPr>
          <w:p>
            <w:pPr>
              <w:pStyle w:val="0"/>
              <w:jc w:val="center"/>
            </w:pPr>
            <w:r>
              <w:rPr>
                <w:sz w:val="20"/>
              </w:rPr>
              <w:t xml:space="preserve">2 827,1</w:t>
            </w:r>
          </w:p>
        </w:tc>
        <w:tc>
          <w:tcPr>
            <w:tcW w:w="907" w:type="dxa"/>
            <w:vAlign w:val="center"/>
            <w:tcBorders>
              <w:top w:val="nil"/>
              <w:left w:val="nil"/>
              <w:bottom w:val="nil"/>
              <w:right w:val="nil"/>
            </w:tcBorders>
          </w:tcPr>
          <w:p>
            <w:pPr>
              <w:pStyle w:val="0"/>
              <w:jc w:val="center"/>
            </w:pPr>
            <w:r>
              <w:rPr>
                <w:sz w:val="20"/>
              </w:rPr>
              <w:t xml:space="preserve">3 483,9</w:t>
            </w:r>
          </w:p>
        </w:tc>
        <w:tc>
          <w:tcPr>
            <w:tcW w:w="963" w:type="dxa"/>
            <w:vAlign w:val="center"/>
            <w:tcBorders>
              <w:top w:val="nil"/>
              <w:left w:val="nil"/>
              <w:bottom w:val="nil"/>
              <w:right w:val="nil"/>
            </w:tcBorders>
          </w:tcPr>
          <w:p>
            <w:pPr>
              <w:pStyle w:val="0"/>
              <w:jc w:val="center"/>
            </w:pPr>
            <w:r>
              <w:rPr>
                <w:sz w:val="20"/>
              </w:rPr>
              <w:t xml:space="preserve">4 356,6</w:t>
            </w:r>
          </w:p>
        </w:tc>
        <w:tc>
          <w:tcPr>
            <w:tcW w:w="963" w:type="dxa"/>
            <w:vAlign w:val="center"/>
            <w:tcBorders>
              <w:top w:val="nil"/>
              <w:left w:val="nil"/>
              <w:bottom w:val="nil"/>
              <w:right w:val="nil"/>
            </w:tcBorders>
          </w:tcPr>
          <w:p>
            <w:pPr>
              <w:pStyle w:val="0"/>
              <w:jc w:val="center"/>
            </w:pPr>
            <w:r>
              <w:rPr>
                <w:sz w:val="20"/>
              </w:rPr>
              <w:t xml:space="preserve">4 125,6</w:t>
            </w:r>
          </w:p>
        </w:tc>
        <w:tc>
          <w:tcPr>
            <w:tcW w:w="963" w:type="dxa"/>
            <w:vAlign w:val="center"/>
            <w:tcBorders>
              <w:top w:val="nil"/>
              <w:left w:val="nil"/>
              <w:bottom w:val="nil"/>
              <w:right w:val="nil"/>
            </w:tcBorders>
          </w:tcPr>
          <w:p>
            <w:pPr>
              <w:pStyle w:val="0"/>
              <w:jc w:val="center"/>
            </w:pPr>
            <w:r>
              <w:rPr>
                <w:sz w:val="20"/>
              </w:rPr>
              <w:t xml:space="preserve">3 890,0</w:t>
            </w:r>
          </w:p>
        </w:tc>
        <w:tc>
          <w:tcPr>
            <w:tcW w:w="963" w:type="dxa"/>
            <w:vAlign w:val="center"/>
            <w:tcBorders>
              <w:top w:val="nil"/>
              <w:left w:val="nil"/>
              <w:bottom w:val="nil"/>
              <w:right w:val="nil"/>
            </w:tcBorders>
          </w:tcPr>
          <w:p>
            <w:pPr>
              <w:pStyle w:val="0"/>
              <w:jc w:val="center"/>
            </w:pPr>
            <w:r>
              <w:rPr>
                <w:sz w:val="20"/>
              </w:rPr>
              <w:t xml:space="preserve">3 248,1</w:t>
            </w:r>
          </w:p>
        </w:tc>
        <w:tc>
          <w:tcPr>
            <w:tcW w:w="963" w:type="dxa"/>
            <w:vAlign w:val="center"/>
            <w:tcBorders>
              <w:top w:val="nil"/>
              <w:left w:val="nil"/>
              <w:bottom w:val="nil"/>
              <w:right w:val="nil"/>
            </w:tcBorders>
          </w:tcPr>
          <w:p>
            <w:pPr>
              <w:pStyle w:val="0"/>
              <w:jc w:val="center"/>
            </w:pPr>
            <w:r>
              <w:rPr>
                <w:sz w:val="20"/>
              </w:rPr>
              <w:t xml:space="preserve">3 665,6</w:t>
            </w:r>
          </w:p>
        </w:tc>
      </w:tr>
      <w:tr>
        <w:tc>
          <w:tcPr>
            <w:tcW w:w="2551" w:type="dxa"/>
            <w:tcBorders>
              <w:top w:val="nil"/>
              <w:left w:val="nil"/>
              <w:bottom w:val="nil"/>
              <w:right w:val="nil"/>
            </w:tcBorders>
          </w:tcPr>
          <w:p>
            <w:pPr>
              <w:pStyle w:val="0"/>
            </w:pPr>
            <w:r>
              <w:rPr>
                <w:sz w:val="20"/>
              </w:rPr>
              <w:t xml:space="preserve">ЖКХ</w:t>
            </w:r>
          </w:p>
        </w:tc>
        <w:tc>
          <w:tcPr>
            <w:tcW w:w="793" w:type="dxa"/>
            <w:vAlign w:val="center"/>
            <w:tcBorders>
              <w:top w:val="nil"/>
              <w:left w:val="nil"/>
              <w:bottom w:val="nil"/>
              <w:right w:val="nil"/>
            </w:tcBorders>
          </w:tcPr>
          <w:p>
            <w:pPr>
              <w:pStyle w:val="0"/>
              <w:jc w:val="center"/>
            </w:pPr>
            <w:r>
              <w:rPr>
                <w:sz w:val="20"/>
              </w:rPr>
              <w:t xml:space="preserve">282,2</w:t>
            </w:r>
          </w:p>
        </w:tc>
        <w:tc>
          <w:tcPr>
            <w:tcW w:w="907" w:type="dxa"/>
            <w:vAlign w:val="center"/>
            <w:tcBorders>
              <w:top w:val="nil"/>
              <w:left w:val="nil"/>
              <w:bottom w:val="nil"/>
              <w:right w:val="nil"/>
            </w:tcBorders>
          </w:tcPr>
          <w:p>
            <w:pPr>
              <w:pStyle w:val="0"/>
              <w:jc w:val="center"/>
            </w:pPr>
            <w:r>
              <w:rPr>
                <w:sz w:val="20"/>
              </w:rPr>
              <w:t xml:space="preserve">371,5</w:t>
            </w:r>
          </w:p>
        </w:tc>
        <w:tc>
          <w:tcPr>
            <w:tcW w:w="963" w:type="dxa"/>
            <w:vAlign w:val="center"/>
            <w:tcBorders>
              <w:top w:val="nil"/>
              <w:left w:val="nil"/>
              <w:bottom w:val="nil"/>
              <w:right w:val="nil"/>
            </w:tcBorders>
          </w:tcPr>
          <w:p>
            <w:pPr>
              <w:pStyle w:val="0"/>
              <w:jc w:val="center"/>
            </w:pPr>
            <w:r>
              <w:rPr>
                <w:sz w:val="20"/>
              </w:rPr>
              <w:t xml:space="preserve">593,7</w:t>
            </w:r>
          </w:p>
        </w:tc>
        <w:tc>
          <w:tcPr>
            <w:tcW w:w="963" w:type="dxa"/>
            <w:vAlign w:val="center"/>
            <w:tcBorders>
              <w:top w:val="nil"/>
              <w:left w:val="nil"/>
              <w:bottom w:val="nil"/>
              <w:right w:val="nil"/>
            </w:tcBorders>
          </w:tcPr>
          <w:p>
            <w:pPr>
              <w:pStyle w:val="0"/>
              <w:jc w:val="center"/>
            </w:pPr>
            <w:r>
              <w:rPr>
                <w:sz w:val="20"/>
              </w:rPr>
              <w:t xml:space="preserve">856,9</w:t>
            </w:r>
          </w:p>
        </w:tc>
        <w:tc>
          <w:tcPr>
            <w:tcW w:w="963" w:type="dxa"/>
            <w:vAlign w:val="center"/>
            <w:tcBorders>
              <w:top w:val="nil"/>
              <w:left w:val="nil"/>
              <w:bottom w:val="nil"/>
              <w:right w:val="nil"/>
            </w:tcBorders>
          </w:tcPr>
          <w:p>
            <w:pPr>
              <w:pStyle w:val="0"/>
              <w:jc w:val="center"/>
            </w:pPr>
            <w:r>
              <w:rPr>
                <w:sz w:val="20"/>
              </w:rPr>
              <w:t xml:space="preserve">881,3</w:t>
            </w:r>
          </w:p>
        </w:tc>
        <w:tc>
          <w:tcPr>
            <w:tcW w:w="963" w:type="dxa"/>
            <w:vAlign w:val="center"/>
            <w:tcBorders>
              <w:top w:val="nil"/>
              <w:left w:val="nil"/>
              <w:bottom w:val="nil"/>
              <w:right w:val="nil"/>
            </w:tcBorders>
          </w:tcPr>
          <w:p>
            <w:pPr>
              <w:pStyle w:val="0"/>
              <w:jc w:val="center"/>
            </w:pPr>
            <w:r>
              <w:rPr>
                <w:sz w:val="20"/>
              </w:rPr>
              <w:t xml:space="preserve">506,7</w:t>
            </w:r>
          </w:p>
        </w:tc>
        <w:tc>
          <w:tcPr>
            <w:tcW w:w="963" w:type="dxa"/>
            <w:vAlign w:val="center"/>
            <w:tcBorders>
              <w:top w:val="nil"/>
              <w:left w:val="nil"/>
              <w:bottom w:val="nil"/>
              <w:right w:val="nil"/>
            </w:tcBorders>
          </w:tcPr>
          <w:p>
            <w:pPr>
              <w:pStyle w:val="0"/>
              <w:jc w:val="center"/>
            </w:pPr>
            <w:r>
              <w:rPr>
                <w:sz w:val="20"/>
              </w:rPr>
              <w:t xml:space="preserve">381,2</w:t>
            </w:r>
          </w:p>
        </w:tc>
      </w:tr>
      <w:tr>
        <w:tc>
          <w:tcPr>
            <w:tcW w:w="2551" w:type="dxa"/>
            <w:tcBorders>
              <w:top w:val="nil"/>
              <w:left w:val="nil"/>
              <w:bottom w:val="nil"/>
              <w:right w:val="nil"/>
            </w:tcBorders>
          </w:tcPr>
          <w:p>
            <w:pPr>
              <w:pStyle w:val="0"/>
            </w:pPr>
            <w:r>
              <w:rPr>
                <w:sz w:val="20"/>
              </w:rPr>
              <w:t xml:space="preserve">Охрана окружающей среды</w:t>
            </w:r>
          </w:p>
        </w:tc>
        <w:tc>
          <w:tcPr>
            <w:tcW w:w="793" w:type="dxa"/>
            <w:vAlign w:val="center"/>
            <w:tcBorders>
              <w:top w:val="nil"/>
              <w:left w:val="nil"/>
              <w:bottom w:val="nil"/>
              <w:right w:val="nil"/>
            </w:tcBorders>
          </w:tcPr>
          <w:p>
            <w:pPr>
              <w:pStyle w:val="0"/>
              <w:jc w:val="center"/>
            </w:pPr>
            <w:r>
              <w:rPr>
                <w:sz w:val="20"/>
              </w:rPr>
              <w:t xml:space="preserve">197,6</w:t>
            </w:r>
          </w:p>
        </w:tc>
        <w:tc>
          <w:tcPr>
            <w:tcW w:w="907" w:type="dxa"/>
            <w:vAlign w:val="center"/>
            <w:tcBorders>
              <w:top w:val="nil"/>
              <w:left w:val="nil"/>
              <w:bottom w:val="nil"/>
              <w:right w:val="nil"/>
            </w:tcBorders>
          </w:tcPr>
          <w:p>
            <w:pPr>
              <w:pStyle w:val="0"/>
              <w:jc w:val="center"/>
            </w:pPr>
            <w:r>
              <w:rPr>
                <w:sz w:val="20"/>
              </w:rPr>
              <w:t xml:space="preserve">260,6</w:t>
            </w:r>
          </w:p>
        </w:tc>
        <w:tc>
          <w:tcPr>
            <w:tcW w:w="963" w:type="dxa"/>
            <w:vAlign w:val="center"/>
            <w:tcBorders>
              <w:top w:val="nil"/>
              <w:left w:val="nil"/>
              <w:bottom w:val="nil"/>
              <w:right w:val="nil"/>
            </w:tcBorders>
          </w:tcPr>
          <w:p>
            <w:pPr>
              <w:pStyle w:val="0"/>
              <w:jc w:val="center"/>
            </w:pPr>
            <w:r>
              <w:rPr>
                <w:sz w:val="20"/>
              </w:rPr>
              <w:t xml:space="preserve">405,1</w:t>
            </w:r>
          </w:p>
        </w:tc>
        <w:tc>
          <w:tcPr>
            <w:tcW w:w="963" w:type="dxa"/>
            <w:vAlign w:val="center"/>
            <w:tcBorders>
              <w:top w:val="nil"/>
              <w:left w:val="nil"/>
              <w:bottom w:val="nil"/>
              <w:right w:val="nil"/>
            </w:tcBorders>
          </w:tcPr>
          <w:p>
            <w:pPr>
              <w:pStyle w:val="0"/>
              <w:jc w:val="center"/>
            </w:pPr>
            <w:r>
              <w:rPr>
                <w:sz w:val="20"/>
              </w:rPr>
              <w:t xml:space="preserve">347,3</w:t>
            </w:r>
          </w:p>
        </w:tc>
        <w:tc>
          <w:tcPr>
            <w:tcW w:w="963" w:type="dxa"/>
            <w:vAlign w:val="center"/>
            <w:tcBorders>
              <w:top w:val="nil"/>
              <w:left w:val="nil"/>
              <w:bottom w:val="nil"/>
              <w:right w:val="nil"/>
            </w:tcBorders>
          </w:tcPr>
          <w:p>
            <w:pPr>
              <w:pStyle w:val="0"/>
              <w:jc w:val="center"/>
            </w:pPr>
            <w:r>
              <w:rPr>
                <w:sz w:val="20"/>
              </w:rPr>
              <w:t xml:space="preserve">477,5</w:t>
            </w:r>
          </w:p>
        </w:tc>
        <w:tc>
          <w:tcPr>
            <w:tcW w:w="963" w:type="dxa"/>
            <w:vAlign w:val="center"/>
            <w:tcBorders>
              <w:top w:val="nil"/>
              <w:left w:val="nil"/>
              <w:bottom w:val="nil"/>
              <w:right w:val="nil"/>
            </w:tcBorders>
          </w:tcPr>
          <w:p>
            <w:pPr>
              <w:pStyle w:val="0"/>
              <w:jc w:val="center"/>
            </w:pPr>
            <w:r>
              <w:rPr>
                <w:sz w:val="20"/>
              </w:rPr>
              <w:t xml:space="preserve">470,3</w:t>
            </w:r>
          </w:p>
        </w:tc>
        <w:tc>
          <w:tcPr>
            <w:tcW w:w="963" w:type="dxa"/>
            <w:vAlign w:val="center"/>
            <w:tcBorders>
              <w:top w:val="nil"/>
              <w:left w:val="nil"/>
              <w:bottom w:val="nil"/>
              <w:right w:val="nil"/>
            </w:tcBorders>
          </w:tcPr>
          <w:p>
            <w:pPr>
              <w:pStyle w:val="0"/>
              <w:jc w:val="center"/>
            </w:pPr>
            <w:r>
              <w:rPr>
                <w:sz w:val="20"/>
              </w:rPr>
              <w:t xml:space="preserve">522,7</w:t>
            </w:r>
          </w:p>
        </w:tc>
      </w:tr>
      <w:tr>
        <w:tc>
          <w:tcPr>
            <w:tcW w:w="2551" w:type="dxa"/>
            <w:tcBorders>
              <w:top w:val="nil"/>
              <w:left w:val="nil"/>
              <w:bottom w:val="nil"/>
              <w:right w:val="nil"/>
            </w:tcBorders>
          </w:tcPr>
          <w:p>
            <w:pPr>
              <w:pStyle w:val="0"/>
            </w:pPr>
            <w:r>
              <w:rPr>
                <w:sz w:val="20"/>
              </w:rPr>
              <w:t xml:space="preserve">Образование</w:t>
            </w:r>
          </w:p>
        </w:tc>
        <w:tc>
          <w:tcPr>
            <w:tcW w:w="793" w:type="dxa"/>
            <w:vAlign w:val="center"/>
            <w:tcBorders>
              <w:top w:val="nil"/>
              <w:left w:val="nil"/>
              <w:bottom w:val="nil"/>
              <w:right w:val="nil"/>
            </w:tcBorders>
          </w:tcPr>
          <w:p>
            <w:pPr>
              <w:pStyle w:val="0"/>
              <w:jc w:val="center"/>
            </w:pPr>
            <w:r>
              <w:rPr>
                <w:sz w:val="20"/>
              </w:rPr>
              <w:t xml:space="preserve">826,5</w:t>
            </w:r>
          </w:p>
        </w:tc>
        <w:tc>
          <w:tcPr>
            <w:tcW w:w="907" w:type="dxa"/>
            <w:vAlign w:val="center"/>
            <w:tcBorders>
              <w:top w:val="nil"/>
              <w:left w:val="nil"/>
              <w:bottom w:val="nil"/>
              <w:right w:val="nil"/>
            </w:tcBorders>
          </w:tcPr>
          <w:p>
            <w:pPr>
              <w:pStyle w:val="0"/>
              <w:jc w:val="center"/>
            </w:pPr>
            <w:r>
              <w:rPr>
                <w:sz w:val="20"/>
              </w:rPr>
              <w:t xml:space="preserve">956,9</w:t>
            </w:r>
          </w:p>
        </w:tc>
        <w:tc>
          <w:tcPr>
            <w:tcW w:w="963" w:type="dxa"/>
            <w:vAlign w:val="center"/>
            <w:tcBorders>
              <w:top w:val="nil"/>
              <w:left w:val="nil"/>
              <w:bottom w:val="nil"/>
              <w:right w:val="nil"/>
            </w:tcBorders>
          </w:tcPr>
          <w:p>
            <w:pPr>
              <w:pStyle w:val="0"/>
              <w:jc w:val="center"/>
            </w:pPr>
            <w:r>
              <w:rPr>
                <w:sz w:val="20"/>
              </w:rPr>
              <w:t xml:space="preserve">1 064,4</w:t>
            </w:r>
          </w:p>
        </w:tc>
        <w:tc>
          <w:tcPr>
            <w:tcW w:w="963" w:type="dxa"/>
            <w:vAlign w:val="center"/>
            <w:tcBorders>
              <w:top w:val="nil"/>
              <w:left w:val="nil"/>
              <w:bottom w:val="nil"/>
              <w:right w:val="nil"/>
            </w:tcBorders>
          </w:tcPr>
          <w:p>
            <w:pPr>
              <w:pStyle w:val="0"/>
              <w:jc w:val="center"/>
            </w:pPr>
            <w:r>
              <w:rPr>
                <w:sz w:val="20"/>
              </w:rPr>
              <w:t xml:space="preserve">1 464,4</w:t>
            </w:r>
          </w:p>
        </w:tc>
        <w:tc>
          <w:tcPr>
            <w:tcW w:w="963" w:type="dxa"/>
            <w:vAlign w:val="center"/>
            <w:tcBorders>
              <w:top w:val="nil"/>
              <w:left w:val="nil"/>
              <w:bottom w:val="nil"/>
              <w:right w:val="nil"/>
            </w:tcBorders>
          </w:tcPr>
          <w:p>
            <w:pPr>
              <w:pStyle w:val="0"/>
              <w:jc w:val="center"/>
            </w:pPr>
            <w:r>
              <w:rPr>
                <w:sz w:val="20"/>
              </w:rPr>
              <w:t xml:space="preserve">1 546,6</w:t>
            </w:r>
          </w:p>
        </w:tc>
        <w:tc>
          <w:tcPr>
            <w:tcW w:w="963" w:type="dxa"/>
            <w:vAlign w:val="center"/>
            <w:tcBorders>
              <w:top w:val="nil"/>
              <w:left w:val="nil"/>
              <w:bottom w:val="nil"/>
              <w:right w:val="nil"/>
            </w:tcBorders>
          </w:tcPr>
          <w:p>
            <w:pPr>
              <w:pStyle w:val="0"/>
              <w:jc w:val="center"/>
            </w:pPr>
            <w:r>
              <w:rPr>
                <w:sz w:val="20"/>
              </w:rPr>
              <w:t xml:space="preserve">1 311,7</w:t>
            </w:r>
          </w:p>
        </w:tc>
        <w:tc>
          <w:tcPr>
            <w:tcW w:w="963" w:type="dxa"/>
            <w:vAlign w:val="center"/>
            <w:tcBorders>
              <w:top w:val="nil"/>
              <w:left w:val="nil"/>
              <w:bottom w:val="nil"/>
              <w:right w:val="nil"/>
            </w:tcBorders>
          </w:tcPr>
          <w:p>
            <w:pPr>
              <w:pStyle w:val="0"/>
              <w:jc w:val="center"/>
            </w:pPr>
            <w:r>
              <w:rPr>
                <w:sz w:val="20"/>
              </w:rPr>
              <w:t xml:space="preserve">1 411,7</w:t>
            </w:r>
          </w:p>
        </w:tc>
      </w:tr>
      <w:tr>
        <w:tc>
          <w:tcPr>
            <w:tcW w:w="2551" w:type="dxa"/>
            <w:tcBorders>
              <w:top w:val="nil"/>
              <w:left w:val="nil"/>
              <w:bottom w:val="nil"/>
              <w:right w:val="nil"/>
            </w:tcBorders>
          </w:tcPr>
          <w:p>
            <w:pPr>
              <w:pStyle w:val="0"/>
            </w:pPr>
            <w:r>
              <w:rPr>
                <w:sz w:val="20"/>
              </w:rPr>
              <w:t xml:space="preserve">Культура, кинематография</w:t>
            </w:r>
          </w:p>
        </w:tc>
        <w:tc>
          <w:tcPr>
            <w:tcW w:w="793" w:type="dxa"/>
            <w:vAlign w:val="center"/>
            <w:tcBorders>
              <w:top w:val="nil"/>
              <w:left w:val="nil"/>
              <w:bottom w:val="nil"/>
              <w:right w:val="nil"/>
            </w:tcBorders>
          </w:tcPr>
          <w:p>
            <w:pPr>
              <w:pStyle w:val="0"/>
              <w:jc w:val="center"/>
            </w:pPr>
            <w:r>
              <w:rPr>
                <w:sz w:val="20"/>
              </w:rPr>
              <w:t xml:space="preserve">122,4</w:t>
            </w:r>
          </w:p>
        </w:tc>
        <w:tc>
          <w:tcPr>
            <w:tcW w:w="907" w:type="dxa"/>
            <w:vAlign w:val="center"/>
            <w:tcBorders>
              <w:top w:val="nil"/>
              <w:left w:val="nil"/>
              <w:bottom w:val="nil"/>
              <w:right w:val="nil"/>
            </w:tcBorders>
          </w:tcPr>
          <w:p>
            <w:pPr>
              <w:pStyle w:val="0"/>
              <w:jc w:val="center"/>
            </w:pPr>
            <w:r>
              <w:rPr>
                <w:sz w:val="20"/>
              </w:rPr>
              <w:t xml:space="preserve">144,5</w:t>
            </w:r>
          </w:p>
        </w:tc>
        <w:tc>
          <w:tcPr>
            <w:tcW w:w="963" w:type="dxa"/>
            <w:vAlign w:val="center"/>
            <w:tcBorders>
              <w:top w:val="nil"/>
              <w:left w:val="nil"/>
              <w:bottom w:val="nil"/>
              <w:right w:val="nil"/>
            </w:tcBorders>
          </w:tcPr>
          <w:p>
            <w:pPr>
              <w:pStyle w:val="0"/>
              <w:jc w:val="center"/>
            </w:pPr>
            <w:r>
              <w:rPr>
                <w:sz w:val="20"/>
              </w:rPr>
              <w:t xml:space="preserve">146,7</w:t>
            </w:r>
          </w:p>
        </w:tc>
        <w:tc>
          <w:tcPr>
            <w:tcW w:w="963" w:type="dxa"/>
            <w:vAlign w:val="center"/>
            <w:tcBorders>
              <w:top w:val="nil"/>
              <w:left w:val="nil"/>
              <w:bottom w:val="nil"/>
              <w:right w:val="nil"/>
            </w:tcBorders>
          </w:tcPr>
          <w:p>
            <w:pPr>
              <w:pStyle w:val="0"/>
              <w:jc w:val="center"/>
            </w:pPr>
            <w:r>
              <w:rPr>
                <w:sz w:val="20"/>
              </w:rPr>
              <w:t xml:space="preserve">209,0</w:t>
            </w:r>
          </w:p>
        </w:tc>
        <w:tc>
          <w:tcPr>
            <w:tcW w:w="963" w:type="dxa"/>
            <w:vAlign w:val="center"/>
            <w:tcBorders>
              <w:top w:val="nil"/>
              <w:left w:val="nil"/>
              <w:bottom w:val="nil"/>
              <w:right w:val="nil"/>
            </w:tcBorders>
          </w:tcPr>
          <w:p>
            <w:pPr>
              <w:pStyle w:val="0"/>
              <w:jc w:val="center"/>
            </w:pPr>
            <w:r>
              <w:rPr>
                <w:sz w:val="20"/>
              </w:rPr>
              <w:t xml:space="preserve">224,0</w:t>
            </w:r>
          </w:p>
        </w:tc>
        <w:tc>
          <w:tcPr>
            <w:tcW w:w="963" w:type="dxa"/>
            <w:vAlign w:val="center"/>
            <w:tcBorders>
              <w:top w:val="nil"/>
              <w:left w:val="nil"/>
              <w:bottom w:val="nil"/>
              <w:right w:val="nil"/>
            </w:tcBorders>
          </w:tcPr>
          <w:p>
            <w:pPr>
              <w:pStyle w:val="0"/>
              <w:jc w:val="center"/>
            </w:pPr>
            <w:r>
              <w:rPr>
                <w:sz w:val="20"/>
              </w:rPr>
              <w:t xml:space="preserve">176,8</w:t>
            </w:r>
          </w:p>
        </w:tc>
        <w:tc>
          <w:tcPr>
            <w:tcW w:w="963" w:type="dxa"/>
            <w:vAlign w:val="center"/>
            <w:tcBorders>
              <w:top w:val="nil"/>
              <w:left w:val="nil"/>
              <w:bottom w:val="nil"/>
              <w:right w:val="nil"/>
            </w:tcBorders>
          </w:tcPr>
          <w:p>
            <w:pPr>
              <w:pStyle w:val="0"/>
              <w:jc w:val="center"/>
            </w:pPr>
            <w:r>
              <w:rPr>
                <w:sz w:val="20"/>
              </w:rPr>
              <w:t xml:space="preserve">227,3</w:t>
            </w:r>
          </w:p>
        </w:tc>
      </w:tr>
      <w:tr>
        <w:tc>
          <w:tcPr>
            <w:tcW w:w="2551" w:type="dxa"/>
            <w:tcBorders>
              <w:top w:val="nil"/>
              <w:left w:val="nil"/>
              <w:bottom w:val="nil"/>
              <w:right w:val="nil"/>
            </w:tcBorders>
          </w:tcPr>
          <w:p>
            <w:pPr>
              <w:pStyle w:val="0"/>
            </w:pPr>
            <w:r>
              <w:rPr>
                <w:sz w:val="20"/>
              </w:rPr>
              <w:t xml:space="preserve">Здравоохранение</w:t>
            </w:r>
          </w:p>
        </w:tc>
        <w:tc>
          <w:tcPr>
            <w:tcW w:w="793" w:type="dxa"/>
            <w:vAlign w:val="center"/>
            <w:tcBorders>
              <w:top w:val="nil"/>
              <w:left w:val="nil"/>
              <w:bottom w:val="nil"/>
              <w:right w:val="nil"/>
            </w:tcBorders>
          </w:tcPr>
          <w:p>
            <w:pPr>
              <w:pStyle w:val="0"/>
              <w:jc w:val="center"/>
            </w:pPr>
            <w:r>
              <w:rPr>
                <w:sz w:val="20"/>
              </w:rPr>
              <w:t xml:space="preserve">713,0</w:t>
            </w:r>
          </w:p>
        </w:tc>
        <w:tc>
          <w:tcPr>
            <w:tcW w:w="907" w:type="dxa"/>
            <w:vAlign w:val="center"/>
            <w:tcBorders>
              <w:top w:val="nil"/>
              <w:left w:val="nil"/>
              <w:bottom w:val="nil"/>
              <w:right w:val="nil"/>
            </w:tcBorders>
          </w:tcPr>
          <w:p>
            <w:pPr>
              <w:pStyle w:val="0"/>
              <w:jc w:val="center"/>
            </w:pPr>
            <w:r>
              <w:rPr>
                <w:sz w:val="20"/>
              </w:rPr>
              <w:t xml:space="preserve">1 334,4</w:t>
            </w:r>
          </w:p>
        </w:tc>
        <w:tc>
          <w:tcPr>
            <w:tcW w:w="963" w:type="dxa"/>
            <w:vAlign w:val="center"/>
            <w:tcBorders>
              <w:top w:val="nil"/>
              <w:left w:val="nil"/>
              <w:bottom w:val="nil"/>
              <w:right w:val="nil"/>
            </w:tcBorders>
          </w:tcPr>
          <w:p>
            <w:pPr>
              <w:pStyle w:val="0"/>
              <w:jc w:val="center"/>
            </w:pPr>
            <w:r>
              <w:rPr>
                <w:sz w:val="20"/>
              </w:rPr>
              <w:t xml:space="preserve">1 473,9</w:t>
            </w:r>
          </w:p>
        </w:tc>
        <w:tc>
          <w:tcPr>
            <w:tcW w:w="963" w:type="dxa"/>
            <w:vAlign w:val="center"/>
            <w:tcBorders>
              <w:top w:val="nil"/>
              <w:left w:val="nil"/>
              <w:bottom w:val="nil"/>
              <w:right w:val="nil"/>
            </w:tcBorders>
          </w:tcPr>
          <w:p>
            <w:pPr>
              <w:pStyle w:val="0"/>
              <w:jc w:val="center"/>
            </w:pPr>
            <w:r>
              <w:rPr>
                <w:sz w:val="20"/>
              </w:rPr>
              <w:t xml:space="preserve">1 570,0</w:t>
            </w:r>
          </w:p>
        </w:tc>
        <w:tc>
          <w:tcPr>
            <w:tcW w:w="963" w:type="dxa"/>
            <w:vAlign w:val="center"/>
            <w:tcBorders>
              <w:top w:val="nil"/>
              <w:left w:val="nil"/>
              <w:bottom w:val="nil"/>
              <w:right w:val="nil"/>
            </w:tcBorders>
          </w:tcPr>
          <w:p>
            <w:pPr>
              <w:pStyle w:val="0"/>
              <w:jc w:val="center"/>
            </w:pPr>
            <w:r>
              <w:rPr>
                <w:sz w:val="20"/>
              </w:rPr>
              <w:t xml:space="preserve">1 620,3</w:t>
            </w:r>
          </w:p>
        </w:tc>
        <w:tc>
          <w:tcPr>
            <w:tcW w:w="963" w:type="dxa"/>
            <w:vAlign w:val="center"/>
            <w:tcBorders>
              <w:top w:val="nil"/>
              <w:left w:val="nil"/>
              <w:bottom w:val="nil"/>
              <w:right w:val="nil"/>
            </w:tcBorders>
          </w:tcPr>
          <w:p>
            <w:pPr>
              <w:pStyle w:val="0"/>
              <w:jc w:val="center"/>
            </w:pPr>
            <w:r>
              <w:rPr>
                <w:sz w:val="20"/>
              </w:rPr>
              <w:t xml:space="preserve">1 634,5</w:t>
            </w:r>
          </w:p>
        </w:tc>
        <w:tc>
          <w:tcPr>
            <w:tcW w:w="963" w:type="dxa"/>
            <w:vAlign w:val="center"/>
            <w:tcBorders>
              <w:top w:val="nil"/>
              <w:left w:val="nil"/>
              <w:bottom w:val="nil"/>
              <w:right w:val="nil"/>
            </w:tcBorders>
          </w:tcPr>
          <w:p>
            <w:pPr>
              <w:pStyle w:val="0"/>
              <w:jc w:val="center"/>
            </w:pPr>
            <w:r>
              <w:rPr>
                <w:sz w:val="20"/>
              </w:rPr>
              <w:t xml:space="preserve">1 615,3</w:t>
            </w:r>
          </w:p>
        </w:tc>
      </w:tr>
      <w:tr>
        <w:tc>
          <w:tcPr>
            <w:tcW w:w="2551" w:type="dxa"/>
            <w:tcBorders>
              <w:top w:val="nil"/>
              <w:left w:val="nil"/>
              <w:bottom w:val="nil"/>
              <w:right w:val="nil"/>
            </w:tcBorders>
          </w:tcPr>
          <w:p>
            <w:pPr>
              <w:pStyle w:val="0"/>
            </w:pPr>
            <w:r>
              <w:rPr>
                <w:sz w:val="20"/>
              </w:rPr>
              <w:t xml:space="preserve">Социальная политика</w:t>
            </w:r>
          </w:p>
        </w:tc>
        <w:tc>
          <w:tcPr>
            <w:tcW w:w="793" w:type="dxa"/>
            <w:vAlign w:val="center"/>
            <w:tcBorders>
              <w:top w:val="nil"/>
              <w:left w:val="nil"/>
              <w:bottom w:val="nil"/>
              <w:right w:val="nil"/>
            </w:tcBorders>
          </w:tcPr>
          <w:p>
            <w:pPr>
              <w:pStyle w:val="0"/>
              <w:jc w:val="center"/>
            </w:pPr>
            <w:r>
              <w:rPr>
                <w:sz w:val="20"/>
              </w:rPr>
              <w:t xml:space="preserve">4 882,8</w:t>
            </w:r>
          </w:p>
        </w:tc>
        <w:tc>
          <w:tcPr>
            <w:tcW w:w="907" w:type="dxa"/>
            <w:vAlign w:val="center"/>
            <w:tcBorders>
              <w:top w:val="nil"/>
              <w:left w:val="nil"/>
              <w:bottom w:val="nil"/>
              <w:right w:val="nil"/>
            </w:tcBorders>
          </w:tcPr>
          <w:p>
            <w:pPr>
              <w:pStyle w:val="0"/>
              <w:jc w:val="center"/>
            </w:pPr>
            <w:r>
              <w:rPr>
                <w:sz w:val="20"/>
              </w:rPr>
              <w:t xml:space="preserve">6 990,3</w:t>
            </w:r>
          </w:p>
        </w:tc>
        <w:tc>
          <w:tcPr>
            <w:tcW w:w="963" w:type="dxa"/>
            <w:vAlign w:val="center"/>
            <w:tcBorders>
              <w:top w:val="nil"/>
              <w:left w:val="nil"/>
              <w:bottom w:val="nil"/>
              <w:right w:val="nil"/>
            </w:tcBorders>
          </w:tcPr>
          <w:p>
            <w:pPr>
              <w:pStyle w:val="0"/>
              <w:jc w:val="center"/>
            </w:pPr>
            <w:r>
              <w:rPr>
                <w:sz w:val="20"/>
              </w:rPr>
              <w:t xml:space="preserve">6 675,8</w:t>
            </w:r>
          </w:p>
        </w:tc>
        <w:tc>
          <w:tcPr>
            <w:tcW w:w="963" w:type="dxa"/>
            <w:vAlign w:val="center"/>
            <w:tcBorders>
              <w:top w:val="nil"/>
              <w:left w:val="nil"/>
              <w:bottom w:val="nil"/>
              <w:right w:val="nil"/>
            </w:tcBorders>
          </w:tcPr>
          <w:p>
            <w:pPr>
              <w:pStyle w:val="0"/>
              <w:jc w:val="center"/>
            </w:pPr>
            <w:r>
              <w:rPr>
                <w:sz w:val="20"/>
              </w:rPr>
              <w:t xml:space="preserve">6 492,7</w:t>
            </w:r>
          </w:p>
        </w:tc>
        <w:tc>
          <w:tcPr>
            <w:tcW w:w="963" w:type="dxa"/>
            <w:vAlign w:val="center"/>
            <w:tcBorders>
              <w:top w:val="nil"/>
              <w:left w:val="nil"/>
              <w:bottom w:val="nil"/>
              <w:right w:val="nil"/>
            </w:tcBorders>
          </w:tcPr>
          <w:p>
            <w:pPr>
              <w:pStyle w:val="0"/>
              <w:jc w:val="center"/>
            </w:pPr>
            <w:r>
              <w:rPr>
                <w:sz w:val="20"/>
              </w:rPr>
              <w:t xml:space="preserve">7 731,9</w:t>
            </w:r>
          </w:p>
        </w:tc>
        <w:tc>
          <w:tcPr>
            <w:tcW w:w="963" w:type="dxa"/>
            <w:vAlign w:val="center"/>
            <w:tcBorders>
              <w:top w:val="nil"/>
              <w:left w:val="nil"/>
              <w:bottom w:val="nil"/>
              <w:right w:val="nil"/>
            </w:tcBorders>
          </w:tcPr>
          <w:p>
            <w:pPr>
              <w:pStyle w:val="0"/>
              <w:jc w:val="center"/>
            </w:pPr>
            <w:r>
              <w:rPr>
                <w:sz w:val="20"/>
              </w:rPr>
              <w:t xml:space="preserve">7 693,2</w:t>
            </w:r>
          </w:p>
        </w:tc>
        <w:tc>
          <w:tcPr>
            <w:tcW w:w="963" w:type="dxa"/>
            <w:vAlign w:val="center"/>
            <w:tcBorders>
              <w:top w:val="nil"/>
              <w:left w:val="nil"/>
              <w:bottom w:val="nil"/>
              <w:right w:val="nil"/>
            </w:tcBorders>
          </w:tcPr>
          <w:p>
            <w:pPr>
              <w:pStyle w:val="0"/>
              <w:jc w:val="center"/>
            </w:pPr>
            <w:r>
              <w:rPr>
                <w:sz w:val="20"/>
              </w:rPr>
              <w:t xml:space="preserve">7 855,2</w:t>
            </w:r>
          </w:p>
        </w:tc>
      </w:tr>
      <w:tr>
        <w:tc>
          <w:tcPr>
            <w:tcW w:w="2551" w:type="dxa"/>
            <w:tcBorders>
              <w:top w:val="nil"/>
              <w:left w:val="nil"/>
              <w:bottom w:val="nil"/>
              <w:right w:val="nil"/>
            </w:tcBorders>
          </w:tcPr>
          <w:p>
            <w:pPr>
              <w:pStyle w:val="0"/>
            </w:pPr>
            <w:r>
              <w:rPr>
                <w:sz w:val="20"/>
              </w:rPr>
              <w:t xml:space="preserve">Физкультура и спорт</w:t>
            </w:r>
          </w:p>
        </w:tc>
        <w:tc>
          <w:tcPr>
            <w:tcW w:w="793" w:type="dxa"/>
            <w:vAlign w:val="center"/>
            <w:tcBorders>
              <w:top w:val="nil"/>
              <w:left w:val="nil"/>
              <w:bottom w:val="nil"/>
              <w:right w:val="nil"/>
            </w:tcBorders>
          </w:tcPr>
          <w:p>
            <w:pPr>
              <w:pStyle w:val="0"/>
              <w:jc w:val="center"/>
            </w:pPr>
            <w:r>
              <w:rPr>
                <w:sz w:val="20"/>
              </w:rPr>
              <w:t xml:space="preserve">81,4</w:t>
            </w:r>
          </w:p>
        </w:tc>
        <w:tc>
          <w:tcPr>
            <w:tcW w:w="907" w:type="dxa"/>
            <w:vAlign w:val="center"/>
            <w:tcBorders>
              <w:top w:val="nil"/>
              <w:left w:val="nil"/>
              <w:bottom w:val="nil"/>
              <w:right w:val="nil"/>
            </w:tcBorders>
          </w:tcPr>
          <w:p>
            <w:pPr>
              <w:pStyle w:val="0"/>
              <w:jc w:val="center"/>
            </w:pPr>
            <w:r>
              <w:rPr>
                <w:sz w:val="20"/>
              </w:rPr>
              <w:t xml:space="preserve">75,3</w:t>
            </w:r>
          </w:p>
        </w:tc>
        <w:tc>
          <w:tcPr>
            <w:tcW w:w="963" w:type="dxa"/>
            <w:vAlign w:val="center"/>
            <w:tcBorders>
              <w:top w:val="nil"/>
              <w:left w:val="nil"/>
              <w:bottom w:val="nil"/>
              <w:right w:val="nil"/>
            </w:tcBorders>
          </w:tcPr>
          <w:p>
            <w:pPr>
              <w:pStyle w:val="0"/>
              <w:jc w:val="center"/>
            </w:pPr>
            <w:r>
              <w:rPr>
                <w:sz w:val="20"/>
              </w:rPr>
              <w:t xml:space="preserve">70,9</w:t>
            </w:r>
          </w:p>
        </w:tc>
        <w:tc>
          <w:tcPr>
            <w:tcW w:w="963" w:type="dxa"/>
            <w:vAlign w:val="center"/>
            <w:tcBorders>
              <w:top w:val="nil"/>
              <w:left w:val="nil"/>
              <w:bottom w:val="nil"/>
              <w:right w:val="nil"/>
            </w:tcBorders>
          </w:tcPr>
          <w:p>
            <w:pPr>
              <w:pStyle w:val="0"/>
              <w:jc w:val="center"/>
            </w:pPr>
            <w:r>
              <w:rPr>
                <w:sz w:val="20"/>
              </w:rPr>
              <w:t xml:space="preserve">71,4</w:t>
            </w:r>
          </w:p>
        </w:tc>
        <w:tc>
          <w:tcPr>
            <w:tcW w:w="963" w:type="dxa"/>
            <w:vAlign w:val="center"/>
            <w:tcBorders>
              <w:top w:val="nil"/>
              <w:left w:val="nil"/>
              <w:bottom w:val="nil"/>
              <w:right w:val="nil"/>
            </w:tcBorders>
          </w:tcPr>
          <w:p>
            <w:pPr>
              <w:pStyle w:val="0"/>
              <w:jc w:val="center"/>
            </w:pPr>
            <w:r>
              <w:rPr>
                <w:sz w:val="20"/>
              </w:rPr>
              <w:t xml:space="preserve">67,4</w:t>
            </w:r>
          </w:p>
        </w:tc>
        <w:tc>
          <w:tcPr>
            <w:tcW w:w="963" w:type="dxa"/>
            <w:vAlign w:val="center"/>
            <w:tcBorders>
              <w:top w:val="nil"/>
              <w:left w:val="nil"/>
              <w:bottom w:val="nil"/>
              <w:right w:val="nil"/>
            </w:tcBorders>
          </w:tcPr>
          <w:p>
            <w:pPr>
              <w:pStyle w:val="0"/>
              <w:jc w:val="center"/>
            </w:pPr>
            <w:r>
              <w:rPr>
                <w:sz w:val="20"/>
              </w:rPr>
              <w:t xml:space="preserve">54,3</w:t>
            </w:r>
          </w:p>
        </w:tc>
        <w:tc>
          <w:tcPr>
            <w:tcW w:w="963" w:type="dxa"/>
            <w:vAlign w:val="center"/>
            <w:tcBorders>
              <w:top w:val="nil"/>
              <w:left w:val="nil"/>
              <w:bottom w:val="nil"/>
              <w:right w:val="nil"/>
            </w:tcBorders>
          </w:tcPr>
          <w:p>
            <w:pPr>
              <w:pStyle w:val="0"/>
              <w:jc w:val="center"/>
            </w:pPr>
            <w:r>
              <w:rPr>
                <w:sz w:val="20"/>
              </w:rPr>
              <w:t xml:space="preserve">53,5</w:t>
            </w:r>
          </w:p>
        </w:tc>
      </w:tr>
      <w:tr>
        <w:tc>
          <w:tcPr>
            <w:tcW w:w="2551" w:type="dxa"/>
            <w:tcBorders>
              <w:top w:val="nil"/>
              <w:left w:val="nil"/>
              <w:bottom w:val="nil"/>
              <w:right w:val="nil"/>
            </w:tcBorders>
          </w:tcPr>
          <w:p>
            <w:pPr>
              <w:pStyle w:val="0"/>
            </w:pPr>
            <w:r>
              <w:rPr>
                <w:sz w:val="20"/>
              </w:rPr>
              <w:t xml:space="preserve">СМИ</w:t>
            </w:r>
          </w:p>
        </w:tc>
        <w:tc>
          <w:tcPr>
            <w:tcW w:w="793" w:type="dxa"/>
            <w:vAlign w:val="center"/>
            <w:tcBorders>
              <w:top w:val="nil"/>
              <w:left w:val="nil"/>
              <w:bottom w:val="nil"/>
              <w:right w:val="nil"/>
            </w:tcBorders>
          </w:tcPr>
          <w:p>
            <w:pPr>
              <w:pStyle w:val="0"/>
              <w:jc w:val="center"/>
            </w:pPr>
            <w:r>
              <w:rPr>
                <w:sz w:val="20"/>
              </w:rPr>
              <w:t xml:space="preserve">103,5</w:t>
            </w:r>
          </w:p>
        </w:tc>
        <w:tc>
          <w:tcPr>
            <w:tcW w:w="907" w:type="dxa"/>
            <w:vAlign w:val="center"/>
            <w:tcBorders>
              <w:top w:val="nil"/>
              <w:left w:val="nil"/>
              <w:bottom w:val="nil"/>
              <w:right w:val="nil"/>
            </w:tcBorders>
          </w:tcPr>
          <w:p>
            <w:pPr>
              <w:pStyle w:val="0"/>
              <w:jc w:val="center"/>
            </w:pPr>
            <w:r>
              <w:rPr>
                <w:sz w:val="20"/>
              </w:rPr>
              <w:t xml:space="preserve">121,1</w:t>
            </w:r>
          </w:p>
        </w:tc>
        <w:tc>
          <w:tcPr>
            <w:tcW w:w="963" w:type="dxa"/>
            <w:vAlign w:val="center"/>
            <w:tcBorders>
              <w:top w:val="nil"/>
              <w:left w:val="nil"/>
              <w:bottom w:val="nil"/>
              <w:right w:val="nil"/>
            </w:tcBorders>
          </w:tcPr>
          <w:p>
            <w:pPr>
              <w:pStyle w:val="0"/>
              <w:jc w:val="center"/>
            </w:pPr>
            <w:r>
              <w:rPr>
                <w:sz w:val="20"/>
              </w:rPr>
              <w:t xml:space="preserve">114,0</w:t>
            </w:r>
          </w:p>
        </w:tc>
        <w:tc>
          <w:tcPr>
            <w:tcW w:w="963" w:type="dxa"/>
            <w:vAlign w:val="center"/>
            <w:tcBorders>
              <w:top w:val="nil"/>
              <w:left w:val="nil"/>
              <w:bottom w:val="nil"/>
              <w:right w:val="nil"/>
            </w:tcBorders>
          </w:tcPr>
          <w:p>
            <w:pPr>
              <w:pStyle w:val="0"/>
              <w:jc w:val="center"/>
            </w:pPr>
            <w:r>
              <w:rPr>
                <w:sz w:val="20"/>
              </w:rPr>
              <w:t xml:space="preserve">122,1</w:t>
            </w:r>
          </w:p>
        </w:tc>
        <w:tc>
          <w:tcPr>
            <w:tcW w:w="963" w:type="dxa"/>
            <w:vAlign w:val="center"/>
            <w:tcBorders>
              <w:top w:val="nil"/>
              <w:left w:val="nil"/>
              <w:bottom w:val="nil"/>
              <w:right w:val="nil"/>
            </w:tcBorders>
          </w:tcPr>
          <w:p>
            <w:pPr>
              <w:pStyle w:val="0"/>
              <w:jc w:val="center"/>
            </w:pPr>
            <w:r>
              <w:rPr>
                <w:sz w:val="20"/>
              </w:rPr>
              <w:t xml:space="preserve">121,3</w:t>
            </w:r>
          </w:p>
        </w:tc>
        <w:tc>
          <w:tcPr>
            <w:tcW w:w="963" w:type="dxa"/>
            <w:vAlign w:val="center"/>
            <w:tcBorders>
              <w:top w:val="nil"/>
              <w:left w:val="nil"/>
              <w:bottom w:val="nil"/>
              <w:right w:val="nil"/>
            </w:tcBorders>
          </w:tcPr>
          <w:p>
            <w:pPr>
              <w:pStyle w:val="0"/>
              <w:jc w:val="center"/>
            </w:pPr>
            <w:r>
              <w:rPr>
                <w:sz w:val="20"/>
              </w:rPr>
              <w:t xml:space="preserve">94,2</w:t>
            </w:r>
          </w:p>
        </w:tc>
        <w:tc>
          <w:tcPr>
            <w:tcW w:w="963" w:type="dxa"/>
            <w:vAlign w:val="center"/>
            <w:tcBorders>
              <w:top w:val="nil"/>
              <w:left w:val="nil"/>
              <w:bottom w:val="nil"/>
              <w:right w:val="nil"/>
            </w:tcBorders>
          </w:tcPr>
          <w:p>
            <w:pPr>
              <w:pStyle w:val="0"/>
              <w:jc w:val="center"/>
            </w:pPr>
            <w:r>
              <w:rPr>
                <w:sz w:val="20"/>
              </w:rPr>
              <w:t xml:space="preserve">99,5</w:t>
            </w:r>
          </w:p>
        </w:tc>
      </w:tr>
      <w:tr>
        <w:tc>
          <w:tcPr>
            <w:tcW w:w="2551" w:type="dxa"/>
            <w:tcBorders>
              <w:top w:val="nil"/>
              <w:left w:val="nil"/>
              <w:bottom w:val="nil"/>
              <w:right w:val="nil"/>
            </w:tcBorders>
          </w:tcPr>
          <w:p>
            <w:pPr>
              <w:pStyle w:val="0"/>
            </w:pPr>
            <w:r>
              <w:rPr>
                <w:sz w:val="20"/>
              </w:rPr>
              <w:t xml:space="preserve">Обслуживание госдолга</w:t>
            </w:r>
          </w:p>
        </w:tc>
        <w:tc>
          <w:tcPr>
            <w:tcW w:w="793" w:type="dxa"/>
            <w:vAlign w:val="center"/>
            <w:tcBorders>
              <w:top w:val="nil"/>
              <w:left w:val="nil"/>
              <w:bottom w:val="nil"/>
              <w:right w:val="nil"/>
            </w:tcBorders>
          </w:tcPr>
          <w:p>
            <w:pPr>
              <w:pStyle w:val="0"/>
              <w:jc w:val="center"/>
            </w:pPr>
            <w:r>
              <w:rPr>
                <w:sz w:val="20"/>
              </w:rPr>
              <w:t xml:space="preserve">730,8</w:t>
            </w:r>
          </w:p>
        </w:tc>
        <w:tc>
          <w:tcPr>
            <w:tcW w:w="907" w:type="dxa"/>
            <w:vAlign w:val="center"/>
            <w:tcBorders>
              <w:top w:val="nil"/>
              <w:left w:val="nil"/>
              <w:bottom w:val="nil"/>
              <w:right w:val="nil"/>
            </w:tcBorders>
          </w:tcPr>
          <w:p>
            <w:pPr>
              <w:pStyle w:val="0"/>
              <w:jc w:val="center"/>
            </w:pPr>
            <w:r>
              <w:rPr>
                <w:sz w:val="20"/>
              </w:rPr>
              <w:t xml:space="preserve">784,2</w:t>
            </w:r>
          </w:p>
        </w:tc>
        <w:tc>
          <w:tcPr>
            <w:tcW w:w="963" w:type="dxa"/>
            <w:vAlign w:val="center"/>
            <w:tcBorders>
              <w:top w:val="nil"/>
              <w:left w:val="nil"/>
              <w:bottom w:val="nil"/>
              <w:right w:val="nil"/>
            </w:tcBorders>
          </w:tcPr>
          <w:p>
            <w:pPr>
              <w:pStyle w:val="0"/>
              <w:jc w:val="center"/>
            </w:pPr>
            <w:r>
              <w:rPr>
                <w:sz w:val="20"/>
              </w:rPr>
              <w:t xml:space="preserve">1 084,2</w:t>
            </w:r>
          </w:p>
        </w:tc>
        <w:tc>
          <w:tcPr>
            <w:tcW w:w="963" w:type="dxa"/>
            <w:vAlign w:val="center"/>
            <w:tcBorders>
              <w:top w:val="nil"/>
              <w:left w:val="nil"/>
              <w:bottom w:val="nil"/>
              <w:right w:val="nil"/>
            </w:tcBorders>
          </w:tcPr>
          <w:p>
            <w:pPr>
              <w:pStyle w:val="0"/>
              <w:jc w:val="center"/>
            </w:pPr>
            <w:r>
              <w:rPr>
                <w:sz w:val="20"/>
              </w:rPr>
              <w:t xml:space="preserve">1 519,3</w:t>
            </w:r>
          </w:p>
        </w:tc>
        <w:tc>
          <w:tcPr>
            <w:tcW w:w="963" w:type="dxa"/>
            <w:vAlign w:val="center"/>
            <w:tcBorders>
              <w:top w:val="nil"/>
              <w:left w:val="nil"/>
              <w:bottom w:val="nil"/>
              <w:right w:val="nil"/>
            </w:tcBorders>
          </w:tcPr>
          <w:p>
            <w:pPr>
              <w:pStyle w:val="0"/>
              <w:jc w:val="center"/>
            </w:pPr>
            <w:r>
              <w:rPr>
                <w:sz w:val="20"/>
              </w:rPr>
              <w:t xml:space="preserve">2 291,3</w:t>
            </w:r>
          </w:p>
        </w:tc>
        <w:tc>
          <w:tcPr>
            <w:tcW w:w="963" w:type="dxa"/>
            <w:vAlign w:val="center"/>
            <w:tcBorders>
              <w:top w:val="nil"/>
              <w:left w:val="nil"/>
              <w:bottom w:val="nil"/>
              <w:right w:val="nil"/>
            </w:tcBorders>
          </w:tcPr>
          <w:p>
            <w:pPr>
              <w:pStyle w:val="0"/>
              <w:jc w:val="center"/>
            </w:pPr>
            <w:r>
              <w:rPr>
                <w:sz w:val="20"/>
              </w:rPr>
              <w:t xml:space="preserve">2 803,8</w:t>
            </w:r>
          </w:p>
        </w:tc>
        <w:tc>
          <w:tcPr>
            <w:tcW w:w="963" w:type="dxa"/>
            <w:vAlign w:val="center"/>
            <w:tcBorders>
              <w:top w:val="nil"/>
              <w:left w:val="nil"/>
              <w:bottom w:val="nil"/>
              <w:right w:val="nil"/>
            </w:tcBorders>
          </w:tcPr>
          <w:p>
            <w:pPr>
              <w:pStyle w:val="0"/>
              <w:jc w:val="center"/>
            </w:pPr>
            <w:r>
              <w:rPr>
                <w:sz w:val="20"/>
              </w:rPr>
              <w:t xml:space="preserve">3 316,1</w:t>
            </w:r>
          </w:p>
        </w:tc>
      </w:tr>
      <w:tr>
        <w:tc>
          <w:tcPr>
            <w:tcW w:w="2551" w:type="dxa"/>
            <w:tcBorders>
              <w:top w:val="nil"/>
              <w:left w:val="nil"/>
              <w:bottom w:val="nil"/>
              <w:right w:val="nil"/>
            </w:tcBorders>
          </w:tcPr>
          <w:p>
            <w:pPr>
              <w:pStyle w:val="0"/>
            </w:pPr>
            <w:r>
              <w:rPr>
                <w:sz w:val="20"/>
              </w:rPr>
              <w:t xml:space="preserve">МБТ общего характера</w:t>
            </w:r>
          </w:p>
        </w:tc>
        <w:tc>
          <w:tcPr>
            <w:tcW w:w="793" w:type="dxa"/>
            <w:vAlign w:val="center"/>
            <w:tcBorders>
              <w:top w:val="nil"/>
              <w:left w:val="nil"/>
              <w:bottom w:val="nil"/>
              <w:right w:val="nil"/>
            </w:tcBorders>
          </w:tcPr>
          <w:p>
            <w:pPr>
              <w:pStyle w:val="0"/>
              <w:jc w:val="center"/>
            </w:pPr>
            <w:r>
              <w:rPr>
                <w:sz w:val="20"/>
              </w:rPr>
              <w:t xml:space="preserve">1 003,1</w:t>
            </w:r>
          </w:p>
        </w:tc>
        <w:tc>
          <w:tcPr>
            <w:tcW w:w="907" w:type="dxa"/>
            <w:vAlign w:val="center"/>
            <w:tcBorders>
              <w:top w:val="nil"/>
              <w:left w:val="nil"/>
              <w:bottom w:val="nil"/>
              <w:right w:val="nil"/>
            </w:tcBorders>
          </w:tcPr>
          <w:p>
            <w:pPr>
              <w:pStyle w:val="0"/>
              <w:jc w:val="center"/>
            </w:pPr>
            <w:r>
              <w:rPr>
                <w:sz w:val="20"/>
              </w:rPr>
              <w:t xml:space="preserve">1 395,9</w:t>
            </w:r>
          </w:p>
        </w:tc>
        <w:tc>
          <w:tcPr>
            <w:tcW w:w="963" w:type="dxa"/>
            <w:vAlign w:val="center"/>
            <w:tcBorders>
              <w:top w:val="nil"/>
              <w:left w:val="nil"/>
              <w:bottom w:val="nil"/>
              <w:right w:val="nil"/>
            </w:tcBorders>
          </w:tcPr>
          <w:p>
            <w:pPr>
              <w:pStyle w:val="0"/>
              <w:jc w:val="center"/>
            </w:pPr>
            <w:r>
              <w:rPr>
                <w:sz w:val="20"/>
              </w:rPr>
              <w:t xml:space="preserve">1 107,7</w:t>
            </w:r>
          </w:p>
        </w:tc>
        <w:tc>
          <w:tcPr>
            <w:tcW w:w="963" w:type="dxa"/>
            <w:vAlign w:val="center"/>
            <w:tcBorders>
              <w:top w:val="nil"/>
              <w:left w:val="nil"/>
              <w:bottom w:val="nil"/>
              <w:right w:val="nil"/>
            </w:tcBorders>
          </w:tcPr>
          <w:p>
            <w:pPr>
              <w:pStyle w:val="0"/>
              <w:jc w:val="center"/>
            </w:pPr>
            <w:r>
              <w:rPr>
                <w:sz w:val="20"/>
              </w:rPr>
              <w:t xml:space="preserve">1 530,4</w:t>
            </w:r>
          </w:p>
        </w:tc>
        <w:tc>
          <w:tcPr>
            <w:tcW w:w="963" w:type="dxa"/>
            <w:vAlign w:val="center"/>
            <w:tcBorders>
              <w:top w:val="nil"/>
              <w:left w:val="nil"/>
              <w:bottom w:val="nil"/>
              <w:right w:val="nil"/>
            </w:tcBorders>
          </w:tcPr>
          <w:p>
            <w:pPr>
              <w:pStyle w:val="0"/>
              <w:jc w:val="center"/>
            </w:pPr>
            <w:r>
              <w:rPr>
                <w:sz w:val="20"/>
              </w:rPr>
              <w:t xml:space="preserve">1 474,1</w:t>
            </w:r>
          </w:p>
        </w:tc>
        <w:tc>
          <w:tcPr>
            <w:tcW w:w="963" w:type="dxa"/>
            <w:vAlign w:val="center"/>
            <w:tcBorders>
              <w:top w:val="nil"/>
              <w:left w:val="nil"/>
              <w:bottom w:val="nil"/>
              <w:right w:val="nil"/>
            </w:tcBorders>
          </w:tcPr>
          <w:p>
            <w:pPr>
              <w:pStyle w:val="0"/>
              <w:jc w:val="center"/>
            </w:pPr>
            <w:r>
              <w:rPr>
                <w:sz w:val="20"/>
              </w:rPr>
              <w:t xml:space="preserve">1 433,4</w:t>
            </w:r>
          </w:p>
        </w:tc>
        <w:tc>
          <w:tcPr>
            <w:tcW w:w="963" w:type="dxa"/>
            <w:vAlign w:val="center"/>
            <w:tcBorders>
              <w:top w:val="nil"/>
              <w:left w:val="nil"/>
              <w:bottom w:val="nil"/>
              <w:right w:val="nil"/>
            </w:tcBorders>
          </w:tcPr>
          <w:p>
            <w:pPr>
              <w:pStyle w:val="0"/>
              <w:jc w:val="center"/>
            </w:pPr>
            <w:r>
              <w:rPr>
                <w:sz w:val="20"/>
              </w:rPr>
              <w:t xml:space="preserve">1 433,7</w:t>
            </w:r>
          </w:p>
        </w:tc>
      </w:tr>
      <w:tr>
        <w:tc>
          <w:tcPr>
            <w:tcW w:w="2551" w:type="dxa"/>
            <w:tcBorders>
              <w:top w:val="nil"/>
              <w:left w:val="nil"/>
              <w:bottom w:val="single" w:sz="4"/>
              <w:right w:val="nil"/>
            </w:tcBorders>
          </w:tcPr>
          <w:p>
            <w:pPr>
              <w:pStyle w:val="0"/>
            </w:pPr>
            <w:r>
              <w:rPr>
                <w:sz w:val="20"/>
              </w:rPr>
              <w:t xml:space="preserve">Условно утвержденные</w:t>
            </w:r>
          </w:p>
        </w:tc>
        <w:tc>
          <w:tcPr>
            <w:tcW w:w="793" w:type="dxa"/>
            <w:vAlign w:val="center"/>
            <w:tcBorders>
              <w:top w:val="nil"/>
              <w:left w:val="nil"/>
              <w:bottom w:val="single" w:sz="4"/>
              <w:right w:val="nil"/>
            </w:tcBorders>
          </w:tcPr>
          <w:p>
            <w:pPr>
              <w:pStyle w:val="0"/>
              <w:jc w:val="center"/>
            </w:pPr>
            <w:r>
              <w:rPr>
                <w:sz w:val="20"/>
              </w:rPr>
              <w:t xml:space="preserve">-</w:t>
            </w:r>
          </w:p>
        </w:tc>
        <w:tc>
          <w:tcPr>
            <w:tcW w:w="907" w:type="dxa"/>
            <w:vAlign w:val="center"/>
            <w:tcBorders>
              <w:top w:val="nil"/>
              <w:left w:val="nil"/>
              <w:bottom w:val="single" w:sz="4"/>
              <w:right w:val="nil"/>
            </w:tcBorders>
          </w:tcPr>
          <w:p>
            <w:pPr>
              <w:pStyle w:val="0"/>
              <w:jc w:val="center"/>
            </w:pPr>
            <w:r>
              <w:rPr>
                <w:sz w:val="20"/>
              </w:rPr>
              <w:t xml:space="preserve">-</w:t>
            </w:r>
          </w:p>
        </w:tc>
        <w:tc>
          <w:tcPr>
            <w:tcW w:w="963" w:type="dxa"/>
            <w:vAlign w:val="center"/>
            <w:tcBorders>
              <w:top w:val="nil"/>
              <w:left w:val="nil"/>
              <w:bottom w:val="single" w:sz="4"/>
              <w:right w:val="nil"/>
            </w:tcBorders>
          </w:tcPr>
          <w:p>
            <w:pPr>
              <w:pStyle w:val="0"/>
              <w:jc w:val="center"/>
            </w:pPr>
            <w:r>
              <w:rPr>
                <w:sz w:val="20"/>
              </w:rPr>
              <w:t xml:space="preserve">-</w:t>
            </w:r>
          </w:p>
        </w:tc>
        <w:tc>
          <w:tcPr>
            <w:tcW w:w="963" w:type="dxa"/>
            <w:vAlign w:val="center"/>
            <w:tcBorders>
              <w:top w:val="nil"/>
              <w:left w:val="nil"/>
              <w:bottom w:val="single" w:sz="4"/>
              <w:right w:val="nil"/>
            </w:tcBorders>
          </w:tcPr>
          <w:p>
            <w:pPr>
              <w:pStyle w:val="0"/>
              <w:jc w:val="center"/>
            </w:pPr>
            <w:r>
              <w:rPr>
                <w:sz w:val="20"/>
              </w:rPr>
              <w:t xml:space="preserve">-</w:t>
            </w:r>
          </w:p>
        </w:tc>
        <w:tc>
          <w:tcPr>
            <w:tcW w:w="963" w:type="dxa"/>
            <w:vAlign w:val="center"/>
            <w:tcBorders>
              <w:top w:val="nil"/>
              <w:left w:val="nil"/>
              <w:bottom w:val="single" w:sz="4"/>
              <w:right w:val="nil"/>
            </w:tcBorders>
          </w:tcPr>
          <w:p>
            <w:pPr>
              <w:pStyle w:val="0"/>
              <w:jc w:val="center"/>
            </w:pPr>
            <w:r>
              <w:rPr>
                <w:sz w:val="20"/>
              </w:rPr>
              <w:t xml:space="preserve">-</w:t>
            </w:r>
          </w:p>
        </w:tc>
        <w:tc>
          <w:tcPr>
            <w:tcW w:w="963" w:type="dxa"/>
            <w:vAlign w:val="center"/>
            <w:tcBorders>
              <w:top w:val="nil"/>
              <w:left w:val="nil"/>
              <w:bottom w:val="single" w:sz="4"/>
              <w:right w:val="nil"/>
            </w:tcBorders>
          </w:tcPr>
          <w:p>
            <w:pPr>
              <w:pStyle w:val="0"/>
              <w:jc w:val="center"/>
            </w:pPr>
            <w:r>
              <w:rPr>
                <w:sz w:val="20"/>
              </w:rPr>
              <w:t xml:space="preserve">859,6</w:t>
            </w:r>
          </w:p>
        </w:tc>
        <w:tc>
          <w:tcPr>
            <w:tcW w:w="963" w:type="dxa"/>
            <w:vAlign w:val="center"/>
            <w:tcBorders>
              <w:top w:val="nil"/>
              <w:left w:val="nil"/>
              <w:bottom w:val="single" w:sz="4"/>
              <w:right w:val="nil"/>
            </w:tcBorders>
          </w:tcPr>
          <w:p>
            <w:pPr>
              <w:pStyle w:val="0"/>
              <w:jc w:val="center"/>
            </w:pPr>
            <w:r>
              <w:rPr>
                <w:sz w:val="20"/>
              </w:rPr>
              <w:t xml:space="preserve">1 779,4</w:t>
            </w:r>
          </w:p>
        </w:tc>
      </w:tr>
    </w:tbl>
    <w:p>
      <w:pPr>
        <w:pStyle w:val="0"/>
        <w:jc w:val="both"/>
      </w:pPr>
      <w:r>
        <w:rPr>
          <w:sz w:val="20"/>
        </w:rPr>
      </w:r>
    </w:p>
    <w:p>
      <w:pPr>
        <w:pStyle w:val="0"/>
        <w:ind w:firstLine="540"/>
        <w:jc w:val="both"/>
      </w:pPr>
      <w:r>
        <w:rPr>
          <w:sz w:val="20"/>
        </w:rPr>
        <w:t xml:space="preserve">--------------------------------</w:t>
      </w:r>
    </w:p>
    <w:bookmarkStart w:id="1712" w:name="P1712"/>
    <w:bookmarkEnd w:id="1712"/>
    <w:p>
      <w:pPr>
        <w:pStyle w:val="0"/>
        <w:spacing w:before="200" w:line-rule="auto"/>
        <w:ind w:firstLine="540"/>
        <w:jc w:val="both"/>
      </w:pPr>
      <w:r>
        <w:rPr>
          <w:sz w:val="20"/>
        </w:rPr>
        <w:t xml:space="preserve">&lt;*&gt; с учетом сводной бюджетной росписи федерального бюджета на 1 сентября 2023 г.</w:t>
      </w:r>
    </w:p>
    <w:p>
      <w:pPr>
        <w:pStyle w:val="0"/>
        <w:jc w:val="both"/>
      </w:pPr>
      <w:r>
        <w:rPr>
          <w:sz w:val="20"/>
        </w:rPr>
      </w:r>
    </w:p>
    <w:p>
      <w:pPr>
        <w:pStyle w:val="2"/>
        <w:outlineLvl w:val="3"/>
        <w:ind w:firstLine="540"/>
        <w:jc w:val="both"/>
      </w:pPr>
      <w:r>
        <w:rPr>
          <w:sz w:val="20"/>
        </w:rPr>
        <w:t xml:space="preserve">Источники финансирования дефицита федерального бюджета</w:t>
      </w:r>
    </w:p>
    <w:p>
      <w:pPr>
        <w:pStyle w:val="0"/>
        <w:spacing w:before="200" w:line-rule="auto"/>
        <w:ind w:firstLine="540"/>
        <w:jc w:val="both"/>
      </w:pPr>
      <w:r>
        <w:rPr>
          <w:sz w:val="20"/>
        </w:rPr>
        <w:t xml:space="preserve">Формирование федерального бюджета в соответствии с "бюджетными правилами" предопределяет объем требуемых долговых источников на уровне порядка 3 трлн рублей в год (на чистой основе).</w:t>
      </w:r>
    </w:p>
    <w:p>
      <w:pPr>
        <w:pStyle w:val="0"/>
        <w:spacing w:before="200" w:line-rule="auto"/>
        <w:ind w:firstLine="540"/>
        <w:jc w:val="both"/>
      </w:pPr>
      <w:r>
        <w:rPr>
          <w:sz w:val="20"/>
        </w:rPr>
        <w:t xml:space="preserve">Основным источником финансирования дефицита федерального бюджета, как и ранее, будут выступать внутренние заимствования.</w:t>
      </w:r>
    </w:p>
    <w:p>
      <w:pPr>
        <w:pStyle w:val="0"/>
        <w:spacing w:before="200" w:line-rule="auto"/>
        <w:ind w:firstLine="540"/>
        <w:jc w:val="both"/>
      </w:pPr>
      <w:r>
        <w:rPr>
          <w:sz w:val="20"/>
        </w:rPr>
        <w:t xml:space="preserve">В целях минимизации рисков, связанных с обслуживанием и рефинансированием госдолга, долговая политика, как и ранее, будет нацелена на привлечение необходимого объема заемных ресурсов с приоритизацией предложения облигаций с постоянным доходом. Одновременно будет обеспечиваться комфортная дюрация долгового портфеля и минимизация стоимости заемных средств с учетом рыночной конъюнктуры, а также диверсификация предложения долговых инструментов по типам и срокам до погашения для максимального удовлетворения спроса различных категорий инвесторов, повышения ликвидности долгового рынка.</w:t>
      </w:r>
    </w:p>
    <w:p>
      <w:pPr>
        <w:pStyle w:val="0"/>
        <w:jc w:val="both"/>
      </w:pPr>
      <w:r>
        <w:rPr>
          <w:sz w:val="20"/>
        </w:rPr>
      </w:r>
    </w:p>
    <w:p>
      <w:pPr>
        <w:pStyle w:val="0"/>
        <w:ind w:firstLine="540"/>
        <w:jc w:val="both"/>
      </w:pPr>
      <w:r>
        <w:rPr>
          <w:sz w:val="20"/>
        </w:rPr>
        <w:t xml:space="preserve">Таблица 4.1.4. Источники финансирования дефицита ФБ в 2019 - 2026 гг.</w:t>
      </w:r>
    </w:p>
    <w:p>
      <w:pPr>
        <w:pStyle w:val="0"/>
        <w:jc w:val="both"/>
      </w:pPr>
      <w:r>
        <w:rPr>
          <w:sz w:val="20"/>
        </w:rPr>
      </w:r>
    </w:p>
    <w:p>
      <w:pPr>
        <w:pStyle w:val="0"/>
        <w:jc w:val="right"/>
      </w:pPr>
      <w:r>
        <w:rPr>
          <w:sz w:val="20"/>
        </w:rPr>
        <w:t xml:space="preserve">млрд рублей</w:t>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tblBorders>
        <w:tblCellMar>
          <w:top w:w="102" w:type="dxa"/>
          <w:left w:w="62" w:type="dxa"/>
          <w:bottom w:w="102" w:type="dxa"/>
          <w:right w:w="62" w:type="dxa"/>
        </w:tblCellMar>
      </w:tblPr>
      <w:tblGrid>
        <w:gridCol w:w="2154"/>
        <w:gridCol w:w="1020"/>
        <w:gridCol w:w="1020"/>
        <w:gridCol w:w="1020"/>
        <w:gridCol w:w="1191"/>
        <w:gridCol w:w="1247"/>
        <w:gridCol w:w="1020"/>
        <w:gridCol w:w="1020"/>
        <w:gridCol w:w="1020"/>
      </w:tblGrid>
      <w:tr>
        <w:tblPrEx>
          <w:tblBorders>
            <w:insideH w:val="single" w:sz="4"/>
          </w:tblBorders>
        </w:tblPrEx>
        <w:tc>
          <w:tcPr>
            <w:tcW w:w="2154" w:type="dxa"/>
            <w:tcBorders>
              <w:top w:val="single" w:sz="4"/>
              <w:left w:val="nil"/>
              <w:bottom w:val="single" w:sz="4"/>
              <w:right w:val="nil"/>
            </w:tcBorders>
          </w:tcPr>
          <w:p>
            <w:pPr>
              <w:pStyle w:val="0"/>
              <w:jc w:val="center"/>
            </w:pPr>
            <w:r>
              <w:rPr>
                <w:sz w:val="20"/>
              </w:rPr>
              <w:t xml:space="preserve">Показатель</w:t>
            </w:r>
          </w:p>
        </w:tc>
        <w:tc>
          <w:tcPr>
            <w:tcW w:w="1020" w:type="dxa"/>
            <w:tcBorders>
              <w:top w:val="single" w:sz="4"/>
              <w:left w:val="nil"/>
              <w:bottom w:val="single" w:sz="4"/>
              <w:right w:val="nil"/>
            </w:tcBorders>
          </w:tcPr>
          <w:p>
            <w:pPr>
              <w:pStyle w:val="0"/>
              <w:jc w:val="center"/>
            </w:pPr>
            <w:r>
              <w:rPr>
                <w:sz w:val="20"/>
              </w:rPr>
              <w:t xml:space="preserve">2019</w:t>
            </w:r>
          </w:p>
        </w:tc>
        <w:tc>
          <w:tcPr>
            <w:tcW w:w="1020" w:type="dxa"/>
            <w:tcBorders>
              <w:top w:val="single" w:sz="4"/>
              <w:left w:val="nil"/>
              <w:bottom w:val="single" w:sz="4"/>
              <w:right w:val="nil"/>
            </w:tcBorders>
          </w:tcPr>
          <w:p>
            <w:pPr>
              <w:pStyle w:val="0"/>
              <w:jc w:val="center"/>
            </w:pPr>
            <w:r>
              <w:rPr>
                <w:sz w:val="20"/>
              </w:rPr>
              <w:t xml:space="preserve">2020</w:t>
            </w:r>
          </w:p>
        </w:tc>
        <w:tc>
          <w:tcPr>
            <w:tcW w:w="1020" w:type="dxa"/>
            <w:tcBorders>
              <w:top w:val="single" w:sz="4"/>
              <w:left w:val="nil"/>
              <w:bottom w:val="single" w:sz="4"/>
              <w:right w:val="nil"/>
            </w:tcBorders>
          </w:tcPr>
          <w:p>
            <w:pPr>
              <w:pStyle w:val="0"/>
              <w:jc w:val="center"/>
            </w:pPr>
            <w:r>
              <w:rPr>
                <w:sz w:val="20"/>
              </w:rPr>
              <w:t xml:space="preserve">2021</w:t>
            </w:r>
          </w:p>
        </w:tc>
        <w:tc>
          <w:tcPr>
            <w:tcW w:w="1191" w:type="dxa"/>
            <w:tcBorders>
              <w:top w:val="single" w:sz="4"/>
              <w:left w:val="nil"/>
              <w:bottom w:val="single" w:sz="4"/>
              <w:right w:val="nil"/>
            </w:tcBorders>
          </w:tcPr>
          <w:p>
            <w:pPr>
              <w:pStyle w:val="0"/>
              <w:jc w:val="center"/>
            </w:pPr>
            <w:r>
              <w:rPr>
                <w:sz w:val="20"/>
              </w:rPr>
              <w:t xml:space="preserve">2022</w:t>
            </w:r>
          </w:p>
        </w:tc>
        <w:tc>
          <w:tcPr>
            <w:tcW w:w="1247" w:type="dxa"/>
            <w:tcBorders>
              <w:top w:val="single" w:sz="4"/>
              <w:left w:val="nil"/>
              <w:bottom w:val="single" w:sz="4"/>
              <w:right w:val="nil"/>
            </w:tcBorders>
          </w:tcPr>
          <w:p>
            <w:pPr>
              <w:pStyle w:val="0"/>
              <w:jc w:val="center"/>
            </w:pPr>
            <w:r>
              <w:rPr>
                <w:sz w:val="20"/>
              </w:rPr>
              <w:t xml:space="preserve">2023 </w:t>
            </w:r>
            <w:hyperlink w:history="0" w:anchor="P1850" w:tooltip="&lt;*&gt; оценка">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2024</w:t>
            </w:r>
          </w:p>
        </w:tc>
        <w:tc>
          <w:tcPr>
            <w:tcW w:w="1020" w:type="dxa"/>
            <w:tcBorders>
              <w:top w:val="single" w:sz="4"/>
              <w:left w:val="nil"/>
              <w:bottom w:val="single" w:sz="4"/>
              <w:right w:val="nil"/>
            </w:tcBorders>
          </w:tcPr>
          <w:p>
            <w:pPr>
              <w:pStyle w:val="0"/>
              <w:jc w:val="center"/>
            </w:pPr>
            <w:r>
              <w:rPr>
                <w:sz w:val="20"/>
              </w:rPr>
              <w:t xml:space="preserve">2025</w:t>
            </w:r>
          </w:p>
        </w:tc>
        <w:tc>
          <w:tcPr>
            <w:tcW w:w="1020" w:type="dxa"/>
            <w:tcBorders>
              <w:top w:val="single" w:sz="4"/>
              <w:left w:val="nil"/>
              <w:bottom w:val="single" w:sz="4"/>
              <w:right w:val="nil"/>
            </w:tcBorders>
          </w:tcPr>
          <w:p>
            <w:pPr>
              <w:pStyle w:val="0"/>
              <w:jc w:val="center"/>
            </w:pPr>
            <w:r>
              <w:rPr>
                <w:sz w:val="20"/>
              </w:rPr>
              <w:t xml:space="preserve">2026</w:t>
            </w:r>
          </w:p>
        </w:tc>
      </w:tr>
      <w:tr>
        <w:tc>
          <w:tcPr>
            <w:tcW w:w="2154" w:type="dxa"/>
            <w:tcBorders>
              <w:top w:val="single" w:sz="4"/>
              <w:left w:val="nil"/>
              <w:bottom w:val="nil"/>
              <w:right w:val="nil"/>
            </w:tcBorders>
          </w:tcPr>
          <w:p>
            <w:pPr>
              <w:pStyle w:val="0"/>
            </w:pPr>
            <w:r>
              <w:rPr>
                <w:sz w:val="20"/>
              </w:rPr>
              <w:t xml:space="preserve">Источники финансирования дефицита</w:t>
            </w:r>
          </w:p>
        </w:tc>
        <w:tc>
          <w:tcPr>
            <w:tcW w:w="1020" w:type="dxa"/>
            <w:vAlign w:val="center"/>
            <w:tcBorders>
              <w:top w:val="single" w:sz="4"/>
              <w:left w:val="nil"/>
              <w:bottom w:val="nil"/>
              <w:right w:val="nil"/>
            </w:tcBorders>
          </w:tcPr>
          <w:p>
            <w:pPr>
              <w:pStyle w:val="0"/>
              <w:jc w:val="center"/>
            </w:pPr>
            <w:r>
              <w:rPr>
                <w:sz w:val="20"/>
              </w:rPr>
              <w:t xml:space="preserve">-1 974,3</w:t>
            </w:r>
          </w:p>
        </w:tc>
        <w:tc>
          <w:tcPr>
            <w:tcW w:w="1020" w:type="dxa"/>
            <w:vAlign w:val="center"/>
            <w:tcBorders>
              <w:top w:val="single" w:sz="4"/>
              <w:left w:val="nil"/>
              <w:bottom w:val="nil"/>
              <w:right w:val="nil"/>
            </w:tcBorders>
          </w:tcPr>
          <w:p>
            <w:pPr>
              <w:pStyle w:val="0"/>
              <w:jc w:val="center"/>
            </w:pPr>
            <w:r>
              <w:rPr>
                <w:sz w:val="20"/>
              </w:rPr>
              <w:t xml:space="preserve">4 102,5</w:t>
            </w:r>
          </w:p>
        </w:tc>
        <w:tc>
          <w:tcPr>
            <w:tcW w:w="1020" w:type="dxa"/>
            <w:vAlign w:val="center"/>
            <w:tcBorders>
              <w:top w:val="single" w:sz="4"/>
              <w:left w:val="nil"/>
              <w:bottom w:val="nil"/>
              <w:right w:val="nil"/>
            </w:tcBorders>
          </w:tcPr>
          <w:p>
            <w:pPr>
              <w:pStyle w:val="0"/>
              <w:jc w:val="center"/>
            </w:pPr>
            <w:r>
              <w:rPr>
                <w:sz w:val="20"/>
              </w:rPr>
              <w:t xml:space="preserve">-524,3</w:t>
            </w:r>
          </w:p>
        </w:tc>
        <w:tc>
          <w:tcPr>
            <w:tcW w:w="1191" w:type="dxa"/>
            <w:vAlign w:val="center"/>
            <w:tcBorders>
              <w:top w:val="single" w:sz="4"/>
              <w:left w:val="nil"/>
              <w:bottom w:val="nil"/>
              <w:right w:val="nil"/>
            </w:tcBorders>
          </w:tcPr>
          <w:p>
            <w:pPr>
              <w:pStyle w:val="0"/>
              <w:jc w:val="center"/>
            </w:pPr>
            <w:r>
              <w:rPr>
                <w:sz w:val="20"/>
              </w:rPr>
              <w:t xml:space="preserve">3 294,5</w:t>
            </w:r>
          </w:p>
        </w:tc>
        <w:tc>
          <w:tcPr>
            <w:tcW w:w="1247" w:type="dxa"/>
            <w:vAlign w:val="center"/>
            <w:tcBorders>
              <w:top w:val="single" w:sz="4"/>
              <w:left w:val="nil"/>
              <w:bottom w:val="nil"/>
              <w:right w:val="nil"/>
            </w:tcBorders>
          </w:tcPr>
          <w:p>
            <w:pPr>
              <w:pStyle w:val="0"/>
              <w:jc w:val="center"/>
            </w:pPr>
            <w:r>
              <w:rPr>
                <w:sz w:val="20"/>
              </w:rPr>
              <w:t xml:space="preserve">3 000,7</w:t>
            </w:r>
          </w:p>
        </w:tc>
        <w:tc>
          <w:tcPr>
            <w:tcW w:w="1020" w:type="dxa"/>
            <w:vAlign w:val="center"/>
            <w:tcBorders>
              <w:top w:val="single" w:sz="4"/>
              <w:left w:val="nil"/>
              <w:bottom w:val="nil"/>
              <w:right w:val="nil"/>
            </w:tcBorders>
          </w:tcPr>
          <w:p>
            <w:pPr>
              <w:pStyle w:val="0"/>
              <w:jc w:val="center"/>
            </w:pPr>
            <w:r>
              <w:rPr>
                <w:sz w:val="20"/>
              </w:rPr>
              <w:t xml:space="preserve">1 595,4</w:t>
            </w:r>
          </w:p>
        </w:tc>
        <w:tc>
          <w:tcPr>
            <w:tcW w:w="1020" w:type="dxa"/>
            <w:vAlign w:val="center"/>
            <w:tcBorders>
              <w:top w:val="single" w:sz="4"/>
              <w:left w:val="nil"/>
              <w:bottom w:val="nil"/>
              <w:right w:val="nil"/>
            </w:tcBorders>
          </w:tcPr>
          <w:p>
            <w:pPr>
              <w:pStyle w:val="0"/>
              <w:jc w:val="center"/>
            </w:pPr>
            <w:r>
              <w:rPr>
                <w:sz w:val="20"/>
              </w:rPr>
              <w:t xml:space="preserve">830,5</w:t>
            </w:r>
          </w:p>
        </w:tc>
        <w:tc>
          <w:tcPr>
            <w:tcW w:w="1020" w:type="dxa"/>
            <w:vAlign w:val="center"/>
            <w:tcBorders>
              <w:top w:val="single" w:sz="4"/>
              <w:left w:val="nil"/>
              <w:bottom w:val="nil"/>
              <w:right w:val="nil"/>
            </w:tcBorders>
          </w:tcPr>
          <w:p>
            <w:pPr>
              <w:pStyle w:val="0"/>
              <w:jc w:val="center"/>
            </w:pPr>
            <w:r>
              <w:rPr>
                <w:sz w:val="20"/>
              </w:rPr>
              <w:t xml:space="preserve">1 536,4</w:t>
            </w:r>
          </w:p>
        </w:tc>
      </w:tr>
      <w:tr>
        <w:tc>
          <w:tcPr>
            <w:tcW w:w="2154" w:type="dxa"/>
            <w:tcBorders>
              <w:top w:val="nil"/>
              <w:left w:val="nil"/>
              <w:bottom w:val="nil"/>
              <w:right w:val="nil"/>
            </w:tcBorders>
          </w:tcPr>
          <w:p>
            <w:pPr>
              <w:pStyle w:val="0"/>
            </w:pPr>
            <w:r>
              <w:rPr>
                <w:sz w:val="20"/>
              </w:rPr>
              <w:t xml:space="preserve">Связанные с использованием дополнительных НГД</w:t>
            </w:r>
          </w:p>
        </w:tc>
        <w:tc>
          <w:tcPr>
            <w:tcW w:w="1020" w:type="dxa"/>
            <w:vAlign w:val="center"/>
            <w:tcBorders>
              <w:top w:val="nil"/>
              <w:left w:val="nil"/>
              <w:bottom w:val="nil"/>
              <w:right w:val="nil"/>
            </w:tcBorders>
          </w:tcPr>
          <w:p>
            <w:pPr>
              <w:pStyle w:val="0"/>
              <w:jc w:val="center"/>
            </w:pPr>
            <w:r>
              <w:rPr>
                <w:sz w:val="20"/>
              </w:rPr>
              <w:t xml:space="preserve">-2 956,8</w:t>
            </w:r>
          </w:p>
        </w:tc>
        <w:tc>
          <w:tcPr>
            <w:tcW w:w="1020" w:type="dxa"/>
            <w:vAlign w:val="center"/>
            <w:tcBorders>
              <w:top w:val="nil"/>
              <w:left w:val="nil"/>
              <w:bottom w:val="nil"/>
              <w:right w:val="nil"/>
            </w:tcBorders>
          </w:tcPr>
          <w:p>
            <w:pPr>
              <w:pStyle w:val="0"/>
              <w:jc w:val="center"/>
            </w:pPr>
            <w:r>
              <w:rPr>
                <w:sz w:val="20"/>
              </w:rPr>
              <w:t xml:space="preserve">257,1</w:t>
            </w:r>
          </w:p>
        </w:tc>
        <w:tc>
          <w:tcPr>
            <w:tcW w:w="1020" w:type="dxa"/>
            <w:vAlign w:val="center"/>
            <w:tcBorders>
              <w:top w:val="nil"/>
              <w:left w:val="nil"/>
              <w:bottom w:val="nil"/>
              <w:right w:val="nil"/>
            </w:tcBorders>
          </w:tcPr>
          <w:p>
            <w:pPr>
              <w:pStyle w:val="0"/>
              <w:jc w:val="center"/>
            </w:pPr>
            <w:r>
              <w:rPr>
                <w:sz w:val="20"/>
              </w:rPr>
              <w:t xml:space="preserve">-3 156,0</w:t>
            </w:r>
          </w:p>
        </w:tc>
        <w:tc>
          <w:tcPr>
            <w:tcW w:w="1191" w:type="dxa"/>
            <w:vAlign w:val="center"/>
            <w:tcBorders>
              <w:top w:val="nil"/>
              <w:left w:val="nil"/>
              <w:bottom w:val="nil"/>
              <w:right w:val="nil"/>
            </w:tcBorders>
          </w:tcPr>
          <w:p>
            <w:pPr>
              <w:pStyle w:val="0"/>
              <w:jc w:val="center"/>
            </w:pPr>
            <w:r>
              <w:rPr>
                <w:sz w:val="20"/>
              </w:rPr>
              <w:t xml:space="preserve">2 972,2</w:t>
            </w:r>
          </w:p>
        </w:tc>
        <w:tc>
          <w:tcPr>
            <w:tcW w:w="1247" w:type="dxa"/>
            <w:vAlign w:val="center"/>
            <w:tcBorders>
              <w:top w:val="nil"/>
              <w:left w:val="nil"/>
              <w:bottom w:val="nil"/>
              <w:right w:val="nil"/>
            </w:tcBorders>
          </w:tcPr>
          <w:p>
            <w:pPr>
              <w:pStyle w:val="0"/>
              <w:jc w:val="center"/>
            </w:pPr>
            <w:r>
              <w:rPr>
                <w:sz w:val="20"/>
              </w:rPr>
              <w:t xml:space="preserve">2 036,5</w:t>
            </w:r>
          </w:p>
        </w:tc>
        <w:tc>
          <w:tcPr>
            <w:tcW w:w="1020" w:type="dxa"/>
            <w:vAlign w:val="center"/>
            <w:tcBorders>
              <w:top w:val="nil"/>
              <w:left w:val="nil"/>
              <w:bottom w:val="nil"/>
              <w:right w:val="nil"/>
            </w:tcBorders>
          </w:tcPr>
          <w:p>
            <w:pPr>
              <w:pStyle w:val="0"/>
              <w:jc w:val="center"/>
            </w:pPr>
            <w:r>
              <w:rPr>
                <w:sz w:val="20"/>
              </w:rPr>
              <w:t xml:space="preserve">-521,1</w:t>
            </w:r>
          </w:p>
        </w:tc>
        <w:tc>
          <w:tcPr>
            <w:tcW w:w="1020" w:type="dxa"/>
            <w:vAlign w:val="center"/>
            <w:tcBorders>
              <w:top w:val="nil"/>
              <w:left w:val="nil"/>
              <w:bottom w:val="nil"/>
              <w:right w:val="nil"/>
            </w:tcBorders>
          </w:tcPr>
          <w:p>
            <w:pPr>
              <w:pStyle w:val="0"/>
              <w:jc w:val="center"/>
            </w:pPr>
            <w:r>
              <w:rPr>
                <w:sz w:val="20"/>
              </w:rPr>
              <w:t xml:space="preserve">-1 835,7</w:t>
            </w:r>
          </w:p>
        </w:tc>
        <w:tc>
          <w:tcPr>
            <w:tcW w:w="1020" w:type="dxa"/>
            <w:vAlign w:val="center"/>
            <w:tcBorders>
              <w:top w:val="nil"/>
              <w:left w:val="nil"/>
              <w:bottom w:val="nil"/>
              <w:right w:val="nil"/>
            </w:tcBorders>
          </w:tcPr>
          <w:p>
            <w:pPr>
              <w:pStyle w:val="0"/>
              <w:jc w:val="center"/>
            </w:pPr>
            <w:r>
              <w:rPr>
                <w:sz w:val="20"/>
              </w:rPr>
              <w:t xml:space="preserve">-1 844,8</w:t>
            </w:r>
          </w:p>
        </w:tc>
      </w:tr>
      <w:tr>
        <w:tc>
          <w:tcPr>
            <w:tcW w:w="2154" w:type="dxa"/>
            <w:tcBorders>
              <w:top w:val="nil"/>
              <w:left w:val="nil"/>
              <w:bottom w:val="nil"/>
              <w:right w:val="nil"/>
            </w:tcBorders>
          </w:tcPr>
          <w:p>
            <w:pPr>
              <w:pStyle w:val="0"/>
            </w:pPr>
            <w:r>
              <w:rPr>
                <w:sz w:val="20"/>
              </w:rPr>
              <w:t xml:space="preserve">использование ФНБ/увеличение остатков на спец. счете по учету доп. НГД</w:t>
            </w:r>
          </w:p>
        </w:tc>
        <w:tc>
          <w:tcPr>
            <w:tcW w:w="1020" w:type="dxa"/>
            <w:vAlign w:val="center"/>
            <w:tcBorders>
              <w:top w:val="nil"/>
              <w:left w:val="nil"/>
              <w:bottom w:val="nil"/>
              <w:right w:val="nil"/>
            </w:tcBorders>
          </w:tcPr>
          <w:p>
            <w:pPr>
              <w:pStyle w:val="0"/>
              <w:jc w:val="center"/>
            </w:pPr>
            <w:r>
              <w:rPr>
                <w:sz w:val="20"/>
              </w:rPr>
              <w:t xml:space="preserve">-2 956,8</w:t>
            </w:r>
          </w:p>
        </w:tc>
        <w:tc>
          <w:tcPr>
            <w:tcW w:w="1020" w:type="dxa"/>
            <w:vAlign w:val="center"/>
            <w:tcBorders>
              <w:top w:val="nil"/>
              <w:left w:val="nil"/>
              <w:bottom w:val="nil"/>
              <w:right w:val="nil"/>
            </w:tcBorders>
          </w:tcPr>
          <w:p>
            <w:pPr>
              <w:pStyle w:val="0"/>
              <w:jc w:val="center"/>
            </w:pPr>
            <w:r>
              <w:rPr>
                <w:sz w:val="20"/>
              </w:rPr>
              <w:t xml:space="preserve">257,1</w:t>
            </w:r>
          </w:p>
        </w:tc>
        <w:tc>
          <w:tcPr>
            <w:tcW w:w="1020" w:type="dxa"/>
            <w:vAlign w:val="center"/>
            <w:tcBorders>
              <w:top w:val="nil"/>
              <w:left w:val="nil"/>
              <w:bottom w:val="nil"/>
              <w:right w:val="nil"/>
            </w:tcBorders>
          </w:tcPr>
          <w:p>
            <w:pPr>
              <w:pStyle w:val="0"/>
              <w:jc w:val="center"/>
            </w:pPr>
            <w:r>
              <w:rPr>
                <w:sz w:val="20"/>
              </w:rPr>
              <w:t xml:space="preserve">-3 156,0</w:t>
            </w:r>
          </w:p>
        </w:tc>
        <w:tc>
          <w:tcPr>
            <w:tcW w:w="1191" w:type="dxa"/>
            <w:vAlign w:val="center"/>
            <w:tcBorders>
              <w:top w:val="nil"/>
              <w:left w:val="nil"/>
              <w:bottom w:val="nil"/>
              <w:right w:val="nil"/>
            </w:tcBorders>
          </w:tcPr>
          <w:p>
            <w:pPr>
              <w:pStyle w:val="0"/>
              <w:jc w:val="center"/>
            </w:pPr>
            <w:r>
              <w:rPr>
                <w:sz w:val="20"/>
              </w:rPr>
              <w:t xml:space="preserve">2 972,2</w:t>
            </w:r>
          </w:p>
        </w:tc>
        <w:tc>
          <w:tcPr>
            <w:tcW w:w="1247" w:type="dxa"/>
            <w:vAlign w:val="center"/>
            <w:tcBorders>
              <w:top w:val="nil"/>
              <w:left w:val="nil"/>
              <w:bottom w:val="nil"/>
              <w:right w:val="nil"/>
            </w:tcBorders>
          </w:tcPr>
          <w:p>
            <w:pPr>
              <w:pStyle w:val="0"/>
              <w:jc w:val="center"/>
            </w:pPr>
            <w:r>
              <w:rPr>
                <w:sz w:val="20"/>
              </w:rPr>
              <w:t xml:space="preserve">2 036,5</w:t>
            </w:r>
          </w:p>
        </w:tc>
        <w:tc>
          <w:tcPr>
            <w:tcW w:w="1020" w:type="dxa"/>
            <w:vAlign w:val="center"/>
            <w:tcBorders>
              <w:top w:val="nil"/>
              <w:left w:val="nil"/>
              <w:bottom w:val="nil"/>
              <w:right w:val="nil"/>
            </w:tcBorders>
          </w:tcPr>
          <w:p>
            <w:pPr>
              <w:pStyle w:val="0"/>
              <w:jc w:val="center"/>
            </w:pPr>
            <w:r>
              <w:rPr>
                <w:sz w:val="20"/>
              </w:rPr>
              <w:t xml:space="preserve">-521,1</w:t>
            </w:r>
          </w:p>
        </w:tc>
        <w:tc>
          <w:tcPr>
            <w:tcW w:w="1020" w:type="dxa"/>
            <w:vAlign w:val="center"/>
            <w:tcBorders>
              <w:top w:val="nil"/>
              <w:left w:val="nil"/>
              <w:bottom w:val="nil"/>
              <w:right w:val="nil"/>
            </w:tcBorders>
          </w:tcPr>
          <w:p>
            <w:pPr>
              <w:pStyle w:val="0"/>
              <w:jc w:val="center"/>
            </w:pPr>
            <w:r>
              <w:rPr>
                <w:sz w:val="20"/>
              </w:rPr>
              <w:t xml:space="preserve">-1 835,7</w:t>
            </w:r>
          </w:p>
        </w:tc>
        <w:tc>
          <w:tcPr>
            <w:tcW w:w="1020" w:type="dxa"/>
            <w:vAlign w:val="center"/>
            <w:tcBorders>
              <w:top w:val="nil"/>
              <w:left w:val="nil"/>
              <w:bottom w:val="nil"/>
              <w:right w:val="nil"/>
            </w:tcBorders>
          </w:tcPr>
          <w:p>
            <w:pPr>
              <w:pStyle w:val="0"/>
              <w:jc w:val="center"/>
            </w:pPr>
            <w:r>
              <w:rPr>
                <w:sz w:val="20"/>
              </w:rPr>
              <w:t xml:space="preserve">-1 844,8</w:t>
            </w:r>
          </w:p>
        </w:tc>
      </w:tr>
      <w:tr>
        <w:tc>
          <w:tcPr>
            <w:tcW w:w="2154" w:type="dxa"/>
            <w:tcBorders>
              <w:top w:val="nil"/>
              <w:left w:val="nil"/>
              <w:bottom w:val="nil"/>
              <w:right w:val="nil"/>
            </w:tcBorders>
          </w:tcPr>
          <w:p>
            <w:pPr>
              <w:pStyle w:val="0"/>
            </w:pPr>
            <w:r>
              <w:rPr>
                <w:sz w:val="20"/>
              </w:rPr>
              <w:t xml:space="preserve">Не связанные с использованием дополнительных НГД</w:t>
            </w:r>
          </w:p>
        </w:tc>
        <w:tc>
          <w:tcPr>
            <w:tcW w:w="1020" w:type="dxa"/>
            <w:vAlign w:val="center"/>
            <w:tcBorders>
              <w:top w:val="nil"/>
              <w:left w:val="nil"/>
              <w:bottom w:val="nil"/>
              <w:right w:val="nil"/>
            </w:tcBorders>
          </w:tcPr>
          <w:p>
            <w:pPr>
              <w:pStyle w:val="0"/>
              <w:jc w:val="center"/>
            </w:pPr>
            <w:r>
              <w:rPr>
                <w:sz w:val="20"/>
              </w:rPr>
              <w:t xml:space="preserve">982,5</w:t>
            </w:r>
          </w:p>
        </w:tc>
        <w:tc>
          <w:tcPr>
            <w:tcW w:w="1020" w:type="dxa"/>
            <w:vAlign w:val="center"/>
            <w:tcBorders>
              <w:top w:val="nil"/>
              <w:left w:val="nil"/>
              <w:bottom w:val="nil"/>
              <w:right w:val="nil"/>
            </w:tcBorders>
          </w:tcPr>
          <w:p>
            <w:pPr>
              <w:pStyle w:val="0"/>
              <w:jc w:val="center"/>
            </w:pPr>
            <w:r>
              <w:rPr>
                <w:sz w:val="20"/>
              </w:rPr>
              <w:t xml:space="preserve">3 845,4</w:t>
            </w:r>
          </w:p>
        </w:tc>
        <w:tc>
          <w:tcPr>
            <w:tcW w:w="1020" w:type="dxa"/>
            <w:vAlign w:val="center"/>
            <w:tcBorders>
              <w:top w:val="nil"/>
              <w:left w:val="nil"/>
              <w:bottom w:val="nil"/>
              <w:right w:val="nil"/>
            </w:tcBorders>
          </w:tcPr>
          <w:p>
            <w:pPr>
              <w:pStyle w:val="0"/>
              <w:jc w:val="center"/>
            </w:pPr>
            <w:r>
              <w:rPr>
                <w:sz w:val="20"/>
              </w:rPr>
              <w:t xml:space="preserve">2 631,7</w:t>
            </w:r>
          </w:p>
        </w:tc>
        <w:tc>
          <w:tcPr>
            <w:tcW w:w="1191" w:type="dxa"/>
            <w:vAlign w:val="center"/>
            <w:tcBorders>
              <w:top w:val="nil"/>
              <w:left w:val="nil"/>
              <w:bottom w:val="nil"/>
              <w:right w:val="nil"/>
            </w:tcBorders>
          </w:tcPr>
          <w:p>
            <w:pPr>
              <w:pStyle w:val="0"/>
              <w:jc w:val="center"/>
            </w:pPr>
            <w:r>
              <w:rPr>
                <w:sz w:val="20"/>
              </w:rPr>
              <w:t xml:space="preserve">322,3</w:t>
            </w:r>
          </w:p>
        </w:tc>
        <w:tc>
          <w:tcPr>
            <w:tcW w:w="1247" w:type="dxa"/>
            <w:vAlign w:val="center"/>
            <w:tcBorders>
              <w:top w:val="nil"/>
              <w:left w:val="nil"/>
              <w:bottom w:val="nil"/>
              <w:right w:val="nil"/>
            </w:tcBorders>
          </w:tcPr>
          <w:p>
            <w:pPr>
              <w:pStyle w:val="0"/>
              <w:jc w:val="center"/>
            </w:pPr>
            <w:r>
              <w:rPr>
                <w:sz w:val="20"/>
              </w:rPr>
              <w:t xml:space="preserve">964,2</w:t>
            </w:r>
          </w:p>
        </w:tc>
        <w:tc>
          <w:tcPr>
            <w:tcW w:w="1020" w:type="dxa"/>
            <w:vAlign w:val="center"/>
            <w:tcBorders>
              <w:top w:val="nil"/>
              <w:left w:val="nil"/>
              <w:bottom w:val="nil"/>
              <w:right w:val="nil"/>
            </w:tcBorders>
          </w:tcPr>
          <w:p>
            <w:pPr>
              <w:pStyle w:val="0"/>
              <w:jc w:val="center"/>
            </w:pPr>
            <w:r>
              <w:rPr>
                <w:sz w:val="20"/>
              </w:rPr>
              <w:t xml:space="preserve">2 116,5</w:t>
            </w:r>
          </w:p>
        </w:tc>
        <w:tc>
          <w:tcPr>
            <w:tcW w:w="1020" w:type="dxa"/>
            <w:vAlign w:val="center"/>
            <w:tcBorders>
              <w:top w:val="nil"/>
              <w:left w:val="nil"/>
              <w:bottom w:val="nil"/>
              <w:right w:val="nil"/>
            </w:tcBorders>
          </w:tcPr>
          <w:p>
            <w:pPr>
              <w:pStyle w:val="0"/>
              <w:jc w:val="center"/>
            </w:pPr>
            <w:r>
              <w:rPr>
                <w:sz w:val="20"/>
              </w:rPr>
              <w:t xml:space="preserve">2 666,1</w:t>
            </w:r>
          </w:p>
        </w:tc>
        <w:tc>
          <w:tcPr>
            <w:tcW w:w="1020" w:type="dxa"/>
            <w:vAlign w:val="center"/>
            <w:tcBorders>
              <w:top w:val="nil"/>
              <w:left w:val="nil"/>
              <w:bottom w:val="nil"/>
              <w:right w:val="nil"/>
            </w:tcBorders>
          </w:tcPr>
          <w:p>
            <w:pPr>
              <w:pStyle w:val="0"/>
              <w:jc w:val="center"/>
            </w:pPr>
            <w:r>
              <w:rPr>
                <w:sz w:val="20"/>
              </w:rPr>
              <w:t xml:space="preserve">3 381,2</w:t>
            </w:r>
          </w:p>
        </w:tc>
      </w:tr>
      <w:tr>
        <w:tc>
          <w:tcPr>
            <w:tcW w:w="2154" w:type="dxa"/>
            <w:tcBorders>
              <w:top w:val="nil"/>
              <w:left w:val="nil"/>
              <w:bottom w:val="nil"/>
              <w:right w:val="nil"/>
            </w:tcBorders>
          </w:tcPr>
          <w:p>
            <w:pPr>
              <w:pStyle w:val="0"/>
            </w:pPr>
            <w:r>
              <w:rPr>
                <w:sz w:val="20"/>
              </w:rPr>
              <w:t xml:space="preserve">Источники внутреннего финансирования дефицита</w:t>
            </w:r>
          </w:p>
        </w:tc>
        <w:tc>
          <w:tcPr>
            <w:tcW w:w="1020" w:type="dxa"/>
            <w:vAlign w:val="center"/>
            <w:tcBorders>
              <w:top w:val="nil"/>
              <w:left w:val="nil"/>
              <w:bottom w:val="nil"/>
              <w:right w:val="nil"/>
            </w:tcBorders>
          </w:tcPr>
          <w:p>
            <w:pPr>
              <w:pStyle w:val="0"/>
              <w:jc w:val="center"/>
            </w:pPr>
            <w:r>
              <w:rPr>
                <w:sz w:val="20"/>
              </w:rPr>
              <w:t xml:space="preserve">693,2</w:t>
            </w:r>
          </w:p>
        </w:tc>
        <w:tc>
          <w:tcPr>
            <w:tcW w:w="1020" w:type="dxa"/>
            <w:vAlign w:val="center"/>
            <w:tcBorders>
              <w:top w:val="nil"/>
              <w:left w:val="nil"/>
              <w:bottom w:val="nil"/>
              <w:right w:val="nil"/>
            </w:tcBorders>
          </w:tcPr>
          <w:p>
            <w:pPr>
              <w:pStyle w:val="0"/>
              <w:jc w:val="center"/>
            </w:pPr>
            <w:r>
              <w:rPr>
                <w:sz w:val="20"/>
              </w:rPr>
              <w:t xml:space="preserve">4 146,2</w:t>
            </w:r>
          </w:p>
        </w:tc>
        <w:tc>
          <w:tcPr>
            <w:tcW w:w="1020" w:type="dxa"/>
            <w:vAlign w:val="center"/>
            <w:tcBorders>
              <w:top w:val="nil"/>
              <w:left w:val="nil"/>
              <w:bottom w:val="nil"/>
              <w:right w:val="nil"/>
            </w:tcBorders>
          </w:tcPr>
          <w:p>
            <w:pPr>
              <w:pStyle w:val="0"/>
              <w:jc w:val="center"/>
            </w:pPr>
            <w:r>
              <w:rPr>
                <w:sz w:val="20"/>
              </w:rPr>
              <w:t xml:space="preserve">2 671,1</w:t>
            </w:r>
          </w:p>
        </w:tc>
        <w:tc>
          <w:tcPr>
            <w:tcW w:w="1191" w:type="dxa"/>
            <w:vAlign w:val="center"/>
            <w:tcBorders>
              <w:top w:val="nil"/>
              <w:left w:val="nil"/>
              <w:bottom w:val="nil"/>
              <w:right w:val="nil"/>
            </w:tcBorders>
          </w:tcPr>
          <w:p>
            <w:pPr>
              <w:pStyle w:val="0"/>
              <w:jc w:val="center"/>
            </w:pPr>
            <w:r>
              <w:rPr>
                <w:sz w:val="20"/>
              </w:rPr>
              <w:t xml:space="preserve">848,9</w:t>
            </w:r>
          </w:p>
        </w:tc>
        <w:tc>
          <w:tcPr>
            <w:tcW w:w="1247" w:type="dxa"/>
            <w:vAlign w:val="center"/>
            <w:tcBorders>
              <w:top w:val="nil"/>
              <w:left w:val="nil"/>
              <w:bottom w:val="nil"/>
              <w:right w:val="nil"/>
            </w:tcBorders>
          </w:tcPr>
          <w:p>
            <w:pPr>
              <w:pStyle w:val="0"/>
              <w:jc w:val="center"/>
            </w:pPr>
            <w:r>
              <w:rPr>
                <w:sz w:val="20"/>
              </w:rPr>
              <w:t xml:space="preserve">1 557,1</w:t>
            </w:r>
          </w:p>
        </w:tc>
        <w:tc>
          <w:tcPr>
            <w:tcW w:w="1020" w:type="dxa"/>
            <w:vAlign w:val="center"/>
            <w:tcBorders>
              <w:top w:val="nil"/>
              <w:left w:val="nil"/>
              <w:bottom w:val="nil"/>
              <w:right w:val="nil"/>
            </w:tcBorders>
          </w:tcPr>
          <w:p>
            <w:pPr>
              <w:pStyle w:val="0"/>
              <w:jc w:val="center"/>
            </w:pPr>
            <w:r>
              <w:rPr>
                <w:sz w:val="20"/>
              </w:rPr>
              <w:t xml:space="preserve">2 434,6</w:t>
            </w:r>
          </w:p>
        </w:tc>
        <w:tc>
          <w:tcPr>
            <w:tcW w:w="1020" w:type="dxa"/>
            <w:vAlign w:val="center"/>
            <w:tcBorders>
              <w:top w:val="nil"/>
              <w:left w:val="nil"/>
              <w:bottom w:val="nil"/>
              <w:right w:val="nil"/>
            </w:tcBorders>
          </w:tcPr>
          <w:p>
            <w:pPr>
              <w:pStyle w:val="0"/>
              <w:jc w:val="center"/>
            </w:pPr>
            <w:r>
              <w:rPr>
                <w:sz w:val="20"/>
              </w:rPr>
              <w:t xml:space="preserve">3 071,9</w:t>
            </w:r>
          </w:p>
        </w:tc>
        <w:tc>
          <w:tcPr>
            <w:tcW w:w="1020" w:type="dxa"/>
            <w:vAlign w:val="center"/>
            <w:tcBorders>
              <w:top w:val="nil"/>
              <w:left w:val="nil"/>
              <w:bottom w:val="nil"/>
              <w:right w:val="nil"/>
            </w:tcBorders>
          </w:tcPr>
          <w:p>
            <w:pPr>
              <w:pStyle w:val="0"/>
              <w:jc w:val="center"/>
            </w:pPr>
            <w:r>
              <w:rPr>
                <w:sz w:val="20"/>
              </w:rPr>
              <w:t xml:space="preserve">3 865,4</w:t>
            </w:r>
          </w:p>
        </w:tc>
      </w:tr>
      <w:tr>
        <w:tc>
          <w:tcPr>
            <w:tcW w:w="2154" w:type="dxa"/>
            <w:tcBorders>
              <w:top w:val="nil"/>
              <w:left w:val="nil"/>
              <w:bottom w:val="nil"/>
              <w:right w:val="nil"/>
            </w:tcBorders>
          </w:tcPr>
          <w:p>
            <w:pPr>
              <w:pStyle w:val="0"/>
            </w:pPr>
            <w:r>
              <w:rPr>
                <w:sz w:val="20"/>
              </w:rPr>
              <w:t xml:space="preserve">Государственные ценные бумаги</w:t>
            </w:r>
          </w:p>
        </w:tc>
        <w:tc>
          <w:tcPr>
            <w:tcW w:w="1020" w:type="dxa"/>
            <w:vAlign w:val="center"/>
            <w:tcBorders>
              <w:top w:val="nil"/>
              <w:left w:val="nil"/>
              <w:bottom w:val="nil"/>
              <w:right w:val="nil"/>
            </w:tcBorders>
          </w:tcPr>
          <w:p>
            <w:pPr>
              <w:pStyle w:val="0"/>
              <w:jc w:val="center"/>
            </w:pPr>
            <w:r>
              <w:rPr>
                <w:sz w:val="20"/>
              </w:rPr>
              <w:t xml:space="preserve">1 377,6</w:t>
            </w:r>
          </w:p>
        </w:tc>
        <w:tc>
          <w:tcPr>
            <w:tcW w:w="1020" w:type="dxa"/>
            <w:vAlign w:val="center"/>
            <w:tcBorders>
              <w:top w:val="nil"/>
              <w:left w:val="nil"/>
              <w:bottom w:val="nil"/>
              <w:right w:val="nil"/>
            </w:tcBorders>
          </w:tcPr>
          <w:p>
            <w:pPr>
              <w:pStyle w:val="0"/>
              <w:jc w:val="center"/>
            </w:pPr>
            <w:r>
              <w:rPr>
                <w:sz w:val="20"/>
              </w:rPr>
              <w:t xml:space="preserve">4 600,6</w:t>
            </w:r>
          </w:p>
        </w:tc>
        <w:tc>
          <w:tcPr>
            <w:tcW w:w="1020" w:type="dxa"/>
            <w:vAlign w:val="center"/>
            <w:tcBorders>
              <w:top w:val="nil"/>
              <w:left w:val="nil"/>
              <w:bottom w:val="nil"/>
              <w:right w:val="nil"/>
            </w:tcBorders>
          </w:tcPr>
          <w:p>
            <w:pPr>
              <w:pStyle w:val="0"/>
              <w:jc w:val="center"/>
            </w:pPr>
            <w:r>
              <w:rPr>
                <w:sz w:val="20"/>
              </w:rPr>
              <w:t xml:space="preserve">1 538,1</w:t>
            </w:r>
          </w:p>
        </w:tc>
        <w:tc>
          <w:tcPr>
            <w:tcW w:w="1191" w:type="dxa"/>
            <w:vAlign w:val="center"/>
            <w:tcBorders>
              <w:top w:val="nil"/>
              <w:left w:val="nil"/>
              <w:bottom w:val="nil"/>
              <w:right w:val="nil"/>
            </w:tcBorders>
          </w:tcPr>
          <w:p>
            <w:pPr>
              <w:pStyle w:val="0"/>
              <w:jc w:val="center"/>
            </w:pPr>
            <w:r>
              <w:rPr>
                <w:sz w:val="20"/>
              </w:rPr>
              <w:t xml:space="preserve">2 056,7</w:t>
            </w:r>
          </w:p>
        </w:tc>
        <w:tc>
          <w:tcPr>
            <w:tcW w:w="1247" w:type="dxa"/>
            <w:vAlign w:val="center"/>
            <w:tcBorders>
              <w:top w:val="nil"/>
              <w:left w:val="nil"/>
              <w:bottom w:val="nil"/>
              <w:right w:val="nil"/>
            </w:tcBorders>
          </w:tcPr>
          <w:p>
            <w:pPr>
              <w:pStyle w:val="0"/>
              <w:jc w:val="center"/>
            </w:pPr>
            <w:r>
              <w:rPr>
                <w:sz w:val="20"/>
              </w:rPr>
              <w:t xml:space="preserve">1 750,4</w:t>
            </w:r>
          </w:p>
        </w:tc>
        <w:tc>
          <w:tcPr>
            <w:tcW w:w="1020" w:type="dxa"/>
            <w:vAlign w:val="center"/>
            <w:tcBorders>
              <w:top w:val="nil"/>
              <w:left w:val="nil"/>
              <w:bottom w:val="nil"/>
              <w:right w:val="nil"/>
            </w:tcBorders>
          </w:tcPr>
          <w:p>
            <w:pPr>
              <w:pStyle w:val="0"/>
              <w:jc w:val="center"/>
            </w:pPr>
            <w:r>
              <w:rPr>
                <w:sz w:val="20"/>
              </w:rPr>
              <w:t xml:space="preserve">2 625,5</w:t>
            </w:r>
          </w:p>
        </w:tc>
        <w:tc>
          <w:tcPr>
            <w:tcW w:w="1020" w:type="dxa"/>
            <w:vAlign w:val="center"/>
            <w:tcBorders>
              <w:top w:val="nil"/>
              <w:left w:val="nil"/>
              <w:bottom w:val="nil"/>
              <w:right w:val="nil"/>
            </w:tcBorders>
          </w:tcPr>
          <w:p>
            <w:pPr>
              <w:pStyle w:val="0"/>
              <w:jc w:val="center"/>
            </w:pPr>
            <w:r>
              <w:rPr>
                <w:sz w:val="20"/>
              </w:rPr>
              <w:t xml:space="preserve">2 946,5</w:t>
            </w:r>
          </w:p>
        </w:tc>
        <w:tc>
          <w:tcPr>
            <w:tcW w:w="1020" w:type="dxa"/>
            <w:vAlign w:val="center"/>
            <w:tcBorders>
              <w:top w:val="nil"/>
              <w:left w:val="nil"/>
              <w:bottom w:val="nil"/>
              <w:right w:val="nil"/>
            </w:tcBorders>
          </w:tcPr>
          <w:p>
            <w:pPr>
              <w:pStyle w:val="0"/>
              <w:jc w:val="center"/>
            </w:pPr>
            <w:r>
              <w:rPr>
                <w:sz w:val="20"/>
              </w:rPr>
              <w:t xml:space="preserve">3 553,5</w:t>
            </w:r>
          </w:p>
        </w:tc>
      </w:tr>
      <w:tr>
        <w:tc>
          <w:tcPr>
            <w:tcW w:w="2154" w:type="dxa"/>
            <w:tcBorders>
              <w:top w:val="nil"/>
              <w:left w:val="nil"/>
              <w:bottom w:val="nil"/>
              <w:right w:val="nil"/>
            </w:tcBorders>
          </w:tcPr>
          <w:p>
            <w:pPr>
              <w:pStyle w:val="0"/>
            </w:pPr>
            <w:r>
              <w:rPr>
                <w:sz w:val="20"/>
              </w:rPr>
              <w:t xml:space="preserve">Приватизация</w:t>
            </w:r>
          </w:p>
        </w:tc>
        <w:tc>
          <w:tcPr>
            <w:tcW w:w="1020" w:type="dxa"/>
            <w:vAlign w:val="center"/>
            <w:tcBorders>
              <w:top w:val="nil"/>
              <w:left w:val="nil"/>
              <w:bottom w:val="nil"/>
              <w:right w:val="nil"/>
            </w:tcBorders>
          </w:tcPr>
          <w:p>
            <w:pPr>
              <w:pStyle w:val="0"/>
              <w:jc w:val="center"/>
            </w:pPr>
            <w:r>
              <w:rPr>
                <w:sz w:val="20"/>
              </w:rPr>
              <w:t xml:space="preserve">11,5</w:t>
            </w:r>
          </w:p>
        </w:tc>
        <w:tc>
          <w:tcPr>
            <w:tcW w:w="1020" w:type="dxa"/>
            <w:vAlign w:val="center"/>
            <w:tcBorders>
              <w:top w:val="nil"/>
              <w:left w:val="nil"/>
              <w:bottom w:val="nil"/>
              <w:right w:val="nil"/>
            </w:tcBorders>
          </w:tcPr>
          <w:p>
            <w:pPr>
              <w:pStyle w:val="0"/>
              <w:jc w:val="center"/>
            </w:pPr>
            <w:r>
              <w:rPr>
                <w:sz w:val="20"/>
              </w:rPr>
              <w:t xml:space="preserve">12,6</w:t>
            </w:r>
          </w:p>
        </w:tc>
        <w:tc>
          <w:tcPr>
            <w:tcW w:w="1020" w:type="dxa"/>
            <w:vAlign w:val="center"/>
            <w:tcBorders>
              <w:top w:val="nil"/>
              <w:left w:val="nil"/>
              <w:bottom w:val="nil"/>
              <w:right w:val="nil"/>
            </w:tcBorders>
          </w:tcPr>
          <w:p>
            <w:pPr>
              <w:pStyle w:val="0"/>
              <w:jc w:val="center"/>
            </w:pPr>
            <w:r>
              <w:rPr>
                <w:sz w:val="20"/>
              </w:rPr>
              <w:t xml:space="preserve">5,3</w:t>
            </w:r>
          </w:p>
        </w:tc>
        <w:tc>
          <w:tcPr>
            <w:tcW w:w="1191" w:type="dxa"/>
            <w:vAlign w:val="center"/>
            <w:tcBorders>
              <w:top w:val="nil"/>
              <w:left w:val="nil"/>
              <w:bottom w:val="nil"/>
              <w:right w:val="nil"/>
            </w:tcBorders>
          </w:tcPr>
          <w:p>
            <w:pPr>
              <w:pStyle w:val="0"/>
              <w:jc w:val="center"/>
            </w:pPr>
            <w:r>
              <w:rPr>
                <w:sz w:val="20"/>
              </w:rPr>
              <w:t xml:space="preserve">7,8</w:t>
            </w:r>
          </w:p>
        </w:tc>
        <w:tc>
          <w:tcPr>
            <w:tcW w:w="1247" w:type="dxa"/>
            <w:vAlign w:val="center"/>
            <w:tcBorders>
              <w:top w:val="nil"/>
              <w:left w:val="nil"/>
              <w:bottom w:val="nil"/>
              <w:right w:val="nil"/>
            </w:tcBorders>
          </w:tcPr>
          <w:p>
            <w:pPr>
              <w:pStyle w:val="0"/>
              <w:jc w:val="center"/>
            </w:pPr>
            <w:r>
              <w:rPr>
                <w:sz w:val="20"/>
              </w:rPr>
              <w:t xml:space="preserve">16,7</w:t>
            </w:r>
          </w:p>
        </w:tc>
        <w:tc>
          <w:tcPr>
            <w:tcW w:w="1020" w:type="dxa"/>
            <w:vAlign w:val="center"/>
            <w:tcBorders>
              <w:top w:val="nil"/>
              <w:left w:val="nil"/>
              <w:bottom w:val="nil"/>
              <w:right w:val="nil"/>
            </w:tcBorders>
          </w:tcPr>
          <w:p>
            <w:pPr>
              <w:pStyle w:val="0"/>
              <w:jc w:val="center"/>
            </w:pPr>
            <w:r>
              <w:rPr>
                <w:sz w:val="20"/>
              </w:rPr>
              <w:t xml:space="preserve">1,2</w:t>
            </w:r>
          </w:p>
        </w:tc>
        <w:tc>
          <w:tcPr>
            <w:tcW w:w="1020" w:type="dxa"/>
            <w:vAlign w:val="center"/>
            <w:tcBorders>
              <w:top w:val="nil"/>
              <w:left w:val="nil"/>
              <w:bottom w:val="nil"/>
              <w:right w:val="nil"/>
            </w:tcBorders>
          </w:tcPr>
          <w:p>
            <w:pPr>
              <w:pStyle w:val="0"/>
              <w:jc w:val="center"/>
            </w:pPr>
            <w:r>
              <w:rPr>
                <w:sz w:val="20"/>
              </w:rPr>
              <w:t xml:space="preserve">1,2</w:t>
            </w:r>
          </w:p>
        </w:tc>
        <w:tc>
          <w:tcPr>
            <w:tcW w:w="1020" w:type="dxa"/>
            <w:vAlign w:val="center"/>
            <w:tcBorders>
              <w:top w:val="nil"/>
              <w:left w:val="nil"/>
              <w:bottom w:val="nil"/>
              <w:right w:val="nil"/>
            </w:tcBorders>
          </w:tcPr>
          <w:p>
            <w:pPr>
              <w:pStyle w:val="0"/>
              <w:jc w:val="center"/>
            </w:pPr>
            <w:r>
              <w:rPr>
                <w:sz w:val="20"/>
              </w:rPr>
              <w:t xml:space="preserve">1,2</w:t>
            </w:r>
          </w:p>
        </w:tc>
      </w:tr>
      <w:tr>
        <w:tc>
          <w:tcPr>
            <w:tcW w:w="2154" w:type="dxa"/>
            <w:tcBorders>
              <w:top w:val="nil"/>
              <w:left w:val="nil"/>
              <w:bottom w:val="nil"/>
              <w:right w:val="nil"/>
            </w:tcBorders>
          </w:tcPr>
          <w:p>
            <w:pPr>
              <w:pStyle w:val="0"/>
            </w:pPr>
            <w:r>
              <w:rPr>
                <w:sz w:val="20"/>
              </w:rPr>
              <w:t xml:space="preserve">Бюджетные кредиты</w:t>
            </w:r>
          </w:p>
        </w:tc>
        <w:tc>
          <w:tcPr>
            <w:tcW w:w="1020" w:type="dxa"/>
            <w:vAlign w:val="center"/>
            <w:tcBorders>
              <w:top w:val="nil"/>
              <w:left w:val="nil"/>
              <w:bottom w:val="nil"/>
              <w:right w:val="nil"/>
            </w:tcBorders>
          </w:tcPr>
          <w:p>
            <w:pPr>
              <w:pStyle w:val="0"/>
              <w:jc w:val="center"/>
            </w:pPr>
            <w:r>
              <w:rPr>
                <w:sz w:val="20"/>
              </w:rPr>
              <w:t xml:space="preserve">53,3</w:t>
            </w:r>
          </w:p>
        </w:tc>
        <w:tc>
          <w:tcPr>
            <w:tcW w:w="1020" w:type="dxa"/>
            <w:vAlign w:val="center"/>
            <w:tcBorders>
              <w:top w:val="nil"/>
              <w:left w:val="nil"/>
              <w:bottom w:val="nil"/>
              <w:right w:val="nil"/>
            </w:tcBorders>
          </w:tcPr>
          <w:p>
            <w:pPr>
              <w:pStyle w:val="0"/>
              <w:jc w:val="center"/>
            </w:pPr>
            <w:r>
              <w:rPr>
                <w:sz w:val="20"/>
              </w:rPr>
              <w:t xml:space="preserve">-214,2</w:t>
            </w:r>
          </w:p>
        </w:tc>
        <w:tc>
          <w:tcPr>
            <w:tcW w:w="1020" w:type="dxa"/>
            <w:vAlign w:val="center"/>
            <w:tcBorders>
              <w:top w:val="nil"/>
              <w:left w:val="nil"/>
              <w:bottom w:val="nil"/>
              <w:right w:val="nil"/>
            </w:tcBorders>
          </w:tcPr>
          <w:p>
            <w:pPr>
              <w:pStyle w:val="0"/>
              <w:jc w:val="center"/>
            </w:pPr>
            <w:r>
              <w:rPr>
                <w:sz w:val="20"/>
              </w:rPr>
              <w:t xml:space="preserve">-265,9</w:t>
            </w:r>
          </w:p>
        </w:tc>
        <w:tc>
          <w:tcPr>
            <w:tcW w:w="1191" w:type="dxa"/>
            <w:vAlign w:val="center"/>
            <w:tcBorders>
              <w:top w:val="nil"/>
              <w:left w:val="nil"/>
              <w:bottom w:val="nil"/>
              <w:right w:val="nil"/>
            </w:tcBorders>
          </w:tcPr>
          <w:p>
            <w:pPr>
              <w:pStyle w:val="0"/>
              <w:jc w:val="center"/>
            </w:pPr>
            <w:r>
              <w:rPr>
                <w:sz w:val="20"/>
              </w:rPr>
              <w:t xml:space="preserve">-608,1</w:t>
            </w:r>
          </w:p>
        </w:tc>
        <w:tc>
          <w:tcPr>
            <w:tcW w:w="1247" w:type="dxa"/>
            <w:vAlign w:val="center"/>
            <w:tcBorders>
              <w:top w:val="nil"/>
              <w:left w:val="nil"/>
              <w:bottom w:val="nil"/>
              <w:right w:val="nil"/>
            </w:tcBorders>
          </w:tcPr>
          <w:p>
            <w:pPr>
              <w:pStyle w:val="0"/>
              <w:jc w:val="center"/>
            </w:pPr>
            <w:r>
              <w:rPr>
                <w:sz w:val="20"/>
              </w:rPr>
              <w:t xml:space="preserve">-194,0</w:t>
            </w:r>
          </w:p>
        </w:tc>
        <w:tc>
          <w:tcPr>
            <w:tcW w:w="1020" w:type="dxa"/>
            <w:vAlign w:val="center"/>
            <w:tcBorders>
              <w:top w:val="nil"/>
              <w:left w:val="nil"/>
              <w:bottom w:val="nil"/>
              <w:right w:val="nil"/>
            </w:tcBorders>
          </w:tcPr>
          <w:p>
            <w:pPr>
              <w:pStyle w:val="0"/>
              <w:jc w:val="center"/>
            </w:pPr>
            <w:r>
              <w:rPr>
                <w:sz w:val="20"/>
              </w:rPr>
              <w:t xml:space="preserve">-105,6</w:t>
            </w:r>
          </w:p>
        </w:tc>
        <w:tc>
          <w:tcPr>
            <w:tcW w:w="1020" w:type="dxa"/>
            <w:vAlign w:val="center"/>
            <w:tcBorders>
              <w:top w:val="nil"/>
              <w:left w:val="nil"/>
              <w:bottom w:val="nil"/>
              <w:right w:val="nil"/>
            </w:tcBorders>
          </w:tcPr>
          <w:p>
            <w:pPr>
              <w:pStyle w:val="0"/>
              <w:jc w:val="center"/>
            </w:pPr>
            <w:r>
              <w:rPr>
                <w:sz w:val="20"/>
              </w:rPr>
              <w:t xml:space="preserve">176,1</w:t>
            </w:r>
          </w:p>
        </w:tc>
        <w:tc>
          <w:tcPr>
            <w:tcW w:w="1020" w:type="dxa"/>
            <w:vAlign w:val="center"/>
            <w:tcBorders>
              <w:top w:val="nil"/>
              <w:left w:val="nil"/>
              <w:bottom w:val="nil"/>
              <w:right w:val="nil"/>
            </w:tcBorders>
          </w:tcPr>
          <w:p>
            <w:pPr>
              <w:pStyle w:val="0"/>
              <w:jc w:val="center"/>
            </w:pPr>
            <w:r>
              <w:rPr>
                <w:sz w:val="20"/>
              </w:rPr>
              <w:t xml:space="preserve">363,1</w:t>
            </w:r>
          </w:p>
        </w:tc>
      </w:tr>
      <w:tr>
        <w:tc>
          <w:tcPr>
            <w:tcW w:w="2154" w:type="dxa"/>
            <w:tcBorders>
              <w:top w:val="nil"/>
              <w:left w:val="nil"/>
              <w:bottom w:val="nil"/>
              <w:right w:val="nil"/>
            </w:tcBorders>
          </w:tcPr>
          <w:p>
            <w:pPr>
              <w:pStyle w:val="0"/>
            </w:pPr>
            <w:r>
              <w:rPr>
                <w:sz w:val="20"/>
              </w:rPr>
              <w:t xml:space="preserve">Прочие</w:t>
            </w:r>
          </w:p>
        </w:tc>
        <w:tc>
          <w:tcPr>
            <w:tcW w:w="1020" w:type="dxa"/>
            <w:vAlign w:val="center"/>
            <w:tcBorders>
              <w:top w:val="nil"/>
              <w:left w:val="nil"/>
              <w:bottom w:val="nil"/>
              <w:right w:val="nil"/>
            </w:tcBorders>
          </w:tcPr>
          <w:p>
            <w:pPr>
              <w:pStyle w:val="0"/>
              <w:jc w:val="center"/>
            </w:pPr>
            <w:r>
              <w:rPr>
                <w:sz w:val="20"/>
              </w:rPr>
              <w:t xml:space="preserve">-749,2</w:t>
            </w:r>
          </w:p>
        </w:tc>
        <w:tc>
          <w:tcPr>
            <w:tcW w:w="1020" w:type="dxa"/>
            <w:vAlign w:val="center"/>
            <w:tcBorders>
              <w:top w:val="nil"/>
              <w:left w:val="nil"/>
              <w:bottom w:val="nil"/>
              <w:right w:val="nil"/>
            </w:tcBorders>
          </w:tcPr>
          <w:p>
            <w:pPr>
              <w:pStyle w:val="0"/>
              <w:jc w:val="center"/>
            </w:pPr>
            <w:r>
              <w:rPr>
                <w:sz w:val="20"/>
              </w:rPr>
              <w:t xml:space="preserve">-252,8</w:t>
            </w:r>
          </w:p>
        </w:tc>
        <w:tc>
          <w:tcPr>
            <w:tcW w:w="1020" w:type="dxa"/>
            <w:vAlign w:val="center"/>
            <w:tcBorders>
              <w:top w:val="nil"/>
              <w:left w:val="nil"/>
              <w:bottom w:val="nil"/>
              <w:right w:val="nil"/>
            </w:tcBorders>
          </w:tcPr>
          <w:p>
            <w:pPr>
              <w:pStyle w:val="0"/>
              <w:jc w:val="center"/>
            </w:pPr>
            <w:r>
              <w:rPr>
                <w:sz w:val="20"/>
              </w:rPr>
              <w:t xml:space="preserve">1 393,7</w:t>
            </w:r>
          </w:p>
        </w:tc>
        <w:tc>
          <w:tcPr>
            <w:tcW w:w="1191" w:type="dxa"/>
            <w:vAlign w:val="center"/>
            <w:tcBorders>
              <w:top w:val="nil"/>
              <w:left w:val="nil"/>
              <w:bottom w:val="nil"/>
              <w:right w:val="nil"/>
            </w:tcBorders>
          </w:tcPr>
          <w:p>
            <w:pPr>
              <w:pStyle w:val="0"/>
              <w:jc w:val="center"/>
            </w:pPr>
            <w:r>
              <w:rPr>
                <w:sz w:val="20"/>
              </w:rPr>
              <w:t xml:space="preserve">-607,6</w:t>
            </w:r>
          </w:p>
        </w:tc>
        <w:tc>
          <w:tcPr>
            <w:tcW w:w="1247" w:type="dxa"/>
            <w:vAlign w:val="center"/>
            <w:tcBorders>
              <w:top w:val="nil"/>
              <w:left w:val="nil"/>
              <w:bottom w:val="nil"/>
              <w:right w:val="nil"/>
            </w:tcBorders>
          </w:tcPr>
          <w:p>
            <w:pPr>
              <w:pStyle w:val="0"/>
              <w:jc w:val="center"/>
            </w:pPr>
            <w:r>
              <w:rPr>
                <w:sz w:val="20"/>
              </w:rPr>
              <w:t xml:space="preserve">-16,1</w:t>
            </w:r>
          </w:p>
        </w:tc>
        <w:tc>
          <w:tcPr>
            <w:tcW w:w="1020" w:type="dxa"/>
            <w:vAlign w:val="center"/>
            <w:tcBorders>
              <w:top w:val="nil"/>
              <w:left w:val="nil"/>
              <w:bottom w:val="nil"/>
              <w:right w:val="nil"/>
            </w:tcBorders>
          </w:tcPr>
          <w:p>
            <w:pPr>
              <w:pStyle w:val="0"/>
              <w:jc w:val="center"/>
            </w:pPr>
            <w:r>
              <w:rPr>
                <w:sz w:val="20"/>
              </w:rPr>
              <w:t xml:space="preserve">-86,5</w:t>
            </w:r>
          </w:p>
        </w:tc>
        <w:tc>
          <w:tcPr>
            <w:tcW w:w="1020" w:type="dxa"/>
            <w:vAlign w:val="center"/>
            <w:tcBorders>
              <w:top w:val="nil"/>
              <w:left w:val="nil"/>
              <w:bottom w:val="nil"/>
              <w:right w:val="nil"/>
            </w:tcBorders>
          </w:tcPr>
          <w:p>
            <w:pPr>
              <w:pStyle w:val="0"/>
              <w:jc w:val="center"/>
            </w:pPr>
            <w:r>
              <w:rPr>
                <w:sz w:val="20"/>
              </w:rPr>
              <w:t xml:space="preserve">-52,0</w:t>
            </w:r>
          </w:p>
        </w:tc>
        <w:tc>
          <w:tcPr>
            <w:tcW w:w="1020" w:type="dxa"/>
            <w:vAlign w:val="center"/>
            <w:tcBorders>
              <w:top w:val="nil"/>
              <w:left w:val="nil"/>
              <w:bottom w:val="nil"/>
              <w:right w:val="nil"/>
            </w:tcBorders>
          </w:tcPr>
          <w:p>
            <w:pPr>
              <w:pStyle w:val="0"/>
              <w:jc w:val="center"/>
            </w:pPr>
            <w:r>
              <w:rPr>
                <w:sz w:val="20"/>
              </w:rPr>
              <w:t xml:space="preserve">-52,4</w:t>
            </w:r>
          </w:p>
        </w:tc>
      </w:tr>
      <w:tr>
        <w:tc>
          <w:tcPr>
            <w:tcW w:w="2154" w:type="dxa"/>
            <w:tcBorders>
              <w:top w:val="nil"/>
              <w:left w:val="nil"/>
              <w:bottom w:val="nil"/>
              <w:right w:val="nil"/>
            </w:tcBorders>
          </w:tcPr>
          <w:p>
            <w:pPr>
              <w:pStyle w:val="0"/>
            </w:pPr>
            <w:r>
              <w:rPr>
                <w:sz w:val="20"/>
              </w:rPr>
              <w:t xml:space="preserve">Источники внешнего финансирования</w:t>
            </w:r>
          </w:p>
        </w:tc>
        <w:tc>
          <w:tcPr>
            <w:tcW w:w="1020" w:type="dxa"/>
            <w:vAlign w:val="center"/>
            <w:tcBorders>
              <w:top w:val="nil"/>
              <w:left w:val="nil"/>
              <w:bottom w:val="nil"/>
              <w:right w:val="nil"/>
            </w:tcBorders>
          </w:tcPr>
          <w:p>
            <w:pPr>
              <w:pStyle w:val="0"/>
              <w:jc w:val="center"/>
            </w:pPr>
            <w:r>
              <w:rPr>
                <w:sz w:val="20"/>
              </w:rPr>
              <w:t xml:space="preserve">289,3</w:t>
            </w:r>
          </w:p>
        </w:tc>
        <w:tc>
          <w:tcPr>
            <w:tcW w:w="1020" w:type="dxa"/>
            <w:vAlign w:val="center"/>
            <w:tcBorders>
              <w:top w:val="nil"/>
              <w:left w:val="nil"/>
              <w:bottom w:val="nil"/>
              <w:right w:val="nil"/>
            </w:tcBorders>
          </w:tcPr>
          <w:p>
            <w:pPr>
              <w:pStyle w:val="0"/>
              <w:jc w:val="center"/>
            </w:pPr>
            <w:r>
              <w:rPr>
                <w:sz w:val="20"/>
              </w:rPr>
              <w:t xml:space="preserve">-300,8</w:t>
            </w:r>
          </w:p>
        </w:tc>
        <w:tc>
          <w:tcPr>
            <w:tcW w:w="1020" w:type="dxa"/>
            <w:vAlign w:val="center"/>
            <w:tcBorders>
              <w:top w:val="nil"/>
              <w:left w:val="nil"/>
              <w:bottom w:val="nil"/>
              <w:right w:val="nil"/>
            </w:tcBorders>
          </w:tcPr>
          <w:p>
            <w:pPr>
              <w:pStyle w:val="0"/>
              <w:jc w:val="center"/>
            </w:pPr>
            <w:r>
              <w:rPr>
                <w:sz w:val="20"/>
              </w:rPr>
              <w:t xml:space="preserve">-39,4</w:t>
            </w:r>
          </w:p>
        </w:tc>
        <w:tc>
          <w:tcPr>
            <w:tcW w:w="1191" w:type="dxa"/>
            <w:vAlign w:val="center"/>
            <w:tcBorders>
              <w:top w:val="nil"/>
              <w:left w:val="nil"/>
              <w:bottom w:val="nil"/>
              <w:right w:val="nil"/>
            </w:tcBorders>
          </w:tcPr>
          <w:p>
            <w:pPr>
              <w:pStyle w:val="0"/>
              <w:jc w:val="center"/>
            </w:pPr>
            <w:r>
              <w:rPr>
                <w:sz w:val="20"/>
              </w:rPr>
              <w:t xml:space="preserve">-526,5</w:t>
            </w:r>
          </w:p>
        </w:tc>
        <w:tc>
          <w:tcPr>
            <w:tcW w:w="1247" w:type="dxa"/>
            <w:vAlign w:val="center"/>
            <w:tcBorders>
              <w:top w:val="nil"/>
              <w:left w:val="nil"/>
              <w:bottom w:val="nil"/>
              <w:right w:val="nil"/>
            </w:tcBorders>
          </w:tcPr>
          <w:p>
            <w:pPr>
              <w:pStyle w:val="0"/>
              <w:jc w:val="center"/>
            </w:pPr>
            <w:r>
              <w:rPr>
                <w:sz w:val="20"/>
              </w:rPr>
              <w:t xml:space="preserve">-592,9</w:t>
            </w:r>
          </w:p>
        </w:tc>
        <w:tc>
          <w:tcPr>
            <w:tcW w:w="1020" w:type="dxa"/>
            <w:vAlign w:val="center"/>
            <w:tcBorders>
              <w:top w:val="nil"/>
              <w:left w:val="nil"/>
              <w:bottom w:val="nil"/>
              <w:right w:val="nil"/>
            </w:tcBorders>
          </w:tcPr>
          <w:p>
            <w:pPr>
              <w:pStyle w:val="0"/>
              <w:jc w:val="center"/>
            </w:pPr>
            <w:r>
              <w:rPr>
                <w:sz w:val="20"/>
              </w:rPr>
              <w:t xml:space="preserve">-318,1</w:t>
            </w:r>
          </w:p>
        </w:tc>
        <w:tc>
          <w:tcPr>
            <w:tcW w:w="1020" w:type="dxa"/>
            <w:vAlign w:val="center"/>
            <w:tcBorders>
              <w:top w:val="nil"/>
              <w:left w:val="nil"/>
              <w:bottom w:val="nil"/>
              <w:right w:val="nil"/>
            </w:tcBorders>
          </w:tcPr>
          <w:p>
            <w:pPr>
              <w:pStyle w:val="0"/>
              <w:jc w:val="center"/>
            </w:pPr>
            <w:r>
              <w:rPr>
                <w:sz w:val="20"/>
              </w:rPr>
              <w:t xml:space="preserve">-405,7</w:t>
            </w:r>
          </w:p>
        </w:tc>
        <w:tc>
          <w:tcPr>
            <w:tcW w:w="1020" w:type="dxa"/>
            <w:vAlign w:val="center"/>
            <w:tcBorders>
              <w:top w:val="nil"/>
              <w:left w:val="nil"/>
              <w:bottom w:val="nil"/>
              <w:right w:val="nil"/>
            </w:tcBorders>
          </w:tcPr>
          <w:p>
            <w:pPr>
              <w:pStyle w:val="0"/>
              <w:jc w:val="center"/>
            </w:pPr>
            <w:r>
              <w:rPr>
                <w:sz w:val="20"/>
              </w:rPr>
              <w:t xml:space="preserve">-484,2</w:t>
            </w:r>
          </w:p>
        </w:tc>
      </w:tr>
      <w:tr>
        <w:tc>
          <w:tcPr>
            <w:tcW w:w="2154" w:type="dxa"/>
            <w:tcBorders>
              <w:top w:val="nil"/>
              <w:left w:val="nil"/>
              <w:bottom w:val="nil"/>
              <w:right w:val="nil"/>
            </w:tcBorders>
          </w:tcPr>
          <w:p>
            <w:pPr>
              <w:pStyle w:val="0"/>
            </w:pPr>
            <w:r>
              <w:rPr>
                <w:sz w:val="20"/>
              </w:rPr>
              <w:t xml:space="preserve">Заемные источники</w:t>
            </w:r>
          </w:p>
        </w:tc>
        <w:tc>
          <w:tcPr>
            <w:tcW w:w="1020" w:type="dxa"/>
            <w:vAlign w:val="center"/>
            <w:tcBorders>
              <w:top w:val="nil"/>
              <w:left w:val="nil"/>
              <w:bottom w:val="nil"/>
              <w:right w:val="nil"/>
            </w:tcBorders>
          </w:tcPr>
          <w:p>
            <w:pPr>
              <w:pStyle w:val="0"/>
              <w:jc w:val="center"/>
            </w:pPr>
            <w:r>
              <w:rPr>
                <w:sz w:val="20"/>
              </w:rPr>
              <w:t xml:space="preserve">260,0</w:t>
            </w:r>
          </w:p>
        </w:tc>
        <w:tc>
          <w:tcPr>
            <w:tcW w:w="1020" w:type="dxa"/>
            <w:vAlign w:val="center"/>
            <w:tcBorders>
              <w:top w:val="nil"/>
              <w:left w:val="nil"/>
              <w:bottom w:val="nil"/>
              <w:right w:val="nil"/>
            </w:tcBorders>
          </w:tcPr>
          <w:p>
            <w:pPr>
              <w:pStyle w:val="0"/>
              <w:jc w:val="center"/>
            </w:pPr>
            <w:r>
              <w:rPr>
                <w:sz w:val="20"/>
              </w:rPr>
              <w:t xml:space="preserve">-206,8</w:t>
            </w:r>
          </w:p>
        </w:tc>
        <w:tc>
          <w:tcPr>
            <w:tcW w:w="1020" w:type="dxa"/>
            <w:vAlign w:val="center"/>
            <w:tcBorders>
              <w:top w:val="nil"/>
              <w:left w:val="nil"/>
              <w:bottom w:val="nil"/>
              <w:right w:val="nil"/>
            </w:tcBorders>
          </w:tcPr>
          <w:p>
            <w:pPr>
              <w:pStyle w:val="0"/>
              <w:jc w:val="center"/>
            </w:pPr>
            <w:r>
              <w:rPr>
                <w:sz w:val="20"/>
              </w:rPr>
              <w:t xml:space="preserve">165,3</w:t>
            </w:r>
          </w:p>
        </w:tc>
        <w:tc>
          <w:tcPr>
            <w:tcW w:w="1191" w:type="dxa"/>
            <w:vAlign w:val="center"/>
            <w:tcBorders>
              <w:top w:val="nil"/>
              <w:left w:val="nil"/>
              <w:bottom w:val="nil"/>
              <w:right w:val="nil"/>
            </w:tcBorders>
          </w:tcPr>
          <w:p>
            <w:pPr>
              <w:pStyle w:val="0"/>
              <w:jc w:val="center"/>
            </w:pPr>
            <w:r>
              <w:rPr>
                <w:sz w:val="20"/>
              </w:rPr>
              <w:t xml:space="preserve">-214,8</w:t>
            </w:r>
          </w:p>
        </w:tc>
        <w:tc>
          <w:tcPr>
            <w:tcW w:w="1247" w:type="dxa"/>
            <w:vAlign w:val="center"/>
            <w:tcBorders>
              <w:top w:val="nil"/>
              <w:left w:val="nil"/>
              <w:bottom w:val="nil"/>
              <w:right w:val="nil"/>
            </w:tcBorders>
          </w:tcPr>
          <w:p>
            <w:pPr>
              <w:pStyle w:val="0"/>
              <w:jc w:val="center"/>
            </w:pPr>
            <w:r>
              <w:rPr>
                <w:sz w:val="20"/>
              </w:rPr>
              <w:t xml:space="preserve">-252,0</w:t>
            </w:r>
          </w:p>
        </w:tc>
        <w:tc>
          <w:tcPr>
            <w:tcW w:w="1020" w:type="dxa"/>
            <w:vAlign w:val="center"/>
            <w:tcBorders>
              <w:top w:val="nil"/>
              <w:left w:val="nil"/>
              <w:bottom w:val="nil"/>
              <w:right w:val="nil"/>
            </w:tcBorders>
          </w:tcPr>
          <w:p>
            <w:pPr>
              <w:pStyle w:val="0"/>
              <w:jc w:val="center"/>
            </w:pPr>
            <w:r>
              <w:rPr>
                <w:sz w:val="20"/>
              </w:rPr>
              <w:t xml:space="preserve">60,8</w:t>
            </w:r>
          </w:p>
        </w:tc>
        <w:tc>
          <w:tcPr>
            <w:tcW w:w="1020" w:type="dxa"/>
            <w:vAlign w:val="center"/>
            <w:tcBorders>
              <w:top w:val="nil"/>
              <w:left w:val="nil"/>
              <w:bottom w:val="nil"/>
              <w:right w:val="nil"/>
            </w:tcBorders>
          </w:tcPr>
          <w:p>
            <w:pPr>
              <w:pStyle w:val="0"/>
              <w:jc w:val="center"/>
            </w:pPr>
            <w:r>
              <w:rPr>
                <w:sz w:val="20"/>
              </w:rPr>
              <w:t xml:space="preserve">-89,8</w:t>
            </w:r>
          </w:p>
        </w:tc>
        <w:tc>
          <w:tcPr>
            <w:tcW w:w="1020" w:type="dxa"/>
            <w:vAlign w:val="center"/>
            <w:tcBorders>
              <w:top w:val="nil"/>
              <w:left w:val="nil"/>
              <w:bottom w:val="nil"/>
              <w:right w:val="nil"/>
            </w:tcBorders>
          </w:tcPr>
          <w:p>
            <w:pPr>
              <w:pStyle w:val="0"/>
              <w:jc w:val="center"/>
            </w:pPr>
            <w:r>
              <w:rPr>
                <w:sz w:val="20"/>
              </w:rPr>
              <w:t xml:space="preserve">-184,2</w:t>
            </w:r>
          </w:p>
        </w:tc>
      </w:tr>
      <w:tr>
        <w:tc>
          <w:tcPr>
            <w:tcW w:w="2154" w:type="dxa"/>
            <w:tcBorders>
              <w:top w:val="nil"/>
              <w:left w:val="nil"/>
              <w:bottom w:val="nil"/>
              <w:right w:val="nil"/>
            </w:tcBorders>
          </w:tcPr>
          <w:p>
            <w:pPr>
              <w:pStyle w:val="0"/>
            </w:pPr>
            <w:r>
              <w:rPr>
                <w:sz w:val="20"/>
              </w:rPr>
              <w:t xml:space="preserve">Государственные кредиты</w:t>
            </w:r>
          </w:p>
        </w:tc>
        <w:tc>
          <w:tcPr>
            <w:tcW w:w="1020" w:type="dxa"/>
            <w:vAlign w:val="center"/>
            <w:tcBorders>
              <w:top w:val="nil"/>
              <w:left w:val="nil"/>
              <w:bottom w:val="nil"/>
              <w:right w:val="nil"/>
            </w:tcBorders>
          </w:tcPr>
          <w:p>
            <w:pPr>
              <w:pStyle w:val="0"/>
              <w:jc w:val="center"/>
            </w:pPr>
            <w:r>
              <w:rPr>
                <w:sz w:val="20"/>
              </w:rPr>
              <w:t xml:space="preserve">29,4</w:t>
            </w:r>
          </w:p>
        </w:tc>
        <w:tc>
          <w:tcPr>
            <w:tcW w:w="1020" w:type="dxa"/>
            <w:vAlign w:val="center"/>
            <w:tcBorders>
              <w:top w:val="nil"/>
              <w:left w:val="nil"/>
              <w:bottom w:val="nil"/>
              <w:right w:val="nil"/>
            </w:tcBorders>
          </w:tcPr>
          <w:p>
            <w:pPr>
              <w:pStyle w:val="0"/>
              <w:jc w:val="center"/>
            </w:pPr>
            <w:r>
              <w:rPr>
                <w:sz w:val="20"/>
              </w:rPr>
              <w:t xml:space="preserve">-94,0</w:t>
            </w:r>
          </w:p>
        </w:tc>
        <w:tc>
          <w:tcPr>
            <w:tcW w:w="1020" w:type="dxa"/>
            <w:vAlign w:val="center"/>
            <w:tcBorders>
              <w:top w:val="nil"/>
              <w:left w:val="nil"/>
              <w:bottom w:val="nil"/>
              <w:right w:val="nil"/>
            </w:tcBorders>
          </w:tcPr>
          <w:p>
            <w:pPr>
              <w:pStyle w:val="0"/>
              <w:jc w:val="center"/>
            </w:pPr>
            <w:r>
              <w:rPr>
                <w:sz w:val="20"/>
              </w:rPr>
              <w:t xml:space="preserve">-204,7</w:t>
            </w:r>
          </w:p>
        </w:tc>
        <w:tc>
          <w:tcPr>
            <w:tcW w:w="1191" w:type="dxa"/>
            <w:vAlign w:val="center"/>
            <w:tcBorders>
              <w:top w:val="nil"/>
              <w:left w:val="nil"/>
              <w:bottom w:val="nil"/>
              <w:right w:val="nil"/>
            </w:tcBorders>
          </w:tcPr>
          <w:p>
            <w:pPr>
              <w:pStyle w:val="0"/>
              <w:jc w:val="center"/>
            </w:pPr>
            <w:r>
              <w:rPr>
                <w:sz w:val="20"/>
              </w:rPr>
              <w:t xml:space="preserve">-311,7</w:t>
            </w:r>
          </w:p>
        </w:tc>
        <w:tc>
          <w:tcPr>
            <w:tcW w:w="1247" w:type="dxa"/>
            <w:vAlign w:val="center"/>
            <w:tcBorders>
              <w:top w:val="nil"/>
              <w:left w:val="nil"/>
              <w:bottom w:val="nil"/>
              <w:right w:val="nil"/>
            </w:tcBorders>
          </w:tcPr>
          <w:p>
            <w:pPr>
              <w:pStyle w:val="0"/>
              <w:jc w:val="center"/>
            </w:pPr>
            <w:r>
              <w:rPr>
                <w:sz w:val="20"/>
              </w:rPr>
              <w:t xml:space="preserve">-340,8</w:t>
            </w:r>
          </w:p>
        </w:tc>
        <w:tc>
          <w:tcPr>
            <w:tcW w:w="1020" w:type="dxa"/>
            <w:vAlign w:val="center"/>
            <w:tcBorders>
              <w:top w:val="nil"/>
              <w:left w:val="nil"/>
              <w:bottom w:val="nil"/>
              <w:right w:val="nil"/>
            </w:tcBorders>
          </w:tcPr>
          <w:p>
            <w:pPr>
              <w:pStyle w:val="0"/>
              <w:jc w:val="center"/>
            </w:pPr>
            <w:r>
              <w:rPr>
                <w:sz w:val="20"/>
              </w:rPr>
              <w:t xml:space="preserve">-369,2</w:t>
            </w:r>
          </w:p>
        </w:tc>
        <w:tc>
          <w:tcPr>
            <w:tcW w:w="1020" w:type="dxa"/>
            <w:vAlign w:val="center"/>
            <w:tcBorders>
              <w:top w:val="nil"/>
              <w:left w:val="nil"/>
              <w:bottom w:val="nil"/>
              <w:right w:val="nil"/>
            </w:tcBorders>
          </w:tcPr>
          <w:p>
            <w:pPr>
              <w:pStyle w:val="0"/>
              <w:jc w:val="center"/>
            </w:pPr>
            <w:r>
              <w:rPr>
                <w:sz w:val="20"/>
              </w:rPr>
              <w:t xml:space="preserve">-313,8</w:t>
            </w:r>
          </w:p>
        </w:tc>
        <w:tc>
          <w:tcPr>
            <w:tcW w:w="1020" w:type="dxa"/>
            <w:vAlign w:val="center"/>
            <w:tcBorders>
              <w:top w:val="nil"/>
              <w:left w:val="nil"/>
              <w:bottom w:val="nil"/>
              <w:right w:val="nil"/>
            </w:tcBorders>
          </w:tcPr>
          <w:p>
            <w:pPr>
              <w:pStyle w:val="0"/>
              <w:jc w:val="center"/>
            </w:pPr>
            <w:r>
              <w:rPr>
                <w:sz w:val="20"/>
              </w:rPr>
              <w:t xml:space="preserve">-298,0</w:t>
            </w:r>
          </w:p>
        </w:tc>
      </w:tr>
      <w:tr>
        <w:tc>
          <w:tcPr>
            <w:tcW w:w="2154" w:type="dxa"/>
            <w:tcBorders>
              <w:top w:val="nil"/>
              <w:left w:val="nil"/>
              <w:bottom w:val="single" w:sz="4"/>
              <w:right w:val="nil"/>
            </w:tcBorders>
          </w:tcPr>
          <w:p>
            <w:pPr>
              <w:pStyle w:val="0"/>
            </w:pPr>
            <w:r>
              <w:rPr>
                <w:sz w:val="20"/>
              </w:rPr>
              <w:t xml:space="preserve">Прочие</w:t>
            </w:r>
          </w:p>
        </w:tc>
        <w:tc>
          <w:tcPr>
            <w:tcW w:w="1020" w:type="dxa"/>
            <w:vAlign w:val="center"/>
            <w:tcBorders>
              <w:top w:val="nil"/>
              <w:left w:val="nil"/>
              <w:bottom w:val="single" w:sz="4"/>
              <w:right w:val="nil"/>
            </w:tcBorders>
          </w:tcPr>
          <w:p>
            <w:pPr>
              <w:pStyle w:val="0"/>
              <w:jc w:val="center"/>
            </w:pPr>
            <w:r>
              <w:rPr>
                <w:sz w:val="20"/>
              </w:rPr>
              <w:t xml:space="preserve">-0,1</w:t>
            </w:r>
          </w:p>
        </w:tc>
        <w:tc>
          <w:tcPr>
            <w:tcW w:w="1020" w:type="dxa"/>
            <w:vAlign w:val="center"/>
            <w:tcBorders>
              <w:top w:val="nil"/>
              <w:left w:val="nil"/>
              <w:bottom w:val="single" w:sz="4"/>
              <w:right w:val="nil"/>
            </w:tcBorders>
          </w:tcPr>
          <w:p>
            <w:pPr>
              <w:pStyle w:val="0"/>
              <w:jc w:val="center"/>
            </w:pPr>
            <w:r>
              <w:rPr>
                <w:sz w:val="20"/>
              </w:rPr>
              <w:t xml:space="preserve">0,0</w:t>
            </w:r>
          </w:p>
        </w:tc>
        <w:tc>
          <w:tcPr>
            <w:tcW w:w="1020" w:type="dxa"/>
            <w:vAlign w:val="center"/>
            <w:tcBorders>
              <w:top w:val="nil"/>
              <w:left w:val="nil"/>
              <w:bottom w:val="single" w:sz="4"/>
              <w:right w:val="nil"/>
            </w:tcBorders>
          </w:tcPr>
          <w:p>
            <w:pPr>
              <w:pStyle w:val="0"/>
              <w:jc w:val="center"/>
            </w:pPr>
            <w:r>
              <w:rPr>
                <w:sz w:val="20"/>
              </w:rPr>
              <w:t xml:space="preserve">0,0</w:t>
            </w:r>
          </w:p>
        </w:tc>
        <w:tc>
          <w:tcPr>
            <w:tcW w:w="1191" w:type="dxa"/>
            <w:vAlign w:val="center"/>
            <w:tcBorders>
              <w:top w:val="nil"/>
              <w:left w:val="nil"/>
              <w:bottom w:val="single" w:sz="4"/>
              <w:right w:val="nil"/>
            </w:tcBorders>
          </w:tcPr>
          <w:p>
            <w:pPr>
              <w:pStyle w:val="0"/>
              <w:jc w:val="center"/>
            </w:pPr>
            <w:r>
              <w:rPr>
                <w:sz w:val="20"/>
              </w:rPr>
              <w:t xml:space="preserve">0,0</w:t>
            </w:r>
          </w:p>
        </w:tc>
        <w:tc>
          <w:tcPr>
            <w:tcW w:w="1247" w:type="dxa"/>
            <w:vAlign w:val="center"/>
            <w:tcBorders>
              <w:top w:val="nil"/>
              <w:left w:val="nil"/>
              <w:bottom w:val="single" w:sz="4"/>
              <w:right w:val="nil"/>
            </w:tcBorders>
          </w:tcPr>
          <w:p>
            <w:pPr>
              <w:pStyle w:val="0"/>
              <w:jc w:val="center"/>
            </w:pPr>
            <w:r>
              <w:rPr>
                <w:sz w:val="20"/>
              </w:rPr>
              <w:t xml:space="preserve">0,0</w:t>
            </w:r>
          </w:p>
        </w:tc>
        <w:tc>
          <w:tcPr>
            <w:tcW w:w="1020" w:type="dxa"/>
            <w:vAlign w:val="center"/>
            <w:tcBorders>
              <w:top w:val="nil"/>
              <w:left w:val="nil"/>
              <w:bottom w:val="single" w:sz="4"/>
              <w:right w:val="nil"/>
            </w:tcBorders>
          </w:tcPr>
          <w:p>
            <w:pPr>
              <w:pStyle w:val="0"/>
              <w:jc w:val="center"/>
            </w:pPr>
            <w:r>
              <w:rPr>
                <w:sz w:val="20"/>
              </w:rPr>
              <w:t xml:space="preserve">-9,7</w:t>
            </w:r>
          </w:p>
        </w:tc>
        <w:tc>
          <w:tcPr>
            <w:tcW w:w="1020" w:type="dxa"/>
            <w:vAlign w:val="center"/>
            <w:tcBorders>
              <w:top w:val="nil"/>
              <w:left w:val="nil"/>
              <w:bottom w:val="single" w:sz="4"/>
              <w:right w:val="nil"/>
            </w:tcBorders>
          </w:tcPr>
          <w:p>
            <w:pPr>
              <w:pStyle w:val="0"/>
              <w:jc w:val="center"/>
            </w:pPr>
            <w:r>
              <w:rPr>
                <w:sz w:val="20"/>
              </w:rPr>
              <w:t xml:space="preserve">-2,2</w:t>
            </w:r>
          </w:p>
        </w:tc>
        <w:tc>
          <w:tcPr>
            <w:tcW w:w="1020" w:type="dxa"/>
            <w:vAlign w:val="center"/>
            <w:tcBorders>
              <w:top w:val="nil"/>
              <w:left w:val="nil"/>
              <w:bottom w:val="single" w:sz="4"/>
              <w:right w:val="nil"/>
            </w:tcBorders>
          </w:tcPr>
          <w:p>
            <w:pPr>
              <w:pStyle w:val="0"/>
              <w:jc w:val="center"/>
            </w:pPr>
            <w:r>
              <w:rPr>
                <w:sz w:val="20"/>
              </w:rPr>
              <w:t xml:space="preserve">-2,0</w:t>
            </w:r>
          </w:p>
        </w:tc>
      </w:tr>
    </w:tbl>
    <w:p>
      <w:pPr>
        <w:pStyle w:val="0"/>
        <w:jc w:val="both"/>
      </w:pPr>
      <w:r>
        <w:rPr>
          <w:sz w:val="20"/>
        </w:rPr>
      </w:r>
    </w:p>
    <w:p>
      <w:pPr>
        <w:pStyle w:val="0"/>
        <w:ind w:firstLine="540"/>
        <w:jc w:val="both"/>
      </w:pPr>
      <w:r>
        <w:rPr>
          <w:sz w:val="20"/>
        </w:rPr>
        <w:t xml:space="preserve">--------------------------------</w:t>
      </w:r>
    </w:p>
    <w:bookmarkStart w:id="1850" w:name="P1850"/>
    <w:bookmarkEnd w:id="1850"/>
    <w:p>
      <w:pPr>
        <w:pStyle w:val="0"/>
        <w:spacing w:before="200" w:line-rule="auto"/>
        <w:ind w:firstLine="540"/>
        <w:jc w:val="both"/>
      </w:pPr>
      <w:r>
        <w:rPr>
          <w:sz w:val="20"/>
        </w:rPr>
        <w:t xml:space="preserve">&lt;*&gt; оценка</w:t>
      </w:r>
    </w:p>
    <w:p>
      <w:pPr>
        <w:pStyle w:val="0"/>
        <w:jc w:val="both"/>
      </w:pPr>
      <w:r>
        <w:rPr>
          <w:sz w:val="20"/>
        </w:rPr>
      </w:r>
    </w:p>
    <w:p>
      <w:pPr>
        <w:pStyle w:val="0"/>
        <w:ind w:firstLine="540"/>
        <w:jc w:val="both"/>
      </w:pPr>
      <w:r>
        <w:rPr>
          <w:sz w:val="20"/>
        </w:rPr>
        <w:t xml:space="preserve">Формирование параметров федерального бюджета в целом и источников финансирования дефицита в соответствии с "бюджетными правилами" позволит сохранить уровень долговой нагрузки на устойчивом уровне.</w:t>
      </w:r>
    </w:p>
    <w:p>
      <w:pPr>
        <w:pStyle w:val="0"/>
        <w:jc w:val="both"/>
      </w:pPr>
      <w:r>
        <w:rPr>
          <w:sz w:val="20"/>
        </w:rPr>
      </w:r>
    </w:p>
    <w:p>
      <w:pPr>
        <w:pStyle w:val="0"/>
        <w:ind w:firstLine="540"/>
        <w:jc w:val="both"/>
      </w:pPr>
      <w:r>
        <w:rPr>
          <w:sz w:val="20"/>
        </w:rPr>
        <w:t xml:space="preserve">Таблица 4.1.5. Государственный долг РФ в 2019 - 2026 гг.</w:t>
      </w:r>
    </w:p>
    <w:p>
      <w:pPr>
        <w:pStyle w:val="0"/>
        <w:jc w:val="both"/>
      </w:pPr>
      <w:r>
        <w:rPr>
          <w:sz w:val="20"/>
        </w:rPr>
      </w:r>
    </w:p>
    <w:p>
      <w:pPr>
        <w:pStyle w:val="0"/>
        <w:jc w:val="right"/>
      </w:pPr>
      <w:r>
        <w:rPr>
          <w:sz w:val="20"/>
        </w:rPr>
        <w:t xml:space="preserve">млрд рублей</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2154"/>
        <w:gridCol w:w="1020"/>
        <w:gridCol w:w="1020"/>
        <w:gridCol w:w="1020"/>
        <w:gridCol w:w="1191"/>
        <w:gridCol w:w="1247"/>
        <w:gridCol w:w="1020"/>
        <w:gridCol w:w="1020"/>
        <w:gridCol w:w="1020"/>
      </w:tblGrid>
      <w:tr>
        <w:tblPrEx>
          <w:tblBorders>
            <w:insideH w:val="single" w:sz="4"/>
          </w:tblBorders>
        </w:tblPrEx>
        <w:tc>
          <w:tcPr>
            <w:tcW w:w="2154" w:type="dxa"/>
            <w:tcBorders>
              <w:top w:val="single" w:sz="4"/>
              <w:left w:val="nil"/>
              <w:bottom w:val="single" w:sz="4"/>
              <w:right w:val="nil"/>
            </w:tcBorders>
          </w:tcPr>
          <w:p>
            <w:pPr>
              <w:pStyle w:val="0"/>
              <w:jc w:val="center"/>
            </w:pPr>
            <w:r>
              <w:rPr>
                <w:sz w:val="20"/>
              </w:rPr>
              <w:t xml:space="preserve">Показатель</w:t>
            </w:r>
          </w:p>
        </w:tc>
        <w:tc>
          <w:tcPr>
            <w:tcW w:w="1020" w:type="dxa"/>
            <w:tcBorders>
              <w:top w:val="single" w:sz="4"/>
              <w:left w:val="nil"/>
              <w:bottom w:val="single" w:sz="4"/>
              <w:right w:val="nil"/>
            </w:tcBorders>
          </w:tcPr>
          <w:p>
            <w:pPr>
              <w:pStyle w:val="0"/>
              <w:jc w:val="center"/>
            </w:pPr>
            <w:r>
              <w:rPr>
                <w:sz w:val="20"/>
              </w:rPr>
              <w:t xml:space="preserve">2019</w:t>
            </w:r>
          </w:p>
        </w:tc>
        <w:tc>
          <w:tcPr>
            <w:tcW w:w="1020" w:type="dxa"/>
            <w:tcBorders>
              <w:top w:val="single" w:sz="4"/>
              <w:left w:val="nil"/>
              <w:bottom w:val="single" w:sz="4"/>
              <w:right w:val="nil"/>
            </w:tcBorders>
          </w:tcPr>
          <w:p>
            <w:pPr>
              <w:pStyle w:val="0"/>
              <w:jc w:val="center"/>
            </w:pPr>
            <w:r>
              <w:rPr>
                <w:sz w:val="20"/>
              </w:rPr>
              <w:t xml:space="preserve">2020</w:t>
            </w:r>
          </w:p>
        </w:tc>
        <w:tc>
          <w:tcPr>
            <w:tcW w:w="1020" w:type="dxa"/>
            <w:tcBorders>
              <w:top w:val="single" w:sz="4"/>
              <w:left w:val="nil"/>
              <w:bottom w:val="single" w:sz="4"/>
              <w:right w:val="nil"/>
            </w:tcBorders>
          </w:tcPr>
          <w:p>
            <w:pPr>
              <w:pStyle w:val="0"/>
              <w:jc w:val="center"/>
            </w:pPr>
            <w:r>
              <w:rPr>
                <w:sz w:val="20"/>
              </w:rPr>
              <w:t xml:space="preserve">2021</w:t>
            </w:r>
          </w:p>
        </w:tc>
        <w:tc>
          <w:tcPr>
            <w:tcW w:w="1191" w:type="dxa"/>
            <w:tcBorders>
              <w:top w:val="single" w:sz="4"/>
              <w:left w:val="nil"/>
              <w:bottom w:val="single" w:sz="4"/>
              <w:right w:val="nil"/>
            </w:tcBorders>
          </w:tcPr>
          <w:p>
            <w:pPr>
              <w:pStyle w:val="0"/>
              <w:jc w:val="center"/>
            </w:pPr>
            <w:r>
              <w:rPr>
                <w:sz w:val="20"/>
              </w:rPr>
              <w:t xml:space="preserve">2022</w:t>
            </w:r>
          </w:p>
        </w:tc>
        <w:tc>
          <w:tcPr>
            <w:tcW w:w="1247" w:type="dxa"/>
            <w:tcBorders>
              <w:top w:val="single" w:sz="4"/>
              <w:left w:val="nil"/>
              <w:bottom w:val="single" w:sz="4"/>
              <w:right w:val="nil"/>
            </w:tcBorders>
          </w:tcPr>
          <w:p>
            <w:pPr>
              <w:pStyle w:val="0"/>
              <w:jc w:val="center"/>
            </w:pPr>
            <w:r>
              <w:rPr>
                <w:sz w:val="20"/>
              </w:rPr>
              <w:t xml:space="preserve">2023 </w:t>
            </w:r>
            <w:hyperlink w:history="0" w:anchor="P1958" w:tooltip="&lt;*&gt; оценка">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2024</w:t>
            </w:r>
          </w:p>
        </w:tc>
        <w:tc>
          <w:tcPr>
            <w:tcW w:w="1020" w:type="dxa"/>
            <w:tcBorders>
              <w:top w:val="single" w:sz="4"/>
              <w:left w:val="nil"/>
              <w:bottom w:val="single" w:sz="4"/>
              <w:right w:val="nil"/>
            </w:tcBorders>
          </w:tcPr>
          <w:p>
            <w:pPr>
              <w:pStyle w:val="0"/>
              <w:jc w:val="center"/>
            </w:pPr>
            <w:r>
              <w:rPr>
                <w:sz w:val="20"/>
              </w:rPr>
              <w:t xml:space="preserve">2025</w:t>
            </w:r>
          </w:p>
        </w:tc>
        <w:tc>
          <w:tcPr>
            <w:tcW w:w="1020" w:type="dxa"/>
            <w:tcBorders>
              <w:top w:val="single" w:sz="4"/>
              <w:left w:val="nil"/>
              <w:bottom w:val="single" w:sz="4"/>
              <w:right w:val="nil"/>
            </w:tcBorders>
          </w:tcPr>
          <w:p>
            <w:pPr>
              <w:pStyle w:val="0"/>
              <w:jc w:val="center"/>
            </w:pPr>
            <w:r>
              <w:rPr>
                <w:sz w:val="20"/>
              </w:rPr>
              <w:t xml:space="preserve">2026</w:t>
            </w:r>
          </w:p>
        </w:tc>
      </w:tr>
      <w:tr>
        <w:tc>
          <w:tcPr>
            <w:tcW w:w="2154" w:type="dxa"/>
            <w:tcBorders>
              <w:top w:val="single" w:sz="4"/>
              <w:left w:val="nil"/>
              <w:bottom w:val="nil"/>
              <w:right w:val="nil"/>
            </w:tcBorders>
          </w:tcPr>
          <w:p>
            <w:pPr>
              <w:pStyle w:val="0"/>
            </w:pPr>
            <w:r>
              <w:rPr>
                <w:sz w:val="20"/>
              </w:rPr>
              <w:t xml:space="preserve">Объем государственного долга</w:t>
            </w:r>
          </w:p>
        </w:tc>
        <w:tc>
          <w:tcPr>
            <w:tcW w:w="1020" w:type="dxa"/>
            <w:vAlign w:val="center"/>
            <w:tcBorders>
              <w:top w:val="single" w:sz="4"/>
              <w:left w:val="nil"/>
              <w:bottom w:val="nil"/>
              <w:right w:val="nil"/>
            </w:tcBorders>
          </w:tcPr>
          <w:p>
            <w:pPr>
              <w:pStyle w:val="0"/>
              <w:jc w:val="center"/>
            </w:pPr>
            <w:r>
              <w:rPr>
                <w:sz w:val="20"/>
              </w:rPr>
              <w:t xml:space="preserve">13 567,4</w:t>
            </w:r>
          </w:p>
        </w:tc>
        <w:tc>
          <w:tcPr>
            <w:tcW w:w="1020" w:type="dxa"/>
            <w:vAlign w:val="center"/>
            <w:tcBorders>
              <w:top w:val="single" w:sz="4"/>
              <w:left w:val="nil"/>
              <w:bottom w:val="nil"/>
              <w:right w:val="nil"/>
            </w:tcBorders>
          </w:tcPr>
          <w:p>
            <w:pPr>
              <w:pStyle w:val="0"/>
              <w:jc w:val="center"/>
            </w:pPr>
            <w:r>
              <w:rPr>
                <w:sz w:val="20"/>
              </w:rPr>
              <w:t xml:space="preserve">18 940,4</w:t>
            </w:r>
          </w:p>
        </w:tc>
        <w:tc>
          <w:tcPr>
            <w:tcW w:w="1020" w:type="dxa"/>
            <w:vAlign w:val="center"/>
            <w:tcBorders>
              <w:top w:val="single" w:sz="4"/>
              <w:left w:val="nil"/>
              <w:bottom w:val="nil"/>
              <w:right w:val="nil"/>
            </w:tcBorders>
          </w:tcPr>
          <w:p>
            <w:pPr>
              <w:pStyle w:val="0"/>
              <w:jc w:val="center"/>
            </w:pPr>
            <w:r>
              <w:rPr>
                <w:sz w:val="20"/>
              </w:rPr>
              <w:t xml:space="preserve">20 921,9</w:t>
            </w:r>
          </w:p>
        </w:tc>
        <w:tc>
          <w:tcPr>
            <w:tcW w:w="1191" w:type="dxa"/>
            <w:vAlign w:val="center"/>
            <w:tcBorders>
              <w:top w:val="single" w:sz="4"/>
              <w:left w:val="nil"/>
              <w:bottom w:val="nil"/>
              <w:right w:val="nil"/>
            </w:tcBorders>
          </w:tcPr>
          <w:p>
            <w:pPr>
              <w:pStyle w:val="0"/>
              <w:jc w:val="center"/>
            </w:pPr>
            <w:r>
              <w:rPr>
                <w:sz w:val="20"/>
              </w:rPr>
              <w:t xml:space="preserve">22 819,5</w:t>
            </w:r>
          </w:p>
        </w:tc>
        <w:tc>
          <w:tcPr>
            <w:tcW w:w="1247" w:type="dxa"/>
            <w:vAlign w:val="center"/>
            <w:tcBorders>
              <w:top w:val="single" w:sz="4"/>
              <w:left w:val="nil"/>
              <w:bottom w:val="nil"/>
              <w:right w:val="nil"/>
            </w:tcBorders>
          </w:tcPr>
          <w:p>
            <w:pPr>
              <w:pStyle w:val="0"/>
              <w:jc w:val="center"/>
            </w:pPr>
            <w:r>
              <w:rPr>
                <w:sz w:val="20"/>
              </w:rPr>
              <w:t xml:space="preserve">29 176,8</w:t>
            </w:r>
          </w:p>
        </w:tc>
        <w:tc>
          <w:tcPr>
            <w:tcW w:w="1020" w:type="dxa"/>
            <w:vAlign w:val="center"/>
            <w:tcBorders>
              <w:top w:val="single" w:sz="4"/>
              <w:left w:val="nil"/>
              <w:bottom w:val="nil"/>
              <w:right w:val="nil"/>
            </w:tcBorders>
          </w:tcPr>
          <w:p>
            <w:pPr>
              <w:pStyle w:val="0"/>
              <w:jc w:val="center"/>
            </w:pPr>
            <w:r>
              <w:rPr>
                <w:sz w:val="20"/>
              </w:rPr>
              <w:t xml:space="preserve">32 502,5</w:t>
            </w:r>
          </w:p>
        </w:tc>
        <w:tc>
          <w:tcPr>
            <w:tcW w:w="1020" w:type="dxa"/>
            <w:vAlign w:val="center"/>
            <w:tcBorders>
              <w:top w:val="single" w:sz="4"/>
              <w:left w:val="nil"/>
              <w:bottom w:val="nil"/>
              <w:right w:val="nil"/>
            </w:tcBorders>
          </w:tcPr>
          <w:p>
            <w:pPr>
              <w:pStyle w:val="0"/>
              <w:jc w:val="center"/>
            </w:pPr>
            <w:r>
              <w:rPr>
                <w:sz w:val="20"/>
              </w:rPr>
              <w:t xml:space="preserve">35 875,8</w:t>
            </w:r>
          </w:p>
        </w:tc>
        <w:tc>
          <w:tcPr>
            <w:tcW w:w="1020" w:type="dxa"/>
            <w:vAlign w:val="center"/>
            <w:tcBorders>
              <w:top w:val="single" w:sz="4"/>
              <w:left w:val="nil"/>
              <w:bottom w:val="nil"/>
              <w:right w:val="nil"/>
            </w:tcBorders>
          </w:tcPr>
          <w:p>
            <w:pPr>
              <w:pStyle w:val="0"/>
              <w:jc w:val="center"/>
            </w:pPr>
            <w:r>
              <w:rPr>
                <w:sz w:val="20"/>
              </w:rPr>
              <w:t xml:space="preserve">40 088,2</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12,4</w:t>
            </w:r>
          </w:p>
        </w:tc>
        <w:tc>
          <w:tcPr>
            <w:tcW w:w="1020" w:type="dxa"/>
            <w:vAlign w:val="center"/>
            <w:tcBorders>
              <w:top w:val="nil"/>
              <w:left w:val="nil"/>
              <w:bottom w:val="nil"/>
              <w:right w:val="nil"/>
            </w:tcBorders>
          </w:tcPr>
          <w:p>
            <w:pPr>
              <w:pStyle w:val="0"/>
              <w:jc w:val="center"/>
            </w:pPr>
            <w:r>
              <w:rPr>
                <w:sz w:val="20"/>
              </w:rPr>
              <w:t xml:space="preserve">17,6</w:t>
            </w:r>
          </w:p>
        </w:tc>
        <w:tc>
          <w:tcPr>
            <w:tcW w:w="1020" w:type="dxa"/>
            <w:vAlign w:val="center"/>
            <w:tcBorders>
              <w:top w:val="nil"/>
              <w:left w:val="nil"/>
              <w:bottom w:val="nil"/>
              <w:right w:val="nil"/>
            </w:tcBorders>
          </w:tcPr>
          <w:p>
            <w:pPr>
              <w:pStyle w:val="0"/>
              <w:jc w:val="center"/>
            </w:pPr>
            <w:r>
              <w:rPr>
                <w:sz w:val="20"/>
              </w:rPr>
              <w:t xml:space="preserve">15,5</w:t>
            </w:r>
          </w:p>
        </w:tc>
        <w:tc>
          <w:tcPr>
            <w:tcW w:w="1191" w:type="dxa"/>
            <w:vAlign w:val="center"/>
            <w:tcBorders>
              <w:top w:val="nil"/>
              <w:left w:val="nil"/>
              <w:bottom w:val="nil"/>
              <w:right w:val="nil"/>
            </w:tcBorders>
          </w:tcPr>
          <w:p>
            <w:pPr>
              <w:pStyle w:val="0"/>
              <w:jc w:val="center"/>
            </w:pPr>
            <w:r>
              <w:rPr>
                <w:sz w:val="20"/>
              </w:rPr>
              <w:t xml:space="preserve">14,9</w:t>
            </w:r>
          </w:p>
        </w:tc>
        <w:tc>
          <w:tcPr>
            <w:tcW w:w="1247" w:type="dxa"/>
            <w:vAlign w:val="center"/>
            <w:tcBorders>
              <w:top w:val="nil"/>
              <w:left w:val="nil"/>
              <w:bottom w:val="nil"/>
              <w:right w:val="nil"/>
            </w:tcBorders>
          </w:tcPr>
          <w:p>
            <w:pPr>
              <w:pStyle w:val="0"/>
              <w:jc w:val="center"/>
            </w:pPr>
            <w:r>
              <w:rPr>
                <w:sz w:val="20"/>
              </w:rPr>
              <w:t xml:space="preserve">17,6</w:t>
            </w:r>
          </w:p>
        </w:tc>
        <w:tc>
          <w:tcPr>
            <w:tcW w:w="1020" w:type="dxa"/>
            <w:vAlign w:val="center"/>
            <w:tcBorders>
              <w:top w:val="nil"/>
              <w:left w:val="nil"/>
              <w:bottom w:val="nil"/>
              <w:right w:val="nil"/>
            </w:tcBorders>
          </w:tcPr>
          <w:p>
            <w:pPr>
              <w:pStyle w:val="0"/>
              <w:jc w:val="center"/>
            </w:pPr>
            <w:r>
              <w:rPr>
                <w:sz w:val="20"/>
              </w:rPr>
              <w:t xml:space="preserve">18,1</w:t>
            </w:r>
          </w:p>
        </w:tc>
        <w:tc>
          <w:tcPr>
            <w:tcW w:w="1020" w:type="dxa"/>
            <w:vAlign w:val="center"/>
            <w:tcBorders>
              <w:top w:val="nil"/>
              <w:left w:val="nil"/>
              <w:bottom w:val="nil"/>
              <w:right w:val="nil"/>
            </w:tcBorders>
          </w:tcPr>
          <w:p>
            <w:pPr>
              <w:pStyle w:val="0"/>
              <w:jc w:val="center"/>
            </w:pPr>
            <w:r>
              <w:rPr>
                <w:sz w:val="20"/>
              </w:rPr>
              <w:t xml:space="preserve">18,8</w:t>
            </w:r>
          </w:p>
        </w:tc>
        <w:tc>
          <w:tcPr>
            <w:tcW w:w="1020" w:type="dxa"/>
            <w:vAlign w:val="center"/>
            <w:tcBorders>
              <w:top w:val="nil"/>
              <w:left w:val="nil"/>
              <w:bottom w:val="nil"/>
              <w:right w:val="nil"/>
            </w:tcBorders>
          </w:tcPr>
          <w:p>
            <w:pPr>
              <w:pStyle w:val="0"/>
              <w:jc w:val="center"/>
            </w:pPr>
            <w:r>
              <w:rPr>
                <w:sz w:val="20"/>
              </w:rPr>
              <w:t xml:space="preserve">19,8</w:t>
            </w:r>
          </w:p>
        </w:tc>
      </w:tr>
      <w:tr>
        <w:tc>
          <w:tcPr>
            <w:tcW w:w="2154" w:type="dxa"/>
            <w:tcBorders>
              <w:top w:val="nil"/>
              <w:left w:val="nil"/>
              <w:bottom w:val="nil"/>
              <w:right w:val="nil"/>
            </w:tcBorders>
          </w:tcPr>
          <w:p>
            <w:pPr>
              <w:pStyle w:val="0"/>
              <w:ind w:left="567"/>
            </w:pPr>
            <w:r>
              <w:rPr>
                <w:sz w:val="20"/>
              </w:rPr>
              <w:t xml:space="preserve">в т.ч. по госгарантиям</w:t>
            </w:r>
          </w:p>
        </w:tc>
        <w:tc>
          <w:tcPr>
            <w:tcW w:w="1020" w:type="dxa"/>
            <w:vAlign w:val="center"/>
            <w:tcBorders>
              <w:top w:val="nil"/>
              <w:left w:val="nil"/>
              <w:bottom w:val="nil"/>
              <w:right w:val="nil"/>
            </w:tcBorders>
          </w:tcPr>
          <w:p>
            <w:pPr>
              <w:pStyle w:val="0"/>
              <w:jc w:val="center"/>
            </w:pPr>
            <w:r>
              <w:rPr>
                <w:sz w:val="20"/>
              </w:rPr>
              <w:t xml:space="preserve">1 661,0</w:t>
            </w:r>
          </w:p>
        </w:tc>
        <w:tc>
          <w:tcPr>
            <w:tcW w:w="1020" w:type="dxa"/>
            <w:vAlign w:val="center"/>
            <w:tcBorders>
              <w:top w:val="nil"/>
              <w:left w:val="nil"/>
              <w:bottom w:val="nil"/>
              <w:right w:val="nil"/>
            </w:tcBorders>
          </w:tcPr>
          <w:p>
            <w:pPr>
              <w:pStyle w:val="0"/>
              <w:jc w:val="center"/>
            </w:pPr>
            <w:r>
              <w:rPr>
                <w:sz w:val="20"/>
              </w:rPr>
              <w:t xml:space="preserve">1 995,2</w:t>
            </w:r>
          </w:p>
        </w:tc>
        <w:tc>
          <w:tcPr>
            <w:tcW w:w="1020" w:type="dxa"/>
            <w:vAlign w:val="center"/>
            <w:tcBorders>
              <w:top w:val="nil"/>
              <w:left w:val="nil"/>
              <w:bottom w:val="nil"/>
              <w:right w:val="nil"/>
            </w:tcBorders>
          </w:tcPr>
          <w:p>
            <w:pPr>
              <w:pStyle w:val="0"/>
              <w:jc w:val="center"/>
            </w:pPr>
            <w:r>
              <w:rPr>
                <w:sz w:val="20"/>
              </w:rPr>
              <w:t xml:space="preserve">2 126,2</w:t>
            </w:r>
          </w:p>
        </w:tc>
        <w:tc>
          <w:tcPr>
            <w:tcW w:w="1191" w:type="dxa"/>
            <w:vAlign w:val="center"/>
            <w:tcBorders>
              <w:top w:val="nil"/>
              <w:left w:val="nil"/>
              <w:bottom w:val="nil"/>
              <w:right w:val="nil"/>
            </w:tcBorders>
          </w:tcPr>
          <w:p>
            <w:pPr>
              <w:pStyle w:val="0"/>
              <w:jc w:val="center"/>
            </w:pPr>
            <w:r>
              <w:rPr>
                <w:sz w:val="20"/>
              </w:rPr>
              <w:t xml:space="preserve">2 083,6</w:t>
            </w:r>
          </w:p>
        </w:tc>
        <w:tc>
          <w:tcPr>
            <w:tcW w:w="1247" w:type="dxa"/>
            <w:vAlign w:val="center"/>
            <w:tcBorders>
              <w:top w:val="nil"/>
              <w:left w:val="nil"/>
              <w:bottom w:val="nil"/>
              <w:right w:val="nil"/>
            </w:tcBorders>
          </w:tcPr>
          <w:p>
            <w:pPr>
              <w:pStyle w:val="0"/>
              <w:jc w:val="center"/>
            </w:pPr>
            <w:r>
              <w:rPr>
                <w:sz w:val="20"/>
              </w:rPr>
              <w:t xml:space="preserve">5 751,9</w:t>
            </w:r>
          </w:p>
        </w:tc>
        <w:tc>
          <w:tcPr>
            <w:tcW w:w="1020" w:type="dxa"/>
            <w:vAlign w:val="center"/>
            <w:tcBorders>
              <w:top w:val="nil"/>
              <w:left w:val="nil"/>
              <w:bottom w:val="nil"/>
              <w:right w:val="nil"/>
            </w:tcBorders>
          </w:tcPr>
          <w:p>
            <w:pPr>
              <w:pStyle w:val="0"/>
              <w:jc w:val="center"/>
            </w:pPr>
            <w:r>
              <w:rPr>
                <w:sz w:val="20"/>
              </w:rPr>
              <w:t xml:space="preserve">6 052,1</w:t>
            </w:r>
          </w:p>
        </w:tc>
        <w:tc>
          <w:tcPr>
            <w:tcW w:w="1020" w:type="dxa"/>
            <w:vAlign w:val="center"/>
            <w:tcBorders>
              <w:top w:val="nil"/>
              <w:left w:val="nil"/>
              <w:bottom w:val="nil"/>
              <w:right w:val="nil"/>
            </w:tcBorders>
          </w:tcPr>
          <w:p>
            <w:pPr>
              <w:pStyle w:val="0"/>
              <w:jc w:val="center"/>
            </w:pPr>
            <w:r>
              <w:rPr>
                <w:sz w:val="20"/>
              </w:rPr>
              <w:t xml:space="preserve">6 127,4</w:t>
            </w:r>
          </w:p>
        </w:tc>
        <w:tc>
          <w:tcPr>
            <w:tcW w:w="1020" w:type="dxa"/>
            <w:vAlign w:val="center"/>
            <w:tcBorders>
              <w:top w:val="nil"/>
              <w:left w:val="nil"/>
              <w:bottom w:val="nil"/>
              <w:right w:val="nil"/>
            </w:tcBorders>
          </w:tcPr>
          <w:p>
            <w:pPr>
              <w:pStyle w:val="0"/>
              <w:jc w:val="center"/>
            </w:pPr>
            <w:r>
              <w:rPr>
                <w:sz w:val="20"/>
              </w:rPr>
              <w:t xml:space="preserve">6 318,7</w:t>
            </w:r>
          </w:p>
        </w:tc>
      </w:tr>
      <w:tr>
        <w:tc>
          <w:tcPr>
            <w:tcW w:w="2154" w:type="dxa"/>
            <w:tcBorders>
              <w:top w:val="nil"/>
              <w:left w:val="nil"/>
              <w:bottom w:val="nil"/>
              <w:right w:val="nil"/>
            </w:tcBorders>
          </w:tcPr>
          <w:p>
            <w:pPr>
              <w:pStyle w:val="0"/>
              <w:ind w:left="567"/>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1,5</w:t>
            </w:r>
          </w:p>
        </w:tc>
        <w:tc>
          <w:tcPr>
            <w:tcW w:w="1020" w:type="dxa"/>
            <w:vAlign w:val="center"/>
            <w:tcBorders>
              <w:top w:val="nil"/>
              <w:left w:val="nil"/>
              <w:bottom w:val="nil"/>
              <w:right w:val="nil"/>
            </w:tcBorders>
          </w:tcPr>
          <w:p>
            <w:pPr>
              <w:pStyle w:val="0"/>
              <w:jc w:val="center"/>
            </w:pPr>
            <w:r>
              <w:rPr>
                <w:sz w:val="20"/>
              </w:rPr>
              <w:t xml:space="preserve">1,9</w:t>
            </w:r>
          </w:p>
        </w:tc>
        <w:tc>
          <w:tcPr>
            <w:tcW w:w="1020" w:type="dxa"/>
            <w:vAlign w:val="center"/>
            <w:tcBorders>
              <w:top w:val="nil"/>
              <w:left w:val="nil"/>
              <w:bottom w:val="nil"/>
              <w:right w:val="nil"/>
            </w:tcBorders>
          </w:tcPr>
          <w:p>
            <w:pPr>
              <w:pStyle w:val="0"/>
              <w:jc w:val="center"/>
            </w:pPr>
            <w:r>
              <w:rPr>
                <w:sz w:val="20"/>
              </w:rPr>
              <w:t xml:space="preserve">1,6</w:t>
            </w:r>
          </w:p>
        </w:tc>
        <w:tc>
          <w:tcPr>
            <w:tcW w:w="1191" w:type="dxa"/>
            <w:vAlign w:val="center"/>
            <w:tcBorders>
              <w:top w:val="nil"/>
              <w:left w:val="nil"/>
              <w:bottom w:val="nil"/>
              <w:right w:val="nil"/>
            </w:tcBorders>
          </w:tcPr>
          <w:p>
            <w:pPr>
              <w:pStyle w:val="0"/>
              <w:jc w:val="center"/>
            </w:pPr>
            <w:r>
              <w:rPr>
                <w:sz w:val="20"/>
              </w:rPr>
              <w:t xml:space="preserve">1,4</w:t>
            </w:r>
          </w:p>
        </w:tc>
        <w:tc>
          <w:tcPr>
            <w:tcW w:w="1247" w:type="dxa"/>
            <w:vAlign w:val="center"/>
            <w:tcBorders>
              <w:top w:val="nil"/>
              <w:left w:val="nil"/>
              <w:bottom w:val="nil"/>
              <w:right w:val="nil"/>
            </w:tcBorders>
          </w:tcPr>
          <w:p>
            <w:pPr>
              <w:pStyle w:val="0"/>
              <w:jc w:val="center"/>
            </w:pPr>
            <w:r>
              <w:rPr>
                <w:sz w:val="20"/>
              </w:rPr>
              <w:t xml:space="preserve">3,5</w:t>
            </w:r>
          </w:p>
        </w:tc>
        <w:tc>
          <w:tcPr>
            <w:tcW w:w="1020" w:type="dxa"/>
            <w:vAlign w:val="center"/>
            <w:tcBorders>
              <w:top w:val="nil"/>
              <w:left w:val="nil"/>
              <w:bottom w:val="nil"/>
              <w:right w:val="nil"/>
            </w:tcBorders>
          </w:tcPr>
          <w:p>
            <w:pPr>
              <w:pStyle w:val="0"/>
              <w:jc w:val="center"/>
            </w:pPr>
            <w:r>
              <w:rPr>
                <w:sz w:val="20"/>
              </w:rPr>
              <w:t xml:space="preserve">3,4</w:t>
            </w:r>
          </w:p>
        </w:tc>
        <w:tc>
          <w:tcPr>
            <w:tcW w:w="1020" w:type="dxa"/>
            <w:vAlign w:val="center"/>
            <w:tcBorders>
              <w:top w:val="nil"/>
              <w:left w:val="nil"/>
              <w:bottom w:val="nil"/>
              <w:right w:val="nil"/>
            </w:tcBorders>
          </w:tcPr>
          <w:p>
            <w:pPr>
              <w:pStyle w:val="0"/>
              <w:jc w:val="center"/>
            </w:pPr>
            <w:r>
              <w:rPr>
                <w:sz w:val="20"/>
              </w:rPr>
              <w:t xml:space="preserve">3,2</w:t>
            </w:r>
          </w:p>
        </w:tc>
        <w:tc>
          <w:tcPr>
            <w:tcW w:w="1020" w:type="dxa"/>
            <w:vAlign w:val="center"/>
            <w:tcBorders>
              <w:top w:val="nil"/>
              <w:left w:val="nil"/>
              <w:bottom w:val="nil"/>
              <w:right w:val="nil"/>
            </w:tcBorders>
          </w:tcPr>
          <w:p>
            <w:pPr>
              <w:pStyle w:val="0"/>
              <w:jc w:val="center"/>
            </w:pPr>
            <w:r>
              <w:rPr>
                <w:sz w:val="20"/>
              </w:rPr>
              <w:t xml:space="preserve">3,1</w:t>
            </w:r>
          </w:p>
        </w:tc>
      </w:tr>
      <w:tr>
        <w:tc>
          <w:tcPr>
            <w:tcW w:w="2154" w:type="dxa"/>
            <w:tcBorders>
              <w:top w:val="nil"/>
              <w:left w:val="nil"/>
              <w:bottom w:val="nil"/>
              <w:right w:val="nil"/>
            </w:tcBorders>
          </w:tcPr>
          <w:p>
            <w:pPr>
              <w:pStyle w:val="0"/>
              <w:ind w:left="283"/>
            </w:pPr>
            <w:r>
              <w:rPr>
                <w:sz w:val="20"/>
              </w:rPr>
              <w:t xml:space="preserve">Внутренний госдолг</w:t>
            </w:r>
          </w:p>
        </w:tc>
        <w:tc>
          <w:tcPr>
            <w:tcW w:w="1020" w:type="dxa"/>
            <w:vAlign w:val="center"/>
            <w:tcBorders>
              <w:top w:val="nil"/>
              <w:left w:val="nil"/>
              <w:bottom w:val="nil"/>
              <w:right w:val="nil"/>
            </w:tcBorders>
          </w:tcPr>
          <w:p>
            <w:pPr>
              <w:pStyle w:val="0"/>
              <w:jc w:val="center"/>
            </w:pPr>
            <w:r>
              <w:rPr>
                <w:sz w:val="20"/>
              </w:rPr>
              <w:t xml:space="preserve">10 171,9</w:t>
            </w:r>
          </w:p>
        </w:tc>
        <w:tc>
          <w:tcPr>
            <w:tcW w:w="1020" w:type="dxa"/>
            <w:vAlign w:val="center"/>
            <w:tcBorders>
              <w:top w:val="nil"/>
              <w:left w:val="nil"/>
              <w:bottom w:val="nil"/>
              <w:right w:val="nil"/>
            </w:tcBorders>
          </w:tcPr>
          <w:p>
            <w:pPr>
              <w:pStyle w:val="0"/>
              <w:jc w:val="center"/>
            </w:pPr>
            <w:r>
              <w:rPr>
                <w:sz w:val="20"/>
              </w:rPr>
              <w:t xml:space="preserve">14 751,4</w:t>
            </w:r>
          </w:p>
        </w:tc>
        <w:tc>
          <w:tcPr>
            <w:tcW w:w="1020" w:type="dxa"/>
            <w:vAlign w:val="center"/>
            <w:tcBorders>
              <w:top w:val="nil"/>
              <w:left w:val="nil"/>
              <w:bottom w:val="nil"/>
              <w:right w:val="nil"/>
            </w:tcBorders>
          </w:tcPr>
          <w:p>
            <w:pPr>
              <w:pStyle w:val="0"/>
              <w:jc w:val="center"/>
            </w:pPr>
            <w:r>
              <w:rPr>
                <w:sz w:val="20"/>
              </w:rPr>
              <w:t xml:space="preserve">16 486,4</w:t>
            </w:r>
          </w:p>
        </w:tc>
        <w:tc>
          <w:tcPr>
            <w:tcW w:w="1191" w:type="dxa"/>
            <w:vAlign w:val="center"/>
            <w:tcBorders>
              <w:top w:val="nil"/>
              <w:left w:val="nil"/>
              <w:bottom w:val="nil"/>
              <w:right w:val="nil"/>
            </w:tcBorders>
          </w:tcPr>
          <w:p>
            <w:pPr>
              <w:pStyle w:val="0"/>
              <w:jc w:val="center"/>
            </w:pPr>
            <w:r>
              <w:rPr>
                <w:sz w:val="20"/>
              </w:rPr>
              <w:t xml:space="preserve">18 781,0</w:t>
            </w:r>
          </w:p>
        </w:tc>
        <w:tc>
          <w:tcPr>
            <w:tcW w:w="1247" w:type="dxa"/>
            <w:vAlign w:val="center"/>
            <w:tcBorders>
              <w:top w:val="nil"/>
              <w:left w:val="nil"/>
              <w:bottom w:val="nil"/>
              <w:right w:val="nil"/>
            </w:tcBorders>
          </w:tcPr>
          <w:p>
            <w:pPr>
              <w:pStyle w:val="0"/>
              <w:jc w:val="center"/>
            </w:pPr>
            <w:r>
              <w:rPr>
                <w:sz w:val="20"/>
              </w:rPr>
              <w:t xml:space="preserve">23 221,5</w:t>
            </w:r>
          </w:p>
        </w:tc>
        <w:tc>
          <w:tcPr>
            <w:tcW w:w="1020" w:type="dxa"/>
            <w:vAlign w:val="center"/>
            <w:tcBorders>
              <w:top w:val="nil"/>
              <w:left w:val="nil"/>
              <w:bottom w:val="nil"/>
              <w:right w:val="nil"/>
            </w:tcBorders>
          </w:tcPr>
          <w:p>
            <w:pPr>
              <w:pStyle w:val="0"/>
              <w:jc w:val="center"/>
            </w:pPr>
            <w:r>
              <w:rPr>
                <w:sz w:val="20"/>
              </w:rPr>
              <w:t xml:space="preserve">26 637,5</w:t>
            </w:r>
          </w:p>
        </w:tc>
        <w:tc>
          <w:tcPr>
            <w:tcW w:w="1020" w:type="dxa"/>
            <w:vAlign w:val="center"/>
            <w:tcBorders>
              <w:top w:val="nil"/>
              <w:left w:val="nil"/>
              <w:bottom w:val="nil"/>
              <w:right w:val="nil"/>
            </w:tcBorders>
          </w:tcPr>
          <w:p>
            <w:pPr>
              <w:pStyle w:val="0"/>
              <w:jc w:val="center"/>
            </w:pPr>
            <w:r>
              <w:rPr>
                <w:sz w:val="20"/>
              </w:rPr>
              <w:t xml:space="preserve">30 159,3</w:t>
            </w:r>
          </w:p>
        </w:tc>
        <w:tc>
          <w:tcPr>
            <w:tcW w:w="1020" w:type="dxa"/>
            <w:vAlign w:val="center"/>
            <w:tcBorders>
              <w:top w:val="nil"/>
              <w:left w:val="nil"/>
              <w:bottom w:val="nil"/>
              <w:right w:val="nil"/>
            </w:tcBorders>
          </w:tcPr>
          <w:p>
            <w:pPr>
              <w:pStyle w:val="0"/>
              <w:jc w:val="center"/>
            </w:pPr>
            <w:r>
              <w:rPr>
                <w:sz w:val="20"/>
              </w:rPr>
              <w:t xml:space="preserve">34 356,5</w:t>
            </w:r>
          </w:p>
        </w:tc>
      </w:tr>
      <w:tr>
        <w:tc>
          <w:tcPr>
            <w:tcW w:w="2154" w:type="dxa"/>
            <w:tcBorders>
              <w:top w:val="nil"/>
              <w:left w:val="nil"/>
              <w:bottom w:val="nil"/>
              <w:right w:val="nil"/>
            </w:tcBorders>
          </w:tcPr>
          <w:p>
            <w:pPr>
              <w:pStyle w:val="0"/>
              <w:ind w:left="283"/>
            </w:pPr>
            <w:r>
              <w:rPr>
                <w:sz w:val="20"/>
              </w:rPr>
              <w:t xml:space="preserve">%% к общему объему</w:t>
            </w:r>
          </w:p>
        </w:tc>
        <w:tc>
          <w:tcPr>
            <w:tcW w:w="1020" w:type="dxa"/>
            <w:vAlign w:val="center"/>
            <w:tcBorders>
              <w:top w:val="nil"/>
              <w:left w:val="nil"/>
              <w:bottom w:val="nil"/>
              <w:right w:val="nil"/>
            </w:tcBorders>
          </w:tcPr>
          <w:p>
            <w:pPr>
              <w:pStyle w:val="0"/>
              <w:jc w:val="center"/>
            </w:pPr>
            <w:r>
              <w:rPr>
                <w:sz w:val="20"/>
              </w:rPr>
              <w:t xml:space="preserve">75,0</w:t>
            </w:r>
          </w:p>
        </w:tc>
        <w:tc>
          <w:tcPr>
            <w:tcW w:w="1020" w:type="dxa"/>
            <w:vAlign w:val="center"/>
            <w:tcBorders>
              <w:top w:val="nil"/>
              <w:left w:val="nil"/>
              <w:bottom w:val="nil"/>
              <w:right w:val="nil"/>
            </w:tcBorders>
          </w:tcPr>
          <w:p>
            <w:pPr>
              <w:pStyle w:val="0"/>
              <w:jc w:val="center"/>
            </w:pPr>
            <w:r>
              <w:rPr>
                <w:sz w:val="20"/>
              </w:rPr>
              <w:t xml:space="preserve">77,9</w:t>
            </w:r>
          </w:p>
        </w:tc>
        <w:tc>
          <w:tcPr>
            <w:tcW w:w="1020" w:type="dxa"/>
            <w:vAlign w:val="center"/>
            <w:tcBorders>
              <w:top w:val="nil"/>
              <w:left w:val="nil"/>
              <w:bottom w:val="nil"/>
              <w:right w:val="nil"/>
            </w:tcBorders>
          </w:tcPr>
          <w:p>
            <w:pPr>
              <w:pStyle w:val="0"/>
              <w:jc w:val="center"/>
            </w:pPr>
            <w:r>
              <w:rPr>
                <w:sz w:val="20"/>
              </w:rPr>
              <w:t xml:space="preserve">78,8</w:t>
            </w:r>
          </w:p>
        </w:tc>
        <w:tc>
          <w:tcPr>
            <w:tcW w:w="1191" w:type="dxa"/>
            <w:vAlign w:val="center"/>
            <w:tcBorders>
              <w:top w:val="nil"/>
              <w:left w:val="nil"/>
              <w:bottom w:val="nil"/>
              <w:right w:val="nil"/>
            </w:tcBorders>
          </w:tcPr>
          <w:p>
            <w:pPr>
              <w:pStyle w:val="0"/>
              <w:jc w:val="center"/>
            </w:pPr>
            <w:r>
              <w:rPr>
                <w:sz w:val="20"/>
              </w:rPr>
              <w:t xml:space="preserve">82,3</w:t>
            </w:r>
          </w:p>
        </w:tc>
        <w:tc>
          <w:tcPr>
            <w:tcW w:w="1247" w:type="dxa"/>
            <w:vAlign w:val="center"/>
            <w:tcBorders>
              <w:top w:val="nil"/>
              <w:left w:val="nil"/>
              <w:bottom w:val="nil"/>
              <w:right w:val="nil"/>
            </w:tcBorders>
          </w:tcPr>
          <w:p>
            <w:pPr>
              <w:pStyle w:val="0"/>
              <w:jc w:val="center"/>
            </w:pPr>
            <w:r>
              <w:rPr>
                <w:sz w:val="20"/>
              </w:rPr>
              <w:t xml:space="preserve">79,6</w:t>
            </w:r>
          </w:p>
        </w:tc>
        <w:tc>
          <w:tcPr>
            <w:tcW w:w="1020" w:type="dxa"/>
            <w:vAlign w:val="center"/>
            <w:tcBorders>
              <w:top w:val="nil"/>
              <w:left w:val="nil"/>
              <w:bottom w:val="nil"/>
              <w:right w:val="nil"/>
            </w:tcBorders>
          </w:tcPr>
          <w:p>
            <w:pPr>
              <w:pStyle w:val="0"/>
              <w:jc w:val="center"/>
            </w:pPr>
            <w:r>
              <w:rPr>
                <w:sz w:val="20"/>
              </w:rPr>
              <w:t xml:space="preserve">82,0</w:t>
            </w:r>
          </w:p>
        </w:tc>
        <w:tc>
          <w:tcPr>
            <w:tcW w:w="1020" w:type="dxa"/>
            <w:vAlign w:val="center"/>
            <w:tcBorders>
              <w:top w:val="nil"/>
              <w:left w:val="nil"/>
              <w:bottom w:val="nil"/>
              <w:right w:val="nil"/>
            </w:tcBorders>
          </w:tcPr>
          <w:p>
            <w:pPr>
              <w:pStyle w:val="0"/>
              <w:jc w:val="center"/>
            </w:pPr>
            <w:r>
              <w:rPr>
                <w:sz w:val="20"/>
              </w:rPr>
              <w:t xml:space="preserve">84,1</w:t>
            </w:r>
          </w:p>
        </w:tc>
        <w:tc>
          <w:tcPr>
            <w:tcW w:w="1020" w:type="dxa"/>
            <w:vAlign w:val="center"/>
            <w:tcBorders>
              <w:top w:val="nil"/>
              <w:left w:val="nil"/>
              <w:bottom w:val="nil"/>
              <w:right w:val="nil"/>
            </w:tcBorders>
          </w:tcPr>
          <w:p>
            <w:pPr>
              <w:pStyle w:val="0"/>
              <w:jc w:val="center"/>
            </w:pPr>
            <w:r>
              <w:rPr>
                <w:sz w:val="20"/>
              </w:rPr>
              <w:t xml:space="preserve">85,7</w:t>
            </w:r>
          </w:p>
        </w:tc>
      </w:tr>
      <w:tr>
        <w:tc>
          <w:tcPr>
            <w:tcW w:w="2154" w:type="dxa"/>
            <w:tcBorders>
              <w:top w:val="nil"/>
              <w:left w:val="nil"/>
              <w:bottom w:val="nil"/>
              <w:right w:val="nil"/>
            </w:tcBorders>
          </w:tcPr>
          <w:p>
            <w:pPr>
              <w:pStyle w:val="0"/>
              <w:ind w:left="567"/>
            </w:pPr>
            <w:r>
              <w:rPr>
                <w:sz w:val="20"/>
              </w:rPr>
              <w:t xml:space="preserve">в т.ч. по госгарантиям</w:t>
            </w:r>
          </w:p>
        </w:tc>
        <w:tc>
          <w:tcPr>
            <w:tcW w:w="1020" w:type="dxa"/>
            <w:vAlign w:val="center"/>
            <w:tcBorders>
              <w:top w:val="nil"/>
              <w:left w:val="nil"/>
              <w:bottom w:val="nil"/>
              <w:right w:val="nil"/>
            </w:tcBorders>
          </w:tcPr>
          <w:p>
            <w:pPr>
              <w:pStyle w:val="0"/>
              <w:jc w:val="center"/>
            </w:pPr>
            <w:r>
              <w:rPr>
                <w:sz w:val="20"/>
              </w:rPr>
              <w:t xml:space="preserve">840,5</w:t>
            </w:r>
          </w:p>
        </w:tc>
        <w:tc>
          <w:tcPr>
            <w:tcW w:w="1020" w:type="dxa"/>
            <w:vAlign w:val="center"/>
            <w:tcBorders>
              <w:top w:val="nil"/>
              <w:left w:val="nil"/>
              <w:bottom w:val="nil"/>
              <w:right w:val="nil"/>
            </w:tcBorders>
          </w:tcPr>
          <w:p>
            <w:pPr>
              <w:pStyle w:val="0"/>
              <w:jc w:val="center"/>
            </w:pPr>
            <w:r>
              <w:rPr>
                <w:sz w:val="20"/>
              </w:rPr>
              <w:t xml:space="preserve">695,2</w:t>
            </w:r>
          </w:p>
        </w:tc>
        <w:tc>
          <w:tcPr>
            <w:tcW w:w="1020" w:type="dxa"/>
            <w:vAlign w:val="center"/>
            <w:tcBorders>
              <w:top w:val="nil"/>
              <w:left w:val="nil"/>
              <w:bottom w:val="nil"/>
              <w:right w:val="nil"/>
            </w:tcBorders>
          </w:tcPr>
          <w:p>
            <w:pPr>
              <w:pStyle w:val="0"/>
              <w:jc w:val="center"/>
            </w:pPr>
            <w:r>
              <w:rPr>
                <w:sz w:val="20"/>
              </w:rPr>
              <w:t xml:space="preserve">726,6</w:t>
            </w:r>
          </w:p>
        </w:tc>
        <w:tc>
          <w:tcPr>
            <w:tcW w:w="1191" w:type="dxa"/>
            <w:vAlign w:val="center"/>
            <w:tcBorders>
              <w:top w:val="nil"/>
              <w:left w:val="nil"/>
              <w:bottom w:val="nil"/>
              <w:right w:val="nil"/>
            </w:tcBorders>
          </w:tcPr>
          <w:p>
            <w:pPr>
              <w:pStyle w:val="0"/>
              <w:jc w:val="center"/>
            </w:pPr>
            <w:r>
              <w:rPr>
                <w:sz w:val="20"/>
              </w:rPr>
              <w:t xml:space="preserve">701,7</w:t>
            </w:r>
          </w:p>
        </w:tc>
        <w:tc>
          <w:tcPr>
            <w:tcW w:w="1247" w:type="dxa"/>
            <w:vAlign w:val="center"/>
            <w:tcBorders>
              <w:top w:val="nil"/>
              <w:left w:val="nil"/>
              <w:bottom w:val="nil"/>
              <w:right w:val="nil"/>
            </w:tcBorders>
          </w:tcPr>
          <w:p>
            <w:pPr>
              <w:pStyle w:val="0"/>
              <w:jc w:val="center"/>
            </w:pPr>
            <w:r>
              <w:rPr>
                <w:sz w:val="20"/>
              </w:rPr>
              <w:t xml:space="preserve">3 158,2</w:t>
            </w:r>
          </w:p>
        </w:tc>
        <w:tc>
          <w:tcPr>
            <w:tcW w:w="1020" w:type="dxa"/>
            <w:vAlign w:val="center"/>
            <w:tcBorders>
              <w:top w:val="nil"/>
              <w:left w:val="nil"/>
              <w:bottom w:val="nil"/>
              <w:right w:val="nil"/>
            </w:tcBorders>
          </w:tcPr>
          <w:p>
            <w:pPr>
              <w:pStyle w:val="0"/>
              <w:jc w:val="center"/>
            </w:pPr>
            <w:r>
              <w:rPr>
                <w:sz w:val="20"/>
              </w:rPr>
              <w:t xml:space="preserve">3 525,3</w:t>
            </w:r>
          </w:p>
        </w:tc>
        <w:tc>
          <w:tcPr>
            <w:tcW w:w="1020" w:type="dxa"/>
            <w:vAlign w:val="center"/>
            <w:tcBorders>
              <w:top w:val="nil"/>
              <w:left w:val="nil"/>
              <w:bottom w:val="nil"/>
              <w:right w:val="nil"/>
            </w:tcBorders>
          </w:tcPr>
          <w:p>
            <w:pPr>
              <w:pStyle w:val="0"/>
              <w:jc w:val="center"/>
            </w:pPr>
            <w:r>
              <w:rPr>
                <w:sz w:val="20"/>
              </w:rPr>
              <w:t xml:space="preserve">3 626,4</w:t>
            </w:r>
          </w:p>
        </w:tc>
        <w:tc>
          <w:tcPr>
            <w:tcW w:w="1020" w:type="dxa"/>
            <w:vAlign w:val="center"/>
            <w:tcBorders>
              <w:top w:val="nil"/>
              <w:left w:val="nil"/>
              <w:bottom w:val="nil"/>
              <w:right w:val="nil"/>
            </w:tcBorders>
          </w:tcPr>
          <w:p>
            <w:pPr>
              <w:pStyle w:val="0"/>
              <w:jc w:val="center"/>
            </w:pPr>
            <w:r>
              <w:rPr>
                <w:sz w:val="20"/>
              </w:rPr>
              <w:t xml:space="preserve">3 727,4</w:t>
            </w:r>
          </w:p>
        </w:tc>
      </w:tr>
      <w:tr>
        <w:tc>
          <w:tcPr>
            <w:tcW w:w="2154" w:type="dxa"/>
            <w:tcBorders>
              <w:top w:val="nil"/>
              <w:left w:val="nil"/>
              <w:bottom w:val="nil"/>
              <w:right w:val="nil"/>
            </w:tcBorders>
          </w:tcPr>
          <w:p>
            <w:pPr>
              <w:pStyle w:val="0"/>
              <w:ind w:left="283"/>
            </w:pPr>
            <w:r>
              <w:rPr>
                <w:sz w:val="20"/>
              </w:rPr>
              <w:t xml:space="preserve">Внешний госдолг</w:t>
            </w:r>
          </w:p>
        </w:tc>
        <w:tc>
          <w:tcPr>
            <w:tcW w:w="1020" w:type="dxa"/>
            <w:vAlign w:val="center"/>
            <w:tcBorders>
              <w:top w:val="nil"/>
              <w:left w:val="nil"/>
              <w:bottom w:val="nil"/>
              <w:right w:val="nil"/>
            </w:tcBorders>
          </w:tcPr>
          <w:p>
            <w:pPr>
              <w:pStyle w:val="0"/>
              <w:jc w:val="center"/>
            </w:pPr>
            <w:r>
              <w:rPr>
                <w:sz w:val="20"/>
              </w:rPr>
              <w:t xml:space="preserve">3 395,4</w:t>
            </w:r>
          </w:p>
        </w:tc>
        <w:tc>
          <w:tcPr>
            <w:tcW w:w="1020" w:type="dxa"/>
            <w:vAlign w:val="center"/>
            <w:tcBorders>
              <w:top w:val="nil"/>
              <w:left w:val="nil"/>
              <w:bottom w:val="nil"/>
              <w:right w:val="nil"/>
            </w:tcBorders>
          </w:tcPr>
          <w:p>
            <w:pPr>
              <w:pStyle w:val="0"/>
              <w:jc w:val="center"/>
            </w:pPr>
            <w:r>
              <w:rPr>
                <w:sz w:val="20"/>
              </w:rPr>
              <w:t xml:space="preserve">4 189,0</w:t>
            </w:r>
          </w:p>
        </w:tc>
        <w:tc>
          <w:tcPr>
            <w:tcW w:w="1020" w:type="dxa"/>
            <w:vAlign w:val="center"/>
            <w:tcBorders>
              <w:top w:val="nil"/>
              <w:left w:val="nil"/>
              <w:bottom w:val="nil"/>
              <w:right w:val="nil"/>
            </w:tcBorders>
          </w:tcPr>
          <w:p>
            <w:pPr>
              <w:pStyle w:val="0"/>
              <w:jc w:val="center"/>
            </w:pPr>
            <w:r>
              <w:rPr>
                <w:sz w:val="20"/>
              </w:rPr>
              <w:t xml:space="preserve">4 435,4</w:t>
            </w:r>
          </w:p>
        </w:tc>
        <w:tc>
          <w:tcPr>
            <w:tcW w:w="1191" w:type="dxa"/>
            <w:vAlign w:val="center"/>
            <w:tcBorders>
              <w:top w:val="nil"/>
              <w:left w:val="nil"/>
              <w:bottom w:val="nil"/>
              <w:right w:val="nil"/>
            </w:tcBorders>
          </w:tcPr>
          <w:p>
            <w:pPr>
              <w:pStyle w:val="0"/>
              <w:jc w:val="center"/>
            </w:pPr>
            <w:r>
              <w:rPr>
                <w:sz w:val="20"/>
              </w:rPr>
              <w:t xml:space="preserve">4 038,6</w:t>
            </w:r>
          </w:p>
        </w:tc>
        <w:tc>
          <w:tcPr>
            <w:tcW w:w="1247" w:type="dxa"/>
            <w:vAlign w:val="center"/>
            <w:tcBorders>
              <w:top w:val="nil"/>
              <w:left w:val="nil"/>
              <w:bottom w:val="nil"/>
              <w:right w:val="nil"/>
            </w:tcBorders>
          </w:tcPr>
          <w:p>
            <w:pPr>
              <w:pStyle w:val="0"/>
              <w:jc w:val="center"/>
            </w:pPr>
            <w:r>
              <w:rPr>
                <w:sz w:val="20"/>
              </w:rPr>
              <w:t xml:space="preserve">5 955,3</w:t>
            </w:r>
          </w:p>
        </w:tc>
        <w:tc>
          <w:tcPr>
            <w:tcW w:w="1020" w:type="dxa"/>
            <w:vAlign w:val="center"/>
            <w:tcBorders>
              <w:top w:val="nil"/>
              <w:left w:val="nil"/>
              <w:bottom w:val="nil"/>
              <w:right w:val="nil"/>
            </w:tcBorders>
          </w:tcPr>
          <w:p>
            <w:pPr>
              <w:pStyle w:val="0"/>
              <w:jc w:val="center"/>
            </w:pPr>
            <w:r>
              <w:rPr>
                <w:sz w:val="20"/>
              </w:rPr>
              <w:t xml:space="preserve">5 865,0</w:t>
            </w:r>
          </w:p>
        </w:tc>
        <w:tc>
          <w:tcPr>
            <w:tcW w:w="1020" w:type="dxa"/>
            <w:vAlign w:val="center"/>
            <w:tcBorders>
              <w:top w:val="nil"/>
              <w:left w:val="nil"/>
              <w:bottom w:val="nil"/>
              <w:right w:val="nil"/>
            </w:tcBorders>
          </w:tcPr>
          <w:p>
            <w:pPr>
              <w:pStyle w:val="0"/>
              <w:jc w:val="center"/>
            </w:pPr>
            <w:r>
              <w:rPr>
                <w:sz w:val="20"/>
              </w:rPr>
              <w:t xml:space="preserve">5 716,5</w:t>
            </w:r>
          </w:p>
        </w:tc>
        <w:tc>
          <w:tcPr>
            <w:tcW w:w="1020" w:type="dxa"/>
            <w:vAlign w:val="center"/>
            <w:tcBorders>
              <w:top w:val="nil"/>
              <w:left w:val="nil"/>
              <w:bottom w:val="nil"/>
              <w:right w:val="nil"/>
            </w:tcBorders>
          </w:tcPr>
          <w:p>
            <w:pPr>
              <w:pStyle w:val="0"/>
              <w:jc w:val="center"/>
            </w:pPr>
            <w:r>
              <w:rPr>
                <w:sz w:val="20"/>
              </w:rPr>
              <w:t xml:space="preserve">5 731,7</w:t>
            </w:r>
          </w:p>
        </w:tc>
      </w:tr>
      <w:tr>
        <w:tc>
          <w:tcPr>
            <w:tcW w:w="2154" w:type="dxa"/>
            <w:tcBorders>
              <w:top w:val="nil"/>
              <w:left w:val="nil"/>
              <w:bottom w:val="nil"/>
              <w:right w:val="nil"/>
            </w:tcBorders>
          </w:tcPr>
          <w:p>
            <w:pPr>
              <w:pStyle w:val="0"/>
              <w:ind w:left="283"/>
            </w:pPr>
            <w:r>
              <w:rPr>
                <w:sz w:val="20"/>
              </w:rPr>
              <w:t xml:space="preserve">%% к общему объему</w:t>
            </w:r>
          </w:p>
        </w:tc>
        <w:tc>
          <w:tcPr>
            <w:tcW w:w="1020" w:type="dxa"/>
            <w:vAlign w:val="center"/>
            <w:tcBorders>
              <w:top w:val="nil"/>
              <w:left w:val="nil"/>
              <w:bottom w:val="nil"/>
              <w:right w:val="nil"/>
            </w:tcBorders>
          </w:tcPr>
          <w:p>
            <w:pPr>
              <w:pStyle w:val="0"/>
              <w:jc w:val="center"/>
            </w:pPr>
            <w:r>
              <w:rPr>
                <w:sz w:val="20"/>
              </w:rPr>
              <w:t xml:space="preserve">25,0</w:t>
            </w:r>
          </w:p>
        </w:tc>
        <w:tc>
          <w:tcPr>
            <w:tcW w:w="1020" w:type="dxa"/>
            <w:vAlign w:val="center"/>
            <w:tcBorders>
              <w:top w:val="nil"/>
              <w:left w:val="nil"/>
              <w:bottom w:val="nil"/>
              <w:right w:val="nil"/>
            </w:tcBorders>
          </w:tcPr>
          <w:p>
            <w:pPr>
              <w:pStyle w:val="0"/>
              <w:jc w:val="center"/>
            </w:pPr>
            <w:r>
              <w:rPr>
                <w:sz w:val="20"/>
              </w:rPr>
              <w:t xml:space="preserve">22,1</w:t>
            </w:r>
          </w:p>
        </w:tc>
        <w:tc>
          <w:tcPr>
            <w:tcW w:w="1020" w:type="dxa"/>
            <w:vAlign w:val="center"/>
            <w:tcBorders>
              <w:top w:val="nil"/>
              <w:left w:val="nil"/>
              <w:bottom w:val="nil"/>
              <w:right w:val="nil"/>
            </w:tcBorders>
          </w:tcPr>
          <w:p>
            <w:pPr>
              <w:pStyle w:val="0"/>
              <w:jc w:val="center"/>
            </w:pPr>
            <w:r>
              <w:rPr>
                <w:sz w:val="20"/>
              </w:rPr>
              <w:t xml:space="preserve">21,2</w:t>
            </w:r>
          </w:p>
        </w:tc>
        <w:tc>
          <w:tcPr>
            <w:tcW w:w="1191" w:type="dxa"/>
            <w:vAlign w:val="center"/>
            <w:tcBorders>
              <w:top w:val="nil"/>
              <w:left w:val="nil"/>
              <w:bottom w:val="nil"/>
              <w:right w:val="nil"/>
            </w:tcBorders>
          </w:tcPr>
          <w:p>
            <w:pPr>
              <w:pStyle w:val="0"/>
              <w:jc w:val="center"/>
            </w:pPr>
            <w:r>
              <w:rPr>
                <w:sz w:val="20"/>
              </w:rPr>
              <w:t xml:space="preserve">17,7</w:t>
            </w:r>
          </w:p>
        </w:tc>
        <w:tc>
          <w:tcPr>
            <w:tcW w:w="1247" w:type="dxa"/>
            <w:vAlign w:val="center"/>
            <w:tcBorders>
              <w:top w:val="nil"/>
              <w:left w:val="nil"/>
              <w:bottom w:val="nil"/>
              <w:right w:val="nil"/>
            </w:tcBorders>
          </w:tcPr>
          <w:p>
            <w:pPr>
              <w:pStyle w:val="0"/>
              <w:jc w:val="center"/>
            </w:pPr>
            <w:r>
              <w:rPr>
                <w:sz w:val="20"/>
              </w:rPr>
              <w:t xml:space="preserve">20,4</w:t>
            </w:r>
          </w:p>
        </w:tc>
        <w:tc>
          <w:tcPr>
            <w:tcW w:w="1020" w:type="dxa"/>
            <w:vAlign w:val="center"/>
            <w:tcBorders>
              <w:top w:val="nil"/>
              <w:left w:val="nil"/>
              <w:bottom w:val="nil"/>
              <w:right w:val="nil"/>
            </w:tcBorders>
          </w:tcPr>
          <w:p>
            <w:pPr>
              <w:pStyle w:val="0"/>
              <w:jc w:val="center"/>
            </w:pPr>
            <w:r>
              <w:rPr>
                <w:sz w:val="20"/>
              </w:rPr>
              <w:t xml:space="preserve">18,0</w:t>
            </w:r>
          </w:p>
        </w:tc>
        <w:tc>
          <w:tcPr>
            <w:tcW w:w="1020" w:type="dxa"/>
            <w:vAlign w:val="center"/>
            <w:tcBorders>
              <w:top w:val="nil"/>
              <w:left w:val="nil"/>
              <w:bottom w:val="nil"/>
              <w:right w:val="nil"/>
            </w:tcBorders>
          </w:tcPr>
          <w:p>
            <w:pPr>
              <w:pStyle w:val="0"/>
              <w:jc w:val="center"/>
            </w:pPr>
            <w:r>
              <w:rPr>
                <w:sz w:val="20"/>
              </w:rPr>
              <w:t xml:space="preserve">15,9</w:t>
            </w:r>
          </w:p>
        </w:tc>
        <w:tc>
          <w:tcPr>
            <w:tcW w:w="1020" w:type="dxa"/>
            <w:vAlign w:val="center"/>
            <w:tcBorders>
              <w:top w:val="nil"/>
              <w:left w:val="nil"/>
              <w:bottom w:val="nil"/>
              <w:right w:val="nil"/>
            </w:tcBorders>
          </w:tcPr>
          <w:p>
            <w:pPr>
              <w:pStyle w:val="0"/>
              <w:jc w:val="center"/>
            </w:pPr>
            <w:r>
              <w:rPr>
                <w:sz w:val="20"/>
              </w:rPr>
              <w:t xml:space="preserve">14,3</w:t>
            </w:r>
          </w:p>
        </w:tc>
      </w:tr>
      <w:tr>
        <w:tc>
          <w:tcPr>
            <w:tcW w:w="2154" w:type="dxa"/>
            <w:tcBorders>
              <w:top w:val="nil"/>
              <w:left w:val="nil"/>
              <w:bottom w:val="single" w:sz="4"/>
              <w:right w:val="nil"/>
            </w:tcBorders>
          </w:tcPr>
          <w:p>
            <w:pPr>
              <w:pStyle w:val="0"/>
              <w:ind w:left="567"/>
            </w:pPr>
            <w:r>
              <w:rPr>
                <w:sz w:val="20"/>
              </w:rPr>
              <w:t xml:space="preserve">в т.ч. по госгарантиям</w:t>
            </w:r>
          </w:p>
        </w:tc>
        <w:tc>
          <w:tcPr>
            <w:tcW w:w="1020" w:type="dxa"/>
            <w:vAlign w:val="center"/>
            <w:tcBorders>
              <w:top w:val="nil"/>
              <w:left w:val="nil"/>
              <w:bottom w:val="single" w:sz="4"/>
              <w:right w:val="nil"/>
            </w:tcBorders>
          </w:tcPr>
          <w:p>
            <w:pPr>
              <w:pStyle w:val="0"/>
              <w:jc w:val="center"/>
            </w:pPr>
            <w:r>
              <w:rPr>
                <w:sz w:val="20"/>
              </w:rPr>
              <w:t xml:space="preserve">820,4</w:t>
            </w:r>
          </w:p>
        </w:tc>
        <w:tc>
          <w:tcPr>
            <w:tcW w:w="1020" w:type="dxa"/>
            <w:vAlign w:val="center"/>
            <w:tcBorders>
              <w:top w:val="nil"/>
              <w:left w:val="nil"/>
              <w:bottom w:val="single" w:sz="4"/>
              <w:right w:val="nil"/>
            </w:tcBorders>
          </w:tcPr>
          <w:p>
            <w:pPr>
              <w:pStyle w:val="0"/>
              <w:jc w:val="center"/>
            </w:pPr>
            <w:r>
              <w:rPr>
                <w:sz w:val="20"/>
              </w:rPr>
              <w:t xml:space="preserve">1 300,0</w:t>
            </w:r>
          </w:p>
        </w:tc>
        <w:tc>
          <w:tcPr>
            <w:tcW w:w="1020" w:type="dxa"/>
            <w:vAlign w:val="center"/>
            <w:tcBorders>
              <w:top w:val="nil"/>
              <w:left w:val="nil"/>
              <w:bottom w:val="single" w:sz="4"/>
              <w:right w:val="nil"/>
            </w:tcBorders>
          </w:tcPr>
          <w:p>
            <w:pPr>
              <w:pStyle w:val="0"/>
              <w:jc w:val="center"/>
            </w:pPr>
            <w:r>
              <w:rPr>
                <w:sz w:val="20"/>
              </w:rPr>
              <w:t xml:space="preserve">1 399,7</w:t>
            </w:r>
          </w:p>
        </w:tc>
        <w:tc>
          <w:tcPr>
            <w:tcW w:w="1191" w:type="dxa"/>
            <w:vAlign w:val="center"/>
            <w:tcBorders>
              <w:top w:val="nil"/>
              <w:left w:val="nil"/>
              <w:bottom w:val="single" w:sz="4"/>
              <w:right w:val="nil"/>
            </w:tcBorders>
          </w:tcPr>
          <w:p>
            <w:pPr>
              <w:pStyle w:val="0"/>
              <w:jc w:val="center"/>
            </w:pPr>
            <w:r>
              <w:rPr>
                <w:sz w:val="20"/>
              </w:rPr>
              <w:t xml:space="preserve">1 381,9</w:t>
            </w:r>
          </w:p>
        </w:tc>
        <w:tc>
          <w:tcPr>
            <w:tcW w:w="1247" w:type="dxa"/>
            <w:vAlign w:val="center"/>
            <w:tcBorders>
              <w:top w:val="nil"/>
              <w:left w:val="nil"/>
              <w:bottom w:val="single" w:sz="4"/>
              <w:right w:val="nil"/>
            </w:tcBorders>
          </w:tcPr>
          <w:p>
            <w:pPr>
              <w:pStyle w:val="0"/>
              <w:jc w:val="center"/>
            </w:pPr>
            <w:r>
              <w:rPr>
                <w:sz w:val="20"/>
              </w:rPr>
              <w:t xml:space="preserve">2 593,7</w:t>
            </w:r>
          </w:p>
        </w:tc>
        <w:tc>
          <w:tcPr>
            <w:tcW w:w="1020" w:type="dxa"/>
            <w:vAlign w:val="center"/>
            <w:tcBorders>
              <w:top w:val="nil"/>
              <w:left w:val="nil"/>
              <w:bottom w:val="single" w:sz="4"/>
              <w:right w:val="nil"/>
            </w:tcBorders>
          </w:tcPr>
          <w:p>
            <w:pPr>
              <w:pStyle w:val="0"/>
              <w:jc w:val="center"/>
            </w:pPr>
            <w:r>
              <w:rPr>
                <w:sz w:val="20"/>
              </w:rPr>
              <w:t xml:space="preserve">2 526,8</w:t>
            </w:r>
          </w:p>
        </w:tc>
        <w:tc>
          <w:tcPr>
            <w:tcW w:w="1020" w:type="dxa"/>
            <w:vAlign w:val="center"/>
            <w:tcBorders>
              <w:top w:val="nil"/>
              <w:left w:val="nil"/>
              <w:bottom w:val="single" w:sz="4"/>
              <w:right w:val="nil"/>
            </w:tcBorders>
          </w:tcPr>
          <w:p>
            <w:pPr>
              <w:pStyle w:val="0"/>
              <w:jc w:val="center"/>
            </w:pPr>
            <w:r>
              <w:rPr>
                <w:sz w:val="20"/>
              </w:rPr>
              <w:t xml:space="preserve">2501,0</w:t>
            </w:r>
          </w:p>
        </w:tc>
        <w:tc>
          <w:tcPr>
            <w:tcW w:w="1020" w:type="dxa"/>
            <w:vAlign w:val="center"/>
            <w:tcBorders>
              <w:top w:val="nil"/>
              <w:left w:val="nil"/>
              <w:bottom w:val="single" w:sz="4"/>
              <w:right w:val="nil"/>
            </w:tcBorders>
          </w:tcPr>
          <w:p>
            <w:pPr>
              <w:pStyle w:val="0"/>
              <w:jc w:val="center"/>
            </w:pPr>
            <w:r>
              <w:rPr>
                <w:sz w:val="20"/>
              </w:rPr>
              <w:t xml:space="preserve">2 591,3</w:t>
            </w:r>
          </w:p>
        </w:tc>
      </w:tr>
    </w:tbl>
    <w:p>
      <w:pPr>
        <w:pStyle w:val="0"/>
        <w:jc w:val="both"/>
      </w:pPr>
      <w:r>
        <w:rPr>
          <w:sz w:val="20"/>
        </w:rPr>
      </w:r>
    </w:p>
    <w:p>
      <w:pPr>
        <w:pStyle w:val="0"/>
        <w:ind w:firstLine="540"/>
        <w:jc w:val="both"/>
      </w:pPr>
      <w:r>
        <w:rPr>
          <w:sz w:val="20"/>
        </w:rPr>
        <w:t xml:space="preserve">--------------------------------</w:t>
      </w:r>
    </w:p>
    <w:bookmarkStart w:id="1958" w:name="P1958"/>
    <w:bookmarkEnd w:id="1958"/>
    <w:p>
      <w:pPr>
        <w:pStyle w:val="0"/>
        <w:spacing w:before="200" w:line-rule="auto"/>
        <w:ind w:firstLine="540"/>
        <w:jc w:val="both"/>
      </w:pPr>
      <w:r>
        <w:rPr>
          <w:sz w:val="20"/>
        </w:rPr>
        <w:t xml:space="preserve">&lt;*&gt; оценка</w:t>
      </w:r>
    </w:p>
    <w:p>
      <w:pPr>
        <w:pStyle w:val="0"/>
        <w:jc w:val="both"/>
      </w:pPr>
      <w:r>
        <w:rPr>
          <w:sz w:val="20"/>
        </w:rPr>
      </w:r>
    </w:p>
    <w:p>
      <w:pPr>
        <w:pStyle w:val="0"/>
        <w:ind w:firstLine="540"/>
        <w:jc w:val="both"/>
      </w:pPr>
      <w:r>
        <w:rPr>
          <w:sz w:val="20"/>
        </w:rPr>
        <w:t xml:space="preserve">В силу превышения прогнозируемых нефтегазовых доходов над базовым уровнем в течение прогнозного периода будут формироваться дополнительные нефтегазовые доходы, подлежащие зачислению в ФНБ (их объем в 2024 - 2026 гг. составит 1,8 трлн рублей ежегодно). Использование средств ФНБ в целях финансирования дефицита федерального бюджета на всем прогнозном периоде планируется только в 2024 году.</w:t>
      </w:r>
    </w:p>
    <w:p>
      <w:pPr>
        <w:pStyle w:val="0"/>
        <w:jc w:val="both"/>
      </w:pPr>
      <w:r>
        <w:rPr>
          <w:sz w:val="20"/>
        </w:rPr>
      </w:r>
    </w:p>
    <w:p>
      <w:pPr>
        <w:pStyle w:val="0"/>
        <w:ind w:firstLine="540"/>
        <w:jc w:val="both"/>
      </w:pPr>
      <w:r>
        <w:rPr>
          <w:sz w:val="20"/>
        </w:rPr>
        <w:t xml:space="preserve">Таблица 4.1.6. Фонд национального благосостояния в 2019 - 2026 гг.</w:t>
      </w:r>
    </w:p>
    <w:p>
      <w:pPr>
        <w:pStyle w:val="0"/>
        <w:jc w:val="both"/>
      </w:pPr>
      <w:r>
        <w:rPr>
          <w:sz w:val="20"/>
        </w:rPr>
      </w:r>
    </w:p>
    <w:p>
      <w:pPr>
        <w:pStyle w:val="0"/>
        <w:jc w:val="right"/>
      </w:pPr>
      <w:r>
        <w:rPr>
          <w:sz w:val="20"/>
        </w:rPr>
        <w:t xml:space="preserve">млрд рублей</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2154"/>
        <w:gridCol w:w="1020"/>
        <w:gridCol w:w="1020"/>
        <w:gridCol w:w="1020"/>
        <w:gridCol w:w="1191"/>
        <w:gridCol w:w="1247"/>
        <w:gridCol w:w="1020"/>
        <w:gridCol w:w="1020"/>
        <w:gridCol w:w="1020"/>
      </w:tblGrid>
      <w:tr>
        <w:tblPrEx>
          <w:tblBorders>
            <w:insideH w:val="single" w:sz="4"/>
          </w:tblBorders>
        </w:tblPrEx>
        <w:tc>
          <w:tcPr>
            <w:tcW w:w="2154" w:type="dxa"/>
            <w:tcBorders>
              <w:top w:val="single" w:sz="4"/>
              <w:left w:val="nil"/>
              <w:bottom w:val="single" w:sz="4"/>
              <w:right w:val="nil"/>
            </w:tcBorders>
          </w:tcPr>
          <w:p>
            <w:pPr>
              <w:pStyle w:val="0"/>
              <w:jc w:val="center"/>
            </w:pPr>
            <w:r>
              <w:rPr>
                <w:sz w:val="20"/>
              </w:rPr>
              <w:t xml:space="preserve">Показатель</w:t>
            </w:r>
          </w:p>
        </w:tc>
        <w:tc>
          <w:tcPr>
            <w:tcW w:w="1020" w:type="dxa"/>
            <w:tcBorders>
              <w:top w:val="single" w:sz="4"/>
              <w:left w:val="nil"/>
              <w:bottom w:val="single" w:sz="4"/>
              <w:right w:val="nil"/>
            </w:tcBorders>
          </w:tcPr>
          <w:p>
            <w:pPr>
              <w:pStyle w:val="0"/>
              <w:jc w:val="center"/>
            </w:pPr>
            <w:r>
              <w:rPr>
                <w:sz w:val="20"/>
              </w:rPr>
              <w:t xml:space="preserve">2019</w:t>
            </w:r>
          </w:p>
        </w:tc>
        <w:tc>
          <w:tcPr>
            <w:tcW w:w="1020" w:type="dxa"/>
            <w:tcBorders>
              <w:top w:val="single" w:sz="4"/>
              <w:left w:val="nil"/>
              <w:bottom w:val="single" w:sz="4"/>
              <w:right w:val="nil"/>
            </w:tcBorders>
          </w:tcPr>
          <w:p>
            <w:pPr>
              <w:pStyle w:val="0"/>
              <w:jc w:val="center"/>
            </w:pPr>
            <w:r>
              <w:rPr>
                <w:sz w:val="20"/>
              </w:rPr>
              <w:t xml:space="preserve">2020</w:t>
            </w:r>
          </w:p>
        </w:tc>
        <w:tc>
          <w:tcPr>
            <w:tcW w:w="1020" w:type="dxa"/>
            <w:tcBorders>
              <w:top w:val="single" w:sz="4"/>
              <w:left w:val="nil"/>
              <w:bottom w:val="single" w:sz="4"/>
              <w:right w:val="nil"/>
            </w:tcBorders>
          </w:tcPr>
          <w:p>
            <w:pPr>
              <w:pStyle w:val="0"/>
              <w:jc w:val="center"/>
            </w:pPr>
            <w:r>
              <w:rPr>
                <w:sz w:val="20"/>
              </w:rPr>
              <w:t xml:space="preserve">2021</w:t>
            </w:r>
          </w:p>
        </w:tc>
        <w:tc>
          <w:tcPr>
            <w:tcW w:w="1191" w:type="dxa"/>
            <w:tcBorders>
              <w:top w:val="single" w:sz="4"/>
              <w:left w:val="nil"/>
              <w:bottom w:val="single" w:sz="4"/>
              <w:right w:val="nil"/>
            </w:tcBorders>
          </w:tcPr>
          <w:p>
            <w:pPr>
              <w:pStyle w:val="0"/>
              <w:jc w:val="center"/>
            </w:pPr>
            <w:r>
              <w:rPr>
                <w:sz w:val="20"/>
              </w:rPr>
              <w:t xml:space="preserve">2022</w:t>
            </w:r>
          </w:p>
        </w:tc>
        <w:tc>
          <w:tcPr>
            <w:tcW w:w="1247" w:type="dxa"/>
            <w:tcBorders>
              <w:top w:val="single" w:sz="4"/>
              <w:left w:val="nil"/>
              <w:bottom w:val="single" w:sz="4"/>
              <w:right w:val="nil"/>
            </w:tcBorders>
          </w:tcPr>
          <w:p>
            <w:pPr>
              <w:pStyle w:val="0"/>
              <w:jc w:val="center"/>
            </w:pPr>
            <w:r>
              <w:rPr>
                <w:sz w:val="20"/>
              </w:rPr>
              <w:t xml:space="preserve">2023 </w:t>
            </w:r>
            <w:hyperlink w:history="0" w:anchor="P2032" w:tooltip="&lt;*&gt; оценка;">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2024</w:t>
            </w:r>
          </w:p>
        </w:tc>
        <w:tc>
          <w:tcPr>
            <w:tcW w:w="1020" w:type="dxa"/>
            <w:tcBorders>
              <w:top w:val="single" w:sz="4"/>
              <w:left w:val="nil"/>
              <w:bottom w:val="single" w:sz="4"/>
              <w:right w:val="nil"/>
            </w:tcBorders>
          </w:tcPr>
          <w:p>
            <w:pPr>
              <w:pStyle w:val="0"/>
              <w:jc w:val="center"/>
            </w:pPr>
            <w:r>
              <w:rPr>
                <w:sz w:val="20"/>
              </w:rPr>
              <w:t xml:space="preserve">2025</w:t>
            </w:r>
          </w:p>
        </w:tc>
        <w:tc>
          <w:tcPr>
            <w:tcW w:w="1020" w:type="dxa"/>
            <w:tcBorders>
              <w:top w:val="single" w:sz="4"/>
              <w:left w:val="nil"/>
              <w:bottom w:val="single" w:sz="4"/>
              <w:right w:val="nil"/>
            </w:tcBorders>
          </w:tcPr>
          <w:p>
            <w:pPr>
              <w:pStyle w:val="0"/>
              <w:jc w:val="center"/>
            </w:pPr>
            <w:r>
              <w:rPr>
                <w:sz w:val="20"/>
              </w:rPr>
              <w:t xml:space="preserve">2026</w:t>
            </w:r>
          </w:p>
        </w:tc>
      </w:tr>
      <w:tr>
        <w:tc>
          <w:tcPr>
            <w:tcW w:w="2154" w:type="dxa"/>
            <w:tcBorders>
              <w:top w:val="single" w:sz="4"/>
              <w:left w:val="nil"/>
              <w:bottom w:val="nil"/>
              <w:right w:val="nil"/>
            </w:tcBorders>
          </w:tcPr>
          <w:p>
            <w:pPr>
              <w:pStyle w:val="0"/>
            </w:pPr>
            <w:r>
              <w:rPr>
                <w:sz w:val="20"/>
              </w:rPr>
              <w:t xml:space="preserve">ФНБ и доп. НГД (конец года)</w:t>
            </w:r>
          </w:p>
        </w:tc>
        <w:tc>
          <w:tcPr>
            <w:tcW w:w="1020" w:type="dxa"/>
            <w:vAlign w:val="center"/>
            <w:tcBorders>
              <w:top w:val="single" w:sz="4"/>
              <w:left w:val="nil"/>
              <w:bottom w:val="nil"/>
              <w:right w:val="nil"/>
            </w:tcBorders>
          </w:tcPr>
          <w:p>
            <w:pPr>
              <w:pStyle w:val="0"/>
              <w:jc w:val="center"/>
            </w:pPr>
            <w:r>
              <w:rPr>
                <w:sz w:val="20"/>
              </w:rPr>
              <w:t xml:space="preserve">10 729,9</w:t>
            </w:r>
          </w:p>
        </w:tc>
        <w:tc>
          <w:tcPr>
            <w:tcW w:w="1020" w:type="dxa"/>
            <w:vAlign w:val="center"/>
            <w:tcBorders>
              <w:top w:val="single" w:sz="4"/>
              <w:left w:val="nil"/>
              <w:bottom w:val="nil"/>
              <w:right w:val="nil"/>
            </w:tcBorders>
          </w:tcPr>
          <w:p>
            <w:pPr>
              <w:pStyle w:val="0"/>
              <w:jc w:val="center"/>
            </w:pPr>
            <w:r>
              <w:rPr>
                <w:sz w:val="20"/>
              </w:rPr>
              <w:t xml:space="preserve">13 578,4</w:t>
            </w:r>
          </w:p>
        </w:tc>
        <w:tc>
          <w:tcPr>
            <w:tcW w:w="1020" w:type="dxa"/>
            <w:vAlign w:val="center"/>
            <w:tcBorders>
              <w:top w:val="single" w:sz="4"/>
              <w:left w:val="nil"/>
              <w:bottom w:val="nil"/>
              <w:right w:val="nil"/>
            </w:tcBorders>
          </w:tcPr>
          <w:p>
            <w:pPr>
              <w:pStyle w:val="0"/>
              <w:jc w:val="center"/>
            </w:pPr>
            <w:r>
              <w:rPr>
                <w:sz w:val="20"/>
              </w:rPr>
              <w:t xml:space="preserve">16 734,3</w:t>
            </w:r>
          </w:p>
        </w:tc>
        <w:tc>
          <w:tcPr>
            <w:tcW w:w="1191" w:type="dxa"/>
            <w:vAlign w:val="center"/>
            <w:tcBorders>
              <w:top w:val="single" w:sz="4"/>
              <w:left w:val="nil"/>
              <w:bottom w:val="nil"/>
              <w:right w:val="nil"/>
            </w:tcBorders>
          </w:tcPr>
          <w:p>
            <w:pPr>
              <w:pStyle w:val="0"/>
              <w:jc w:val="center"/>
            </w:pPr>
            <w:r>
              <w:rPr>
                <w:sz w:val="20"/>
              </w:rPr>
              <w:t xml:space="preserve">10 434,6</w:t>
            </w:r>
          </w:p>
        </w:tc>
        <w:tc>
          <w:tcPr>
            <w:tcW w:w="1247" w:type="dxa"/>
            <w:vAlign w:val="center"/>
            <w:tcBorders>
              <w:top w:val="single" w:sz="4"/>
              <w:left w:val="nil"/>
              <w:bottom w:val="nil"/>
              <w:right w:val="nil"/>
            </w:tcBorders>
          </w:tcPr>
          <w:p>
            <w:pPr>
              <w:pStyle w:val="0"/>
              <w:jc w:val="center"/>
            </w:pPr>
            <w:r>
              <w:rPr>
                <w:sz w:val="20"/>
              </w:rPr>
              <w:t xml:space="preserve">12 511,6</w:t>
            </w:r>
          </w:p>
        </w:tc>
        <w:tc>
          <w:tcPr>
            <w:tcW w:w="1020" w:type="dxa"/>
            <w:vAlign w:val="center"/>
            <w:tcBorders>
              <w:top w:val="single" w:sz="4"/>
              <w:left w:val="nil"/>
              <w:bottom w:val="nil"/>
              <w:right w:val="nil"/>
            </w:tcBorders>
          </w:tcPr>
          <w:p>
            <w:pPr>
              <w:pStyle w:val="0"/>
              <w:jc w:val="center"/>
            </w:pPr>
            <w:r>
              <w:rPr>
                <w:sz w:val="20"/>
              </w:rPr>
              <w:t xml:space="preserve">13 011,8</w:t>
            </w:r>
          </w:p>
        </w:tc>
        <w:tc>
          <w:tcPr>
            <w:tcW w:w="1020" w:type="dxa"/>
            <w:vAlign w:val="center"/>
            <w:tcBorders>
              <w:top w:val="single" w:sz="4"/>
              <w:left w:val="nil"/>
              <w:bottom w:val="nil"/>
              <w:right w:val="nil"/>
            </w:tcBorders>
          </w:tcPr>
          <w:p>
            <w:pPr>
              <w:pStyle w:val="0"/>
              <w:jc w:val="center"/>
            </w:pPr>
            <w:r>
              <w:rPr>
                <w:sz w:val="20"/>
              </w:rPr>
              <w:t xml:space="preserve">14 838,5</w:t>
            </w:r>
          </w:p>
        </w:tc>
        <w:tc>
          <w:tcPr>
            <w:tcW w:w="1020" w:type="dxa"/>
            <w:vAlign w:val="center"/>
            <w:tcBorders>
              <w:top w:val="single" w:sz="4"/>
              <w:left w:val="nil"/>
              <w:bottom w:val="nil"/>
              <w:right w:val="nil"/>
            </w:tcBorders>
          </w:tcPr>
          <w:p>
            <w:pPr>
              <w:pStyle w:val="0"/>
              <w:jc w:val="center"/>
            </w:pPr>
            <w:r>
              <w:rPr>
                <w:sz w:val="20"/>
              </w:rPr>
              <w:t xml:space="preserve">16 716,9</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9,8</w:t>
            </w:r>
          </w:p>
        </w:tc>
        <w:tc>
          <w:tcPr>
            <w:tcW w:w="1020" w:type="dxa"/>
            <w:vAlign w:val="center"/>
            <w:tcBorders>
              <w:top w:val="nil"/>
              <w:left w:val="nil"/>
              <w:bottom w:val="nil"/>
              <w:right w:val="nil"/>
            </w:tcBorders>
          </w:tcPr>
          <w:p>
            <w:pPr>
              <w:pStyle w:val="0"/>
              <w:jc w:val="center"/>
            </w:pPr>
            <w:r>
              <w:rPr>
                <w:sz w:val="20"/>
              </w:rPr>
              <w:t xml:space="preserve">12,7</w:t>
            </w:r>
          </w:p>
        </w:tc>
        <w:tc>
          <w:tcPr>
            <w:tcW w:w="1020" w:type="dxa"/>
            <w:vAlign w:val="center"/>
            <w:tcBorders>
              <w:top w:val="nil"/>
              <w:left w:val="nil"/>
              <w:bottom w:val="nil"/>
              <w:right w:val="nil"/>
            </w:tcBorders>
          </w:tcPr>
          <w:p>
            <w:pPr>
              <w:pStyle w:val="0"/>
              <w:jc w:val="center"/>
            </w:pPr>
            <w:r>
              <w:rPr>
                <w:sz w:val="20"/>
              </w:rPr>
              <w:t xml:space="preserve">12,8</w:t>
            </w:r>
          </w:p>
        </w:tc>
        <w:tc>
          <w:tcPr>
            <w:tcW w:w="1191" w:type="dxa"/>
            <w:vAlign w:val="center"/>
            <w:tcBorders>
              <w:top w:val="nil"/>
              <w:left w:val="nil"/>
              <w:bottom w:val="nil"/>
              <w:right w:val="nil"/>
            </w:tcBorders>
          </w:tcPr>
          <w:p>
            <w:pPr>
              <w:pStyle w:val="0"/>
              <w:jc w:val="center"/>
            </w:pPr>
            <w:r>
              <w:rPr>
                <w:sz w:val="20"/>
              </w:rPr>
              <w:t xml:space="preserve">6,8</w:t>
            </w:r>
          </w:p>
        </w:tc>
        <w:tc>
          <w:tcPr>
            <w:tcW w:w="1247" w:type="dxa"/>
            <w:vAlign w:val="center"/>
            <w:tcBorders>
              <w:top w:val="nil"/>
              <w:left w:val="nil"/>
              <w:bottom w:val="nil"/>
              <w:right w:val="nil"/>
            </w:tcBorders>
          </w:tcPr>
          <w:p>
            <w:pPr>
              <w:pStyle w:val="0"/>
              <w:jc w:val="center"/>
            </w:pPr>
            <w:r>
              <w:rPr>
                <w:sz w:val="20"/>
              </w:rPr>
              <w:t xml:space="preserve">7,5</w:t>
            </w:r>
          </w:p>
        </w:tc>
        <w:tc>
          <w:tcPr>
            <w:tcW w:w="1020" w:type="dxa"/>
            <w:vAlign w:val="center"/>
            <w:tcBorders>
              <w:top w:val="nil"/>
              <w:left w:val="nil"/>
              <w:bottom w:val="nil"/>
              <w:right w:val="nil"/>
            </w:tcBorders>
          </w:tcPr>
          <w:p>
            <w:pPr>
              <w:pStyle w:val="0"/>
              <w:jc w:val="center"/>
            </w:pPr>
            <w:r>
              <w:rPr>
                <w:sz w:val="20"/>
              </w:rPr>
              <w:t xml:space="preserve">7,2</w:t>
            </w:r>
          </w:p>
        </w:tc>
        <w:tc>
          <w:tcPr>
            <w:tcW w:w="1020" w:type="dxa"/>
            <w:vAlign w:val="center"/>
            <w:tcBorders>
              <w:top w:val="nil"/>
              <w:left w:val="nil"/>
              <w:bottom w:val="nil"/>
              <w:right w:val="nil"/>
            </w:tcBorders>
          </w:tcPr>
          <w:p>
            <w:pPr>
              <w:pStyle w:val="0"/>
              <w:jc w:val="center"/>
            </w:pPr>
            <w:r>
              <w:rPr>
                <w:sz w:val="20"/>
              </w:rPr>
              <w:t xml:space="preserve">7,8</w:t>
            </w:r>
          </w:p>
        </w:tc>
        <w:tc>
          <w:tcPr>
            <w:tcW w:w="1020" w:type="dxa"/>
            <w:vAlign w:val="center"/>
            <w:tcBorders>
              <w:top w:val="nil"/>
              <w:left w:val="nil"/>
              <w:bottom w:val="nil"/>
              <w:right w:val="nil"/>
            </w:tcBorders>
          </w:tcPr>
          <w:p>
            <w:pPr>
              <w:pStyle w:val="0"/>
              <w:jc w:val="center"/>
            </w:pPr>
            <w:r>
              <w:rPr>
                <w:sz w:val="20"/>
              </w:rPr>
              <w:t xml:space="preserve">8,3</w:t>
            </w:r>
          </w:p>
        </w:tc>
      </w:tr>
      <w:tr>
        <w:tc>
          <w:tcPr>
            <w:tcW w:w="2154" w:type="dxa"/>
            <w:tcBorders>
              <w:top w:val="nil"/>
              <w:left w:val="nil"/>
              <w:bottom w:val="nil"/>
              <w:right w:val="nil"/>
            </w:tcBorders>
          </w:tcPr>
          <w:p>
            <w:pPr>
              <w:pStyle w:val="0"/>
            </w:pPr>
            <w:r>
              <w:rPr>
                <w:sz w:val="20"/>
              </w:rPr>
              <w:t xml:space="preserve">резервные активы (счет в ЦБ РФ) </w:t>
            </w:r>
            <w:hyperlink w:history="0" w:anchor="P2033" w:tooltip="&lt;**&gt; в т.ч. резерв на новые инфраструктурные проекты и антикризисные инвестиции;">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9 094,6</w:t>
            </w:r>
          </w:p>
        </w:tc>
        <w:tc>
          <w:tcPr>
            <w:tcW w:w="1020" w:type="dxa"/>
            <w:vAlign w:val="center"/>
            <w:tcBorders>
              <w:top w:val="nil"/>
              <w:left w:val="nil"/>
              <w:bottom w:val="nil"/>
              <w:right w:val="nil"/>
            </w:tcBorders>
          </w:tcPr>
          <w:p>
            <w:pPr>
              <w:pStyle w:val="0"/>
              <w:jc w:val="center"/>
            </w:pPr>
            <w:r>
              <w:rPr>
                <w:sz w:val="20"/>
              </w:rPr>
              <w:t xml:space="preserve">8 690,6</w:t>
            </w:r>
          </w:p>
        </w:tc>
        <w:tc>
          <w:tcPr>
            <w:tcW w:w="1020" w:type="dxa"/>
            <w:vAlign w:val="center"/>
            <w:tcBorders>
              <w:top w:val="nil"/>
              <w:left w:val="nil"/>
              <w:bottom w:val="nil"/>
              <w:right w:val="nil"/>
            </w:tcBorders>
          </w:tcPr>
          <w:p>
            <w:pPr>
              <w:pStyle w:val="0"/>
              <w:jc w:val="center"/>
            </w:pPr>
            <w:r>
              <w:rPr>
                <w:sz w:val="20"/>
              </w:rPr>
              <w:t xml:space="preserve">11 601,5</w:t>
            </w:r>
          </w:p>
        </w:tc>
        <w:tc>
          <w:tcPr>
            <w:tcW w:w="1191" w:type="dxa"/>
            <w:vAlign w:val="center"/>
            <w:tcBorders>
              <w:top w:val="nil"/>
              <w:left w:val="nil"/>
              <w:bottom w:val="nil"/>
              <w:right w:val="nil"/>
            </w:tcBorders>
          </w:tcPr>
          <w:p>
            <w:pPr>
              <w:pStyle w:val="0"/>
              <w:jc w:val="center"/>
            </w:pPr>
            <w:r>
              <w:rPr>
                <w:sz w:val="20"/>
              </w:rPr>
              <w:t xml:space="preserve">6 132,7</w:t>
            </w:r>
          </w:p>
        </w:tc>
        <w:tc>
          <w:tcPr>
            <w:tcW w:w="1247" w:type="dxa"/>
            <w:vAlign w:val="center"/>
            <w:tcBorders>
              <w:top w:val="nil"/>
              <w:left w:val="nil"/>
              <w:bottom w:val="nil"/>
              <w:right w:val="nil"/>
            </w:tcBorders>
          </w:tcPr>
          <w:p>
            <w:pPr>
              <w:pStyle w:val="0"/>
              <w:jc w:val="center"/>
            </w:pPr>
            <w:r>
              <w:rPr>
                <w:sz w:val="20"/>
              </w:rPr>
              <w:t xml:space="preserve">6 185,2</w:t>
            </w:r>
          </w:p>
        </w:tc>
        <w:tc>
          <w:tcPr>
            <w:tcW w:w="1020" w:type="dxa"/>
            <w:vAlign w:val="center"/>
            <w:tcBorders>
              <w:top w:val="nil"/>
              <w:left w:val="nil"/>
              <w:bottom w:val="nil"/>
              <w:right w:val="nil"/>
            </w:tcBorders>
          </w:tcPr>
          <w:p>
            <w:pPr>
              <w:pStyle w:val="0"/>
              <w:jc w:val="center"/>
            </w:pPr>
            <w:r>
              <w:rPr>
                <w:sz w:val="20"/>
              </w:rPr>
              <w:t xml:space="preserve">6 726,2</w:t>
            </w:r>
          </w:p>
        </w:tc>
        <w:tc>
          <w:tcPr>
            <w:tcW w:w="1020" w:type="dxa"/>
            <w:vAlign w:val="center"/>
            <w:tcBorders>
              <w:top w:val="nil"/>
              <w:left w:val="nil"/>
              <w:bottom w:val="nil"/>
              <w:right w:val="nil"/>
            </w:tcBorders>
          </w:tcPr>
          <w:p>
            <w:pPr>
              <w:pStyle w:val="0"/>
              <w:jc w:val="center"/>
            </w:pPr>
            <w:r>
              <w:rPr>
                <w:sz w:val="20"/>
              </w:rPr>
              <w:t xml:space="preserve">8 591,9</w:t>
            </w:r>
          </w:p>
        </w:tc>
        <w:tc>
          <w:tcPr>
            <w:tcW w:w="1020" w:type="dxa"/>
            <w:vAlign w:val="center"/>
            <w:tcBorders>
              <w:top w:val="nil"/>
              <w:left w:val="nil"/>
              <w:bottom w:val="nil"/>
              <w:right w:val="nil"/>
            </w:tcBorders>
          </w:tcPr>
          <w:p>
            <w:pPr>
              <w:pStyle w:val="0"/>
              <w:jc w:val="center"/>
            </w:pPr>
            <w:r>
              <w:rPr>
                <w:sz w:val="20"/>
              </w:rPr>
              <w:t xml:space="preserve">10 500,5</w:t>
            </w:r>
          </w:p>
          <w:p>
            <w:pPr>
              <w:pStyle w:val="0"/>
              <w:jc w:val="center"/>
            </w:pPr>
            <w:r>
              <w:rPr>
                <w:sz w:val="20"/>
              </w:rPr>
              <w:t xml:space="preserve">(7 305,1) </w:t>
            </w:r>
            <w:hyperlink w:history="0" w:anchor="P2034" w:tooltip="&lt;***&gt; с учетом финансирования новых инфраструктурных проектов в объеме до 3,2 трлн руб.">
              <w:r>
                <w:rPr>
                  <w:sz w:val="20"/>
                  <w:color w:val="0000ff"/>
                </w:rPr>
                <w:t xml:space="preserve">&lt;***&gt;</w:t>
              </w:r>
            </w:hyperlink>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8,3</w:t>
            </w:r>
          </w:p>
        </w:tc>
        <w:tc>
          <w:tcPr>
            <w:tcW w:w="1020" w:type="dxa"/>
            <w:vAlign w:val="center"/>
            <w:tcBorders>
              <w:top w:val="nil"/>
              <w:left w:val="nil"/>
              <w:bottom w:val="nil"/>
              <w:right w:val="nil"/>
            </w:tcBorders>
          </w:tcPr>
          <w:p>
            <w:pPr>
              <w:pStyle w:val="0"/>
              <w:jc w:val="center"/>
            </w:pPr>
            <w:r>
              <w:rPr>
                <w:sz w:val="20"/>
              </w:rPr>
              <w:t xml:space="preserve">8,1</w:t>
            </w:r>
          </w:p>
        </w:tc>
        <w:tc>
          <w:tcPr>
            <w:tcW w:w="1020" w:type="dxa"/>
            <w:vAlign w:val="center"/>
            <w:tcBorders>
              <w:top w:val="nil"/>
              <w:left w:val="nil"/>
              <w:bottom w:val="nil"/>
              <w:right w:val="nil"/>
            </w:tcBorders>
          </w:tcPr>
          <w:p>
            <w:pPr>
              <w:pStyle w:val="0"/>
              <w:jc w:val="center"/>
            </w:pPr>
            <w:r>
              <w:rPr>
                <w:sz w:val="20"/>
              </w:rPr>
              <w:t xml:space="preserve">8,9</w:t>
            </w:r>
          </w:p>
        </w:tc>
        <w:tc>
          <w:tcPr>
            <w:tcW w:w="1191" w:type="dxa"/>
            <w:vAlign w:val="center"/>
            <w:tcBorders>
              <w:top w:val="nil"/>
              <w:left w:val="nil"/>
              <w:bottom w:val="nil"/>
              <w:right w:val="nil"/>
            </w:tcBorders>
          </w:tcPr>
          <w:p>
            <w:pPr>
              <w:pStyle w:val="0"/>
              <w:jc w:val="center"/>
            </w:pPr>
            <w:r>
              <w:rPr>
                <w:sz w:val="20"/>
              </w:rPr>
              <w:t xml:space="preserve">4</w:t>
            </w:r>
          </w:p>
        </w:tc>
        <w:tc>
          <w:tcPr>
            <w:tcW w:w="1247" w:type="dxa"/>
            <w:vAlign w:val="center"/>
            <w:tcBorders>
              <w:top w:val="nil"/>
              <w:left w:val="nil"/>
              <w:bottom w:val="nil"/>
              <w:right w:val="nil"/>
            </w:tcBorders>
          </w:tcPr>
          <w:p>
            <w:pPr>
              <w:pStyle w:val="0"/>
              <w:jc w:val="center"/>
            </w:pPr>
            <w:r>
              <w:rPr>
                <w:sz w:val="20"/>
              </w:rPr>
              <w:t xml:space="preserve">3,7</w:t>
            </w:r>
          </w:p>
        </w:tc>
        <w:tc>
          <w:tcPr>
            <w:tcW w:w="1020" w:type="dxa"/>
            <w:vAlign w:val="center"/>
            <w:tcBorders>
              <w:top w:val="nil"/>
              <w:left w:val="nil"/>
              <w:bottom w:val="nil"/>
              <w:right w:val="nil"/>
            </w:tcBorders>
          </w:tcPr>
          <w:p>
            <w:pPr>
              <w:pStyle w:val="0"/>
              <w:jc w:val="center"/>
            </w:pPr>
            <w:r>
              <w:rPr>
                <w:sz w:val="20"/>
              </w:rPr>
              <w:t xml:space="preserve">3,7</w:t>
            </w:r>
          </w:p>
        </w:tc>
        <w:tc>
          <w:tcPr>
            <w:tcW w:w="1020" w:type="dxa"/>
            <w:vAlign w:val="center"/>
            <w:tcBorders>
              <w:top w:val="nil"/>
              <w:left w:val="nil"/>
              <w:bottom w:val="nil"/>
              <w:right w:val="nil"/>
            </w:tcBorders>
          </w:tcPr>
          <w:p>
            <w:pPr>
              <w:pStyle w:val="0"/>
              <w:jc w:val="center"/>
            </w:pPr>
            <w:r>
              <w:rPr>
                <w:sz w:val="20"/>
              </w:rPr>
              <w:t xml:space="preserve">4,5</w:t>
            </w:r>
          </w:p>
        </w:tc>
        <w:tc>
          <w:tcPr>
            <w:tcW w:w="1020" w:type="dxa"/>
            <w:vAlign w:val="center"/>
            <w:tcBorders>
              <w:top w:val="nil"/>
              <w:left w:val="nil"/>
              <w:bottom w:val="nil"/>
              <w:right w:val="nil"/>
            </w:tcBorders>
          </w:tcPr>
          <w:p>
            <w:pPr>
              <w:pStyle w:val="0"/>
              <w:jc w:val="center"/>
            </w:pPr>
            <w:r>
              <w:rPr>
                <w:sz w:val="20"/>
              </w:rPr>
              <w:t xml:space="preserve">5,2</w:t>
            </w:r>
          </w:p>
        </w:tc>
      </w:tr>
      <w:tr>
        <w:tc>
          <w:tcPr>
            <w:tcW w:w="2154" w:type="dxa"/>
            <w:tcBorders>
              <w:top w:val="nil"/>
              <w:left w:val="nil"/>
              <w:bottom w:val="nil"/>
              <w:right w:val="nil"/>
            </w:tcBorders>
          </w:tcPr>
          <w:p>
            <w:pPr>
              <w:pStyle w:val="0"/>
            </w:pPr>
            <w:r>
              <w:rPr>
                <w:sz w:val="20"/>
              </w:rPr>
              <w:t xml:space="preserve">иные финансовые активы</w:t>
            </w:r>
          </w:p>
        </w:tc>
        <w:tc>
          <w:tcPr>
            <w:tcW w:w="1020" w:type="dxa"/>
            <w:vAlign w:val="center"/>
            <w:tcBorders>
              <w:top w:val="nil"/>
              <w:left w:val="nil"/>
              <w:bottom w:val="nil"/>
              <w:right w:val="nil"/>
            </w:tcBorders>
          </w:tcPr>
          <w:p>
            <w:pPr>
              <w:pStyle w:val="0"/>
              <w:jc w:val="center"/>
            </w:pPr>
            <w:r>
              <w:rPr>
                <w:sz w:val="20"/>
              </w:rPr>
              <w:t xml:space="preserve">1 635,3</w:t>
            </w:r>
          </w:p>
        </w:tc>
        <w:tc>
          <w:tcPr>
            <w:tcW w:w="1020" w:type="dxa"/>
            <w:vAlign w:val="center"/>
            <w:tcBorders>
              <w:top w:val="nil"/>
              <w:left w:val="nil"/>
              <w:bottom w:val="nil"/>
              <w:right w:val="nil"/>
            </w:tcBorders>
          </w:tcPr>
          <w:p>
            <w:pPr>
              <w:pStyle w:val="0"/>
              <w:jc w:val="center"/>
            </w:pPr>
            <w:r>
              <w:rPr>
                <w:sz w:val="20"/>
              </w:rPr>
              <w:t xml:space="preserve">4 887,8</w:t>
            </w:r>
          </w:p>
        </w:tc>
        <w:tc>
          <w:tcPr>
            <w:tcW w:w="1020" w:type="dxa"/>
            <w:vAlign w:val="center"/>
            <w:tcBorders>
              <w:top w:val="nil"/>
              <w:left w:val="nil"/>
              <w:bottom w:val="nil"/>
              <w:right w:val="nil"/>
            </w:tcBorders>
          </w:tcPr>
          <w:p>
            <w:pPr>
              <w:pStyle w:val="0"/>
              <w:jc w:val="center"/>
            </w:pPr>
            <w:r>
              <w:rPr>
                <w:sz w:val="20"/>
              </w:rPr>
              <w:t xml:space="preserve">5 132,8</w:t>
            </w:r>
          </w:p>
        </w:tc>
        <w:tc>
          <w:tcPr>
            <w:tcW w:w="1191" w:type="dxa"/>
            <w:vAlign w:val="center"/>
            <w:tcBorders>
              <w:top w:val="nil"/>
              <w:left w:val="nil"/>
              <w:bottom w:val="nil"/>
              <w:right w:val="nil"/>
            </w:tcBorders>
          </w:tcPr>
          <w:p>
            <w:pPr>
              <w:pStyle w:val="0"/>
              <w:jc w:val="center"/>
            </w:pPr>
            <w:r>
              <w:rPr>
                <w:sz w:val="20"/>
              </w:rPr>
              <w:t xml:space="preserve">4 301,9</w:t>
            </w:r>
          </w:p>
        </w:tc>
        <w:tc>
          <w:tcPr>
            <w:tcW w:w="1247" w:type="dxa"/>
            <w:vAlign w:val="center"/>
            <w:tcBorders>
              <w:top w:val="nil"/>
              <w:left w:val="nil"/>
              <w:bottom w:val="nil"/>
              <w:right w:val="nil"/>
            </w:tcBorders>
          </w:tcPr>
          <w:p>
            <w:pPr>
              <w:pStyle w:val="0"/>
              <w:jc w:val="center"/>
            </w:pPr>
            <w:r>
              <w:rPr>
                <w:sz w:val="20"/>
              </w:rPr>
              <w:t xml:space="preserve">6 326,4</w:t>
            </w:r>
          </w:p>
        </w:tc>
        <w:tc>
          <w:tcPr>
            <w:tcW w:w="1020" w:type="dxa"/>
            <w:vAlign w:val="center"/>
            <w:tcBorders>
              <w:top w:val="nil"/>
              <w:left w:val="nil"/>
              <w:bottom w:val="nil"/>
              <w:right w:val="nil"/>
            </w:tcBorders>
          </w:tcPr>
          <w:p>
            <w:pPr>
              <w:pStyle w:val="0"/>
              <w:jc w:val="center"/>
            </w:pPr>
            <w:r>
              <w:rPr>
                <w:sz w:val="20"/>
              </w:rPr>
              <w:t xml:space="preserve">6 285,6</w:t>
            </w:r>
          </w:p>
        </w:tc>
        <w:tc>
          <w:tcPr>
            <w:tcW w:w="1020" w:type="dxa"/>
            <w:vAlign w:val="center"/>
            <w:tcBorders>
              <w:top w:val="nil"/>
              <w:left w:val="nil"/>
              <w:bottom w:val="nil"/>
              <w:right w:val="nil"/>
            </w:tcBorders>
          </w:tcPr>
          <w:p>
            <w:pPr>
              <w:pStyle w:val="0"/>
              <w:jc w:val="center"/>
            </w:pPr>
            <w:r>
              <w:rPr>
                <w:sz w:val="20"/>
              </w:rPr>
              <w:t xml:space="preserve">6 246,6</w:t>
            </w:r>
          </w:p>
        </w:tc>
        <w:tc>
          <w:tcPr>
            <w:tcW w:w="1020" w:type="dxa"/>
            <w:vAlign w:val="center"/>
            <w:tcBorders>
              <w:top w:val="nil"/>
              <w:left w:val="nil"/>
              <w:bottom w:val="nil"/>
              <w:right w:val="nil"/>
            </w:tcBorders>
          </w:tcPr>
          <w:p>
            <w:pPr>
              <w:pStyle w:val="0"/>
              <w:jc w:val="center"/>
            </w:pPr>
            <w:r>
              <w:rPr>
                <w:sz w:val="20"/>
              </w:rPr>
              <w:t xml:space="preserve">6 216,4</w:t>
            </w:r>
          </w:p>
          <w:p>
            <w:pPr>
              <w:pStyle w:val="0"/>
              <w:jc w:val="center"/>
            </w:pPr>
            <w:r>
              <w:rPr>
                <w:sz w:val="20"/>
              </w:rPr>
              <w:t xml:space="preserve">(9 411,8) </w:t>
            </w:r>
            <w:hyperlink w:history="0" w:anchor="P2034" w:tooltip="&lt;***&gt; с учетом финансирования новых инфраструктурных проектов в объеме до 3,2 трлн руб.">
              <w:r>
                <w:rPr>
                  <w:sz w:val="20"/>
                  <w:color w:val="0000ff"/>
                </w:rPr>
                <w:t xml:space="preserve">&lt;***&gt;</w:t>
              </w:r>
            </w:hyperlink>
          </w:p>
        </w:tc>
      </w:tr>
      <w:tr>
        <w:tc>
          <w:tcPr>
            <w:tcW w:w="2154" w:type="dxa"/>
            <w:tcBorders>
              <w:top w:val="nil"/>
              <w:left w:val="nil"/>
              <w:bottom w:val="single" w:sz="4"/>
              <w:right w:val="nil"/>
            </w:tcBorders>
          </w:tcPr>
          <w:p>
            <w:pPr>
              <w:pStyle w:val="0"/>
            </w:pPr>
            <w:r>
              <w:rPr>
                <w:sz w:val="20"/>
              </w:rPr>
              <w:t xml:space="preserve">%% ВВП</w:t>
            </w:r>
          </w:p>
        </w:tc>
        <w:tc>
          <w:tcPr>
            <w:tcW w:w="1020" w:type="dxa"/>
            <w:vAlign w:val="center"/>
            <w:tcBorders>
              <w:top w:val="nil"/>
              <w:left w:val="nil"/>
              <w:bottom w:val="single" w:sz="4"/>
              <w:right w:val="nil"/>
            </w:tcBorders>
          </w:tcPr>
          <w:p>
            <w:pPr>
              <w:pStyle w:val="0"/>
              <w:jc w:val="center"/>
            </w:pPr>
            <w:r>
              <w:rPr>
                <w:sz w:val="20"/>
              </w:rPr>
              <w:t xml:space="preserve">1,5</w:t>
            </w:r>
          </w:p>
        </w:tc>
        <w:tc>
          <w:tcPr>
            <w:tcW w:w="1020" w:type="dxa"/>
            <w:vAlign w:val="center"/>
            <w:tcBorders>
              <w:top w:val="nil"/>
              <w:left w:val="nil"/>
              <w:bottom w:val="single" w:sz="4"/>
              <w:right w:val="nil"/>
            </w:tcBorders>
          </w:tcPr>
          <w:p>
            <w:pPr>
              <w:pStyle w:val="0"/>
              <w:jc w:val="center"/>
            </w:pPr>
            <w:r>
              <w:rPr>
                <w:sz w:val="20"/>
              </w:rPr>
              <w:t xml:space="preserve">4,6</w:t>
            </w:r>
          </w:p>
        </w:tc>
        <w:tc>
          <w:tcPr>
            <w:tcW w:w="1020" w:type="dxa"/>
            <w:vAlign w:val="center"/>
            <w:tcBorders>
              <w:top w:val="nil"/>
              <w:left w:val="nil"/>
              <w:bottom w:val="single" w:sz="4"/>
              <w:right w:val="nil"/>
            </w:tcBorders>
          </w:tcPr>
          <w:p>
            <w:pPr>
              <w:pStyle w:val="0"/>
              <w:jc w:val="center"/>
            </w:pPr>
            <w:r>
              <w:rPr>
                <w:sz w:val="20"/>
              </w:rPr>
              <w:t xml:space="preserve">3,9</w:t>
            </w:r>
          </w:p>
        </w:tc>
        <w:tc>
          <w:tcPr>
            <w:tcW w:w="1191" w:type="dxa"/>
            <w:vAlign w:val="center"/>
            <w:tcBorders>
              <w:top w:val="nil"/>
              <w:left w:val="nil"/>
              <w:bottom w:val="single" w:sz="4"/>
              <w:right w:val="nil"/>
            </w:tcBorders>
          </w:tcPr>
          <w:p>
            <w:pPr>
              <w:pStyle w:val="0"/>
              <w:jc w:val="center"/>
            </w:pPr>
            <w:r>
              <w:rPr>
                <w:sz w:val="20"/>
              </w:rPr>
              <w:t xml:space="preserve">2,8</w:t>
            </w:r>
          </w:p>
        </w:tc>
        <w:tc>
          <w:tcPr>
            <w:tcW w:w="1247" w:type="dxa"/>
            <w:vAlign w:val="center"/>
            <w:tcBorders>
              <w:top w:val="nil"/>
              <w:left w:val="nil"/>
              <w:bottom w:val="single" w:sz="4"/>
              <w:right w:val="nil"/>
            </w:tcBorders>
          </w:tcPr>
          <w:p>
            <w:pPr>
              <w:pStyle w:val="0"/>
              <w:jc w:val="center"/>
            </w:pPr>
            <w:r>
              <w:rPr>
                <w:sz w:val="20"/>
              </w:rPr>
              <w:t xml:space="preserve">3,8</w:t>
            </w:r>
          </w:p>
        </w:tc>
        <w:tc>
          <w:tcPr>
            <w:tcW w:w="1020" w:type="dxa"/>
            <w:vAlign w:val="center"/>
            <w:tcBorders>
              <w:top w:val="nil"/>
              <w:left w:val="nil"/>
              <w:bottom w:val="single" w:sz="4"/>
              <w:right w:val="nil"/>
            </w:tcBorders>
          </w:tcPr>
          <w:p>
            <w:pPr>
              <w:pStyle w:val="0"/>
              <w:jc w:val="center"/>
            </w:pPr>
            <w:r>
              <w:rPr>
                <w:sz w:val="20"/>
              </w:rPr>
              <w:t xml:space="preserve">3,5</w:t>
            </w:r>
          </w:p>
        </w:tc>
        <w:tc>
          <w:tcPr>
            <w:tcW w:w="1020" w:type="dxa"/>
            <w:vAlign w:val="center"/>
            <w:tcBorders>
              <w:top w:val="nil"/>
              <w:left w:val="nil"/>
              <w:bottom w:val="single" w:sz="4"/>
              <w:right w:val="nil"/>
            </w:tcBorders>
          </w:tcPr>
          <w:p>
            <w:pPr>
              <w:pStyle w:val="0"/>
              <w:jc w:val="center"/>
            </w:pPr>
            <w:r>
              <w:rPr>
                <w:sz w:val="20"/>
              </w:rPr>
              <w:t xml:space="preserve">3,3</w:t>
            </w:r>
          </w:p>
        </w:tc>
        <w:tc>
          <w:tcPr>
            <w:tcW w:w="1020" w:type="dxa"/>
            <w:vAlign w:val="center"/>
            <w:tcBorders>
              <w:top w:val="nil"/>
              <w:left w:val="nil"/>
              <w:bottom w:val="single" w:sz="4"/>
              <w:right w:val="nil"/>
            </w:tcBorders>
          </w:tcPr>
          <w:p>
            <w:pPr>
              <w:pStyle w:val="0"/>
              <w:jc w:val="center"/>
            </w:pPr>
            <w:r>
              <w:rPr>
                <w:sz w:val="20"/>
              </w:rPr>
              <w:t xml:space="preserve">3,1</w:t>
            </w:r>
          </w:p>
        </w:tc>
      </w:tr>
    </w:tbl>
    <w:p>
      <w:pPr>
        <w:pStyle w:val="0"/>
        <w:jc w:val="both"/>
      </w:pPr>
      <w:r>
        <w:rPr>
          <w:sz w:val="20"/>
        </w:rPr>
      </w:r>
    </w:p>
    <w:p>
      <w:pPr>
        <w:pStyle w:val="0"/>
        <w:ind w:firstLine="540"/>
        <w:jc w:val="both"/>
      </w:pPr>
      <w:r>
        <w:rPr>
          <w:sz w:val="20"/>
        </w:rPr>
        <w:t xml:space="preserve">--------------------------------</w:t>
      </w:r>
    </w:p>
    <w:bookmarkStart w:id="2032" w:name="P2032"/>
    <w:bookmarkEnd w:id="2032"/>
    <w:p>
      <w:pPr>
        <w:pStyle w:val="0"/>
        <w:spacing w:before="200" w:line-rule="auto"/>
        <w:ind w:firstLine="540"/>
        <w:jc w:val="both"/>
      </w:pPr>
      <w:r>
        <w:rPr>
          <w:sz w:val="20"/>
        </w:rPr>
        <w:t xml:space="preserve">&lt;*&gt; оценка;</w:t>
      </w:r>
    </w:p>
    <w:bookmarkStart w:id="2033" w:name="P2033"/>
    <w:bookmarkEnd w:id="2033"/>
    <w:p>
      <w:pPr>
        <w:pStyle w:val="0"/>
        <w:spacing w:before="200" w:line-rule="auto"/>
        <w:ind w:firstLine="540"/>
        <w:jc w:val="both"/>
      </w:pPr>
      <w:r>
        <w:rPr>
          <w:sz w:val="20"/>
        </w:rPr>
        <w:t xml:space="preserve">&lt;**&gt; в т.ч. резерв на новые инфраструктурные проекты и антикризисные инвестиции;</w:t>
      </w:r>
    </w:p>
    <w:bookmarkStart w:id="2034" w:name="P2034"/>
    <w:bookmarkEnd w:id="2034"/>
    <w:p>
      <w:pPr>
        <w:pStyle w:val="0"/>
        <w:spacing w:before="200" w:line-rule="auto"/>
        <w:ind w:firstLine="540"/>
        <w:jc w:val="both"/>
      </w:pPr>
      <w:r>
        <w:rPr>
          <w:sz w:val="20"/>
        </w:rPr>
        <w:t xml:space="preserve">&lt;***&gt; с учетом финансирования новых инфраструктурных проектов в объеме до 3,2 трлн руб.</w:t>
      </w:r>
    </w:p>
    <w:p>
      <w:pPr>
        <w:pStyle w:val="0"/>
        <w:jc w:val="both"/>
      </w:pPr>
      <w:r>
        <w:rPr>
          <w:sz w:val="20"/>
        </w:rPr>
      </w:r>
    </w:p>
    <w:p>
      <w:pPr>
        <w:pStyle w:val="2"/>
        <w:outlineLvl w:val="2"/>
        <w:ind w:firstLine="540"/>
        <w:jc w:val="both"/>
      </w:pPr>
      <w:r>
        <w:rPr>
          <w:sz w:val="20"/>
        </w:rPr>
        <w:t xml:space="preserve">4.2. БЮДЖЕТЫ СУБЪЕКТОВ РФ</w:t>
      </w:r>
    </w:p>
    <w:p>
      <w:pPr>
        <w:pStyle w:val="0"/>
        <w:jc w:val="both"/>
      </w:pPr>
      <w:r>
        <w:rPr>
          <w:sz w:val="20"/>
        </w:rPr>
      </w:r>
    </w:p>
    <w:p>
      <w:pPr>
        <w:pStyle w:val="0"/>
        <w:ind w:firstLine="540"/>
        <w:jc w:val="both"/>
      </w:pPr>
      <w:r>
        <w:rPr>
          <w:sz w:val="20"/>
        </w:rPr>
        <w:t xml:space="preserve">Параметры консолидированных бюджетов субъектов на 2024 - 2026 гг. будут определяться с учетом роста собственной доходной базы регионов и продолжения оказания финансовой поддержки, ориентированной на достижение национальных целей развития.</w:t>
      </w:r>
    </w:p>
    <w:p>
      <w:pPr>
        <w:pStyle w:val="0"/>
        <w:jc w:val="both"/>
      </w:pPr>
      <w:r>
        <w:rPr>
          <w:sz w:val="20"/>
        </w:rPr>
      </w:r>
    </w:p>
    <w:p>
      <w:pPr>
        <w:pStyle w:val="0"/>
        <w:ind w:firstLine="540"/>
        <w:jc w:val="both"/>
      </w:pPr>
      <w:r>
        <w:rPr>
          <w:sz w:val="20"/>
        </w:rPr>
        <w:t xml:space="preserve">Таблица 4.2.1. Основные параметры бюджетов субъектов РФ в 2019 - 2026 гг.</w:t>
      </w:r>
    </w:p>
    <w:p>
      <w:pPr>
        <w:pStyle w:val="0"/>
        <w:jc w:val="both"/>
      </w:pPr>
      <w:r>
        <w:rPr>
          <w:sz w:val="20"/>
        </w:rPr>
      </w:r>
    </w:p>
    <w:p>
      <w:pPr>
        <w:pStyle w:val="0"/>
        <w:jc w:val="right"/>
      </w:pPr>
      <w:r>
        <w:rPr>
          <w:sz w:val="20"/>
        </w:rPr>
        <w:t xml:space="preserve">млрд рублей</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2154"/>
        <w:gridCol w:w="1020"/>
        <w:gridCol w:w="1020"/>
        <w:gridCol w:w="1020"/>
        <w:gridCol w:w="1191"/>
        <w:gridCol w:w="1247"/>
        <w:gridCol w:w="1020"/>
        <w:gridCol w:w="1020"/>
        <w:gridCol w:w="1020"/>
      </w:tblGrid>
      <w:tr>
        <w:tblPrEx>
          <w:tblBorders>
            <w:insideH w:val="single" w:sz="4"/>
          </w:tblBorders>
        </w:tblPrEx>
        <w:tc>
          <w:tcPr>
            <w:tcW w:w="2154" w:type="dxa"/>
            <w:tcBorders>
              <w:top w:val="single" w:sz="4"/>
              <w:left w:val="nil"/>
              <w:bottom w:val="single" w:sz="4"/>
              <w:right w:val="nil"/>
            </w:tcBorders>
          </w:tcPr>
          <w:p>
            <w:pPr>
              <w:pStyle w:val="0"/>
              <w:jc w:val="center"/>
            </w:pPr>
            <w:r>
              <w:rPr>
                <w:sz w:val="20"/>
              </w:rPr>
              <w:t xml:space="preserve">Показатель</w:t>
            </w:r>
          </w:p>
        </w:tc>
        <w:tc>
          <w:tcPr>
            <w:tcW w:w="1020" w:type="dxa"/>
            <w:tcBorders>
              <w:top w:val="single" w:sz="4"/>
              <w:left w:val="nil"/>
              <w:bottom w:val="single" w:sz="4"/>
              <w:right w:val="nil"/>
            </w:tcBorders>
          </w:tcPr>
          <w:p>
            <w:pPr>
              <w:pStyle w:val="0"/>
              <w:jc w:val="center"/>
            </w:pPr>
            <w:r>
              <w:rPr>
                <w:sz w:val="20"/>
              </w:rPr>
              <w:t xml:space="preserve">2019 </w:t>
            </w:r>
            <w:hyperlink w:history="0" w:anchor="P2135" w:tooltip="&lt;*&gt; с учетом исполнения бюджета г. Байконур;">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2020 </w:t>
            </w:r>
            <w:hyperlink w:history="0" w:anchor="P2135" w:tooltip="&lt;*&gt; с учетом исполнения бюджета г. Байконур;">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2021 </w:t>
            </w:r>
            <w:hyperlink w:history="0" w:anchor="P2135" w:tooltip="&lt;*&gt; с учетом исполнения бюджета г. Байконур;">
              <w:r>
                <w:rPr>
                  <w:sz w:val="20"/>
                  <w:color w:val="0000ff"/>
                </w:rPr>
                <w:t xml:space="preserve">&lt;*&gt;</w:t>
              </w:r>
            </w:hyperlink>
          </w:p>
        </w:tc>
        <w:tc>
          <w:tcPr>
            <w:tcW w:w="1191" w:type="dxa"/>
            <w:tcBorders>
              <w:top w:val="single" w:sz="4"/>
              <w:left w:val="nil"/>
              <w:bottom w:val="single" w:sz="4"/>
              <w:right w:val="nil"/>
            </w:tcBorders>
          </w:tcPr>
          <w:p>
            <w:pPr>
              <w:pStyle w:val="0"/>
              <w:jc w:val="center"/>
            </w:pPr>
            <w:r>
              <w:rPr>
                <w:sz w:val="20"/>
              </w:rPr>
              <w:t xml:space="preserve">2022 </w:t>
            </w:r>
            <w:hyperlink w:history="0" w:anchor="P2135" w:tooltip="&lt;*&gt; с учетом исполнения бюджета г. Байконур;">
              <w:r>
                <w:rPr>
                  <w:sz w:val="20"/>
                  <w:color w:val="0000ff"/>
                </w:rPr>
                <w:t xml:space="preserve">&lt;*&gt;</w:t>
              </w:r>
            </w:hyperlink>
          </w:p>
        </w:tc>
        <w:tc>
          <w:tcPr>
            <w:tcW w:w="1247" w:type="dxa"/>
            <w:tcBorders>
              <w:top w:val="single" w:sz="4"/>
              <w:left w:val="nil"/>
              <w:bottom w:val="single" w:sz="4"/>
              <w:right w:val="nil"/>
            </w:tcBorders>
          </w:tcPr>
          <w:p>
            <w:pPr>
              <w:pStyle w:val="0"/>
              <w:jc w:val="center"/>
            </w:pPr>
            <w:r>
              <w:rPr>
                <w:sz w:val="20"/>
              </w:rPr>
              <w:t xml:space="preserve">2023 </w:t>
            </w:r>
            <w:hyperlink w:history="0" w:anchor="P2136" w:tooltip="&lt;**&gt; с учетом сводной бюджетной росписи федерального бюджета на 1 сентября 2023 г.;">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2024</w:t>
            </w:r>
          </w:p>
        </w:tc>
        <w:tc>
          <w:tcPr>
            <w:tcW w:w="1020" w:type="dxa"/>
            <w:tcBorders>
              <w:top w:val="single" w:sz="4"/>
              <w:left w:val="nil"/>
              <w:bottom w:val="single" w:sz="4"/>
              <w:right w:val="nil"/>
            </w:tcBorders>
          </w:tcPr>
          <w:p>
            <w:pPr>
              <w:pStyle w:val="0"/>
              <w:jc w:val="center"/>
            </w:pPr>
            <w:r>
              <w:rPr>
                <w:sz w:val="20"/>
              </w:rPr>
              <w:t xml:space="preserve">2025</w:t>
            </w:r>
          </w:p>
        </w:tc>
        <w:tc>
          <w:tcPr>
            <w:tcW w:w="1020" w:type="dxa"/>
            <w:tcBorders>
              <w:top w:val="single" w:sz="4"/>
              <w:left w:val="nil"/>
              <w:bottom w:val="single" w:sz="4"/>
              <w:right w:val="nil"/>
            </w:tcBorders>
          </w:tcPr>
          <w:p>
            <w:pPr>
              <w:pStyle w:val="0"/>
              <w:jc w:val="center"/>
            </w:pPr>
            <w:r>
              <w:rPr>
                <w:sz w:val="20"/>
              </w:rPr>
              <w:t xml:space="preserve">2026</w:t>
            </w:r>
          </w:p>
        </w:tc>
      </w:tr>
      <w:tr>
        <w:tc>
          <w:tcPr>
            <w:tcW w:w="2154" w:type="dxa"/>
            <w:tcBorders>
              <w:top w:val="single" w:sz="4"/>
              <w:left w:val="nil"/>
              <w:bottom w:val="nil"/>
              <w:right w:val="nil"/>
            </w:tcBorders>
          </w:tcPr>
          <w:p>
            <w:pPr>
              <w:pStyle w:val="0"/>
            </w:pPr>
            <w:r>
              <w:rPr>
                <w:sz w:val="20"/>
              </w:rPr>
              <w:t xml:space="preserve">Доходы</w:t>
            </w:r>
          </w:p>
        </w:tc>
        <w:tc>
          <w:tcPr>
            <w:tcW w:w="1020" w:type="dxa"/>
            <w:vAlign w:val="center"/>
            <w:tcBorders>
              <w:top w:val="single" w:sz="4"/>
              <w:left w:val="nil"/>
              <w:bottom w:val="nil"/>
              <w:right w:val="nil"/>
            </w:tcBorders>
          </w:tcPr>
          <w:p>
            <w:pPr>
              <w:pStyle w:val="0"/>
              <w:jc w:val="center"/>
            </w:pPr>
            <w:r>
              <w:rPr>
                <w:sz w:val="20"/>
              </w:rPr>
              <w:t xml:space="preserve">13 572,3</w:t>
            </w:r>
          </w:p>
        </w:tc>
        <w:tc>
          <w:tcPr>
            <w:tcW w:w="1020" w:type="dxa"/>
            <w:vAlign w:val="center"/>
            <w:tcBorders>
              <w:top w:val="single" w:sz="4"/>
              <w:left w:val="nil"/>
              <w:bottom w:val="nil"/>
              <w:right w:val="nil"/>
            </w:tcBorders>
          </w:tcPr>
          <w:p>
            <w:pPr>
              <w:pStyle w:val="0"/>
              <w:jc w:val="center"/>
            </w:pPr>
            <w:r>
              <w:rPr>
                <w:sz w:val="20"/>
              </w:rPr>
              <w:t xml:space="preserve">14 901,2</w:t>
            </w:r>
          </w:p>
        </w:tc>
        <w:tc>
          <w:tcPr>
            <w:tcW w:w="1020" w:type="dxa"/>
            <w:vAlign w:val="center"/>
            <w:tcBorders>
              <w:top w:val="single" w:sz="4"/>
              <w:left w:val="nil"/>
              <w:bottom w:val="nil"/>
              <w:right w:val="nil"/>
            </w:tcBorders>
          </w:tcPr>
          <w:p>
            <w:pPr>
              <w:pStyle w:val="0"/>
              <w:jc w:val="center"/>
            </w:pPr>
            <w:r>
              <w:rPr>
                <w:sz w:val="20"/>
              </w:rPr>
              <w:t xml:space="preserve">17 546,3</w:t>
            </w:r>
          </w:p>
        </w:tc>
        <w:tc>
          <w:tcPr>
            <w:tcW w:w="1191" w:type="dxa"/>
            <w:vAlign w:val="center"/>
            <w:tcBorders>
              <w:top w:val="single" w:sz="4"/>
              <w:left w:val="nil"/>
              <w:bottom w:val="nil"/>
              <w:right w:val="nil"/>
            </w:tcBorders>
          </w:tcPr>
          <w:p>
            <w:pPr>
              <w:pStyle w:val="0"/>
              <w:jc w:val="center"/>
            </w:pPr>
            <w:r>
              <w:rPr>
                <w:sz w:val="20"/>
              </w:rPr>
              <w:t xml:space="preserve">19 676,9</w:t>
            </w:r>
          </w:p>
        </w:tc>
        <w:tc>
          <w:tcPr>
            <w:tcW w:w="1247" w:type="dxa"/>
            <w:vAlign w:val="center"/>
            <w:tcBorders>
              <w:top w:val="single" w:sz="4"/>
              <w:left w:val="nil"/>
              <w:bottom w:val="nil"/>
              <w:right w:val="nil"/>
            </w:tcBorders>
          </w:tcPr>
          <w:p>
            <w:pPr>
              <w:pStyle w:val="0"/>
              <w:jc w:val="center"/>
            </w:pPr>
            <w:r>
              <w:rPr>
                <w:sz w:val="20"/>
              </w:rPr>
              <w:t xml:space="preserve">21 375,4</w:t>
            </w:r>
          </w:p>
        </w:tc>
        <w:tc>
          <w:tcPr>
            <w:tcW w:w="1020" w:type="dxa"/>
            <w:vAlign w:val="center"/>
            <w:tcBorders>
              <w:top w:val="single" w:sz="4"/>
              <w:left w:val="nil"/>
              <w:bottom w:val="nil"/>
              <w:right w:val="nil"/>
            </w:tcBorders>
          </w:tcPr>
          <w:p>
            <w:pPr>
              <w:pStyle w:val="0"/>
              <w:jc w:val="center"/>
            </w:pPr>
            <w:r>
              <w:rPr>
                <w:sz w:val="20"/>
              </w:rPr>
              <w:t xml:space="preserve">22 402,5</w:t>
            </w:r>
          </w:p>
        </w:tc>
        <w:tc>
          <w:tcPr>
            <w:tcW w:w="1020" w:type="dxa"/>
            <w:vAlign w:val="center"/>
            <w:tcBorders>
              <w:top w:val="single" w:sz="4"/>
              <w:left w:val="nil"/>
              <w:bottom w:val="nil"/>
              <w:right w:val="nil"/>
            </w:tcBorders>
          </w:tcPr>
          <w:p>
            <w:pPr>
              <w:pStyle w:val="0"/>
              <w:jc w:val="center"/>
            </w:pPr>
            <w:r>
              <w:rPr>
                <w:sz w:val="20"/>
              </w:rPr>
              <w:t xml:space="preserve">23 018,5</w:t>
            </w:r>
          </w:p>
        </w:tc>
        <w:tc>
          <w:tcPr>
            <w:tcW w:w="1020" w:type="dxa"/>
            <w:vAlign w:val="center"/>
            <w:tcBorders>
              <w:top w:val="single" w:sz="4"/>
              <w:left w:val="nil"/>
              <w:bottom w:val="nil"/>
              <w:right w:val="nil"/>
            </w:tcBorders>
          </w:tcPr>
          <w:p>
            <w:pPr>
              <w:pStyle w:val="0"/>
              <w:jc w:val="center"/>
            </w:pPr>
            <w:r>
              <w:rPr>
                <w:sz w:val="20"/>
              </w:rPr>
              <w:t xml:space="preserve">24 147,1</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12,4</w:t>
            </w:r>
          </w:p>
        </w:tc>
        <w:tc>
          <w:tcPr>
            <w:tcW w:w="1020" w:type="dxa"/>
            <w:vAlign w:val="center"/>
            <w:tcBorders>
              <w:top w:val="nil"/>
              <w:left w:val="nil"/>
              <w:bottom w:val="nil"/>
              <w:right w:val="nil"/>
            </w:tcBorders>
          </w:tcPr>
          <w:p>
            <w:pPr>
              <w:pStyle w:val="0"/>
              <w:jc w:val="center"/>
            </w:pPr>
            <w:r>
              <w:rPr>
                <w:sz w:val="20"/>
              </w:rPr>
              <w:t xml:space="preserve">13,8</w:t>
            </w:r>
          </w:p>
        </w:tc>
        <w:tc>
          <w:tcPr>
            <w:tcW w:w="1020" w:type="dxa"/>
            <w:vAlign w:val="center"/>
            <w:tcBorders>
              <w:top w:val="nil"/>
              <w:left w:val="nil"/>
              <w:bottom w:val="nil"/>
              <w:right w:val="nil"/>
            </w:tcBorders>
          </w:tcPr>
          <w:p>
            <w:pPr>
              <w:pStyle w:val="0"/>
              <w:jc w:val="center"/>
            </w:pPr>
            <w:r>
              <w:rPr>
                <w:sz w:val="20"/>
              </w:rPr>
              <w:t xml:space="preserve">13,0</w:t>
            </w:r>
          </w:p>
        </w:tc>
        <w:tc>
          <w:tcPr>
            <w:tcW w:w="1191" w:type="dxa"/>
            <w:vAlign w:val="center"/>
            <w:tcBorders>
              <w:top w:val="nil"/>
              <w:left w:val="nil"/>
              <w:bottom w:val="nil"/>
              <w:right w:val="nil"/>
            </w:tcBorders>
          </w:tcPr>
          <w:p>
            <w:pPr>
              <w:pStyle w:val="0"/>
              <w:jc w:val="center"/>
            </w:pPr>
            <w:r>
              <w:rPr>
                <w:sz w:val="20"/>
              </w:rPr>
              <w:t xml:space="preserve">12,8</w:t>
            </w:r>
          </w:p>
        </w:tc>
        <w:tc>
          <w:tcPr>
            <w:tcW w:w="1247" w:type="dxa"/>
            <w:vAlign w:val="center"/>
            <w:tcBorders>
              <w:top w:val="nil"/>
              <w:left w:val="nil"/>
              <w:bottom w:val="nil"/>
              <w:right w:val="nil"/>
            </w:tcBorders>
          </w:tcPr>
          <w:p>
            <w:pPr>
              <w:pStyle w:val="0"/>
              <w:jc w:val="center"/>
            </w:pPr>
            <w:r>
              <w:rPr>
                <w:sz w:val="20"/>
              </w:rPr>
              <w:t xml:space="preserve">12,9</w:t>
            </w:r>
          </w:p>
        </w:tc>
        <w:tc>
          <w:tcPr>
            <w:tcW w:w="1020" w:type="dxa"/>
            <w:vAlign w:val="center"/>
            <w:tcBorders>
              <w:top w:val="nil"/>
              <w:left w:val="nil"/>
              <w:bottom w:val="nil"/>
              <w:right w:val="nil"/>
            </w:tcBorders>
          </w:tcPr>
          <w:p>
            <w:pPr>
              <w:pStyle w:val="0"/>
              <w:jc w:val="center"/>
            </w:pPr>
            <w:r>
              <w:rPr>
                <w:sz w:val="20"/>
              </w:rPr>
              <w:t xml:space="preserve">12,4</w:t>
            </w:r>
          </w:p>
        </w:tc>
        <w:tc>
          <w:tcPr>
            <w:tcW w:w="1020" w:type="dxa"/>
            <w:vAlign w:val="center"/>
            <w:tcBorders>
              <w:top w:val="nil"/>
              <w:left w:val="nil"/>
              <w:bottom w:val="nil"/>
              <w:right w:val="nil"/>
            </w:tcBorders>
          </w:tcPr>
          <w:p>
            <w:pPr>
              <w:pStyle w:val="0"/>
              <w:jc w:val="center"/>
            </w:pPr>
            <w:r>
              <w:rPr>
                <w:sz w:val="20"/>
              </w:rPr>
              <w:t xml:space="preserve">12,1</w:t>
            </w:r>
          </w:p>
        </w:tc>
        <w:tc>
          <w:tcPr>
            <w:tcW w:w="1020" w:type="dxa"/>
            <w:vAlign w:val="center"/>
            <w:tcBorders>
              <w:top w:val="nil"/>
              <w:left w:val="nil"/>
              <w:bottom w:val="nil"/>
              <w:right w:val="nil"/>
            </w:tcBorders>
          </w:tcPr>
          <w:p>
            <w:pPr>
              <w:pStyle w:val="0"/>
              <w:jc w:val="center"/>
            </w:pPr>
            <w:r>
              <w:rPr>
                <w:sz w:val="20"/>
              </w:rPr>
              <w:t xml:space="preserve">11,9</w:t>
            </w:r>
          </w:p>
        </w:tc>
      </w:tr>
      <w:tr>
        <w:tc>
          <w:tcPr>
            <w:tcW w:w="2154" w:type="dxa"/>
            <w:tcBorders>
              <w:top w:val="nil"/>
              <w:left w:val="nil"/>
              <w:bottom w:val="nil"/>
              <w:right w:val="nil"/>
            </w:tcBorders>
          </w:tcPr>
          <w:p>
            <w:pPr>
              <w:pStyle w:val="0"/>
            </w:pPr>
            <w:r>
              <w:rPr>
                <w:sz w:val="20"/>
              </w:rPr>
              <w:t xml:space="preserve">Собственные доходы</w:t>
            </w:r>
          </w:p>
        </w:tc>
        <w:tc>
          <w:tcPr>
            <w:tcW w:w="1020" w:type="dxa"/>
            <w:vAlign w:val="center"/>
            <w:tcBorders>
              <w:top w:val="nil"/>
              <w:left w:val="nil"/>
              <w:bottom w:val="nil"/>
              <w:right w:val="nil"/>
            </w:tcBorders>
          </w:tcPr>
          <w:p>
            <w:pPr>
              <w:pStyle w:val="0"/>
              <w:jc w:val="center"/>
            </w:pPr>
            <w:r>
              <w:rPr>
                <w:sz w:val="20"/>
              </w:rPr>
              <w:t xml:space="preserve">11 185,2</w:t>
            </w:r>
          </w:p>
        </w:tc>
        <w:tc>
          <w:tcPr>
            <w:tcW w:w="1020" w:type="dxa"/>
            <w:vAlign w:val="center"/>
            <w:tcBorders>
              <w:top w:val="nil"/>
              <w:left w:val="nil"/>
              <w:bottom w:val="nil"/>
              <w:right w:val="nil"/>
            </w:tcBorders>
          </w:tcPr>
          <w:p>
            <w:pPr>
              <w:pStyle w:val="0"/>
              <w:jc w:val="center"/>
            </w:pPr>
            <w:r>
              <w:rPr>
                <w:sz w:val="20"/>
              </w:rPr>
              <w:t xml:space="preserve">11 202,8</w:t>
            </w:r>
          </w:p>
        </w:tc>
        <w:tc>
          <w:tcPr>
            <w:tcW w:w="1020" w:type="dxa"/>
            <w:vAlign w:val="center"/>
            <w:tcBorders>
              <w:top w:val="nil"/>
              <w:left w:val="nil"/>
              <w:bottom w:val="nil"/>
              <w:right w:val="nil"/>
            </w:tcBorders>
          </w:tcPr>
          <w:p>
            <w:pPr>
              <w:pStyle w:val="0"/>
              <w:jc w:val="center"/>
            </w:pPr>
            <w:r>
              <w:rPr>
                <w:sz w:val="20"/>
              </w:rPr>
              <w:t xml:space="preserve">13 919,1</w:t>
            </w:r>
          </w:p>
        </w:tc>
        <w:tc>
          <w:tcPr>
            <w:tcW w:w="1191" w:type="dxa"/>
            <w:vAlign w:val="center"/>
            <w:tcBorders>
              <w:top w:val="nil"/>
              <w:left w:val="nil"/>
              <w:bottom w:val="nil"/>
              <w:right w:val="nil"/>
            </w:tcBorders>
          </w:tcPr>
          <w:p>
            <w:pPr>
              <w:pStyle w:val="0"/>
              <w:jc w:val="center"/>
            </w:pPr>
            <w:r>
              <w:rPr>
                <w:sz w:val="20"/>
              </w:rPr>
              <w:t xml:space="preserve">15 842,3</w:t>
            </w:r>
          </w:p>
        </w:tc>
        <w:tc>
          <w:tcPr>
            <w:tcW w:w="1247" w:type="dxa"/>
            <w:vAlign w:val="center"/>
            <w:tcBorders>
              <w:top w:val="nil"/>
              <w:left w:val="nil"/>
              <w:bottom w:val="nil"/>
              <w:right w:val="nil"/>
            </w:tcBorders>
          </w:tcPr>
          <w:p>
            <w:pPr>
              <w:pStyle w:val="0"/>
              <w:jc w:val="center"/>
            </w:pPr>
            <w:r>
              <w:rPr>
                <w:sz w:val="20"/>
              </w:rPr>
              <w:t xml:space="preserve">17 525,6</w:t>
            </w:r>
          </w:p>
        </w:tc>
        <w:tc>
          <w:tcPr>
            <w:tcW w:w="1020" w:type="dxa"/>
            <w:vAlign w:val="center"/>
            <w:tcBorders>
              <w:top w:val="nil"/>
              <w:left w:val="nil"/>
              <w:bottom w:val="nil"/>
              <w:right w:val="nil"/>
            </w:tcBorders>
          </w:tcPr>
          <w:p>
            <w:pPr>
              <w:pStyle w:val="0"/>
              <w:jc w:val="center"/>
            </w:pPr>
            <w:r>
              <w:rPr>
                <w:sz w:val="20"/>
              </w:rPr>
              <w:t xml:space="preserve">19 178,9</w:t>
            </w:r>
          </w:p>
        </w:tc>
        <w:tc>
          <w:tcPr>
            <w:tcW w:w="1020" w:type="dxa"/>
            <w:vAlign w:val="center"/>
            <w:tcBorders>
              <w:top w:val="nil"/>
              <w:left w:val="nil"/>
              <w:bottom w:val="nil"/>
              <w:right w:val="nil"/>
            </w:tcBorders>
          </w:tcPr>
          <w:p>
            <w:pPr>
              <w:pStyle w:val="0"/>
              <w:jc w:val="center"/>
            </w:pPr>
            <w:r>
              <w:rPr>
                <w:sz w:val="20"/>
              </w:rPr>
              <w:t xml:space="preserve">20 215,6</w:t>
            </w:r>
          </w:p>
        </w:tc>
        <w:tc>
          <w:tcPr>
            <w:tcW w:w="1020" w:type="dxa"/>
            <w:vAlign w:val="center"/>
            <w:tcBorders>
              <w:top w:val="nil"/>
              <w:left w:val="nil"/>
              <w:bottom w:val="nil"/>
              <w:right w:val="nil"/>
            </w:tcBorders>
          </w:tcPr>
          <w:p>
            <w:pPr>
              <w:pStyle w:val="0"/>
              <w:jc w:val="center"/>
            </w:pPr>
            <w:r>
              <w:rPr>
                <w:sz w:val="20"/>
              </w:rPr>
              <w:t xml:space="preserve">21 358,3</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10,2</w:t>
            </w:r>
          </w:p>
        </w:tc>
        <w:tc>
          <w:tcPr>
            <w:tcW w:w="1020" w:type="dxa"/>
            <w:vAlign w:val="center"/>
            <w:tcBorders>
              <w:top w:val="nil"/>
              <w:left w:val="nil"/>
              <w:bottom w:val="nil"/>
              <w:right w:val="nil"/>
            </w:tcBorders>
          </w:tcPr>
          <w:p>
            <w:pPr>
              <w:pStyle w:val="0"/>
              <w:jc w:val="center"/>
            </w:pPr>
            <w:r>
              <w:rPr>
                <w:sz w:val="20"/>
              </w:rPr>
              <w:t xml:space="preserve">10,4</w:t>
            </w:r>
          </w:p>
        </w:tc>
        <w:tc>
          <w:tcPr>
            <w:tcW w:w="1020" w:type="dxa"/>
            <w:vAlign w:val="center"/>
            <w:tcBorders>
              <w:top w:val="nil"/>
              <w:left w:val="nil"/>
              <w:bottom w:val="nil"/>
              <w:right w:val="nil"/>
            </w:tcBorders>
          </w:tcPr>
          <w:p>
            <w:pPr>
              <w:pStyle w:val="0"/>
              <w:jc w:val="center"/>
            </w:pPr>
            <w:r>
              <w:rPr>
                <w:sz w:val="20"/>
              </w:rPr>
              <w:t xml:space="preserve">10,3</w:t>
            </w:r>
          </w:p>
        </w:tc>
        <w:tc>
          <w:tcPr>
            <w:tcW w:w="1191" w:type="dxa"/>
            <w:vAlign w:val="center"/>
            <w:tcBorders>
              <w:top w:val="nil"/>
              <w:left w:val="nil"/>
              <w:bottom w:val="nil"/>
              <w:right w:val="nil"/>
            </w:tcBorders>
          </w:tcPr>
          <w:p>
            <w:pPr>
              <w:pStyle w:val="0"/>
              <w:jc w:val="center"/>
            </w:pPr>
            <w:r>
              <w:rPr>
                <w:sz w:val="20"/>
              </w:rPr>
              <w:t xml:space="preserve">10,3</w:t>
            </w:r>
          </w:p>
        </w:tc>
        <w:tc>
          <w:tcPr>
            <w:tcW w:w="1247" w:type="dxa"/>
            <w:vAlign w:val="center"/>
            <w:tcBorders>
              <w:top w:val="nil"/>
              <w:left w:val="nil"/>
              <w:bottom w:val="nil"/>
              <w:right w:val="nil"/>
            </w:tcBorders>
          </w:tcPr>
          <w:p>
            <w:pPr>
              <w:pStyle w:val="0"/>
              <w:jc w:val="center"/>
            </w:pPr>
            <w:r>
              <w:rPr>
                <w:sz w:val="20"/>
              </w:rPr>
              <w:t xml:space="preserve">10,6</w:t>
            </w:r>
          </w:p>
        </w:tc>
        <w:tc>
          <w:tcPr>
            <w:tcW w:w="1020" w:type="dxa"/>
            <w:vAlign w:val="center"/>
            <w:tcBorders>
              <w:top w:val="nil"/>
              <w:left w:val="nil"/>
              <w:bottom w:val="nil"/>
              <w:right w:val="nil"/>
            </w:tcBorders>
          </w:tcPr>
          <w:p>
            <w:pPr>
              <w:pStyle w:val="0"/>
              <w:jc w:val="center"/>
            </w:pPr>
            <w:r>
              <w:rPr>
                <w:sz w:val="20"/>
              </w:rPr>
              <w:t xml:space="preserve">10,7</w:t>
            </w:r>
          </w:p>
        </w:tc>
        <w:tc>
          <w:tcPr>
            <w:tcW w:w="1020" w:type="dxa"/>
            <w:vAlign w:val="center"/>
            <w:tcBorders>
              <w:top w:val="nil"/>
              <w:left w:val="nil"/>
              <w:bottom w:val="nil"/>
              <w:right w:val="nil"/>
            </w:tcBorders>
          </w:tcPr>
          <w:p>
            <w:pPr>
              <w:pStyle w:val="0"/>
              <w:jc w:val="center"/>
            </w:pPr>
            <w:r>
              <w:rPr>
                <w:sz w:val="20"/>
              </w:rPr>
              <w:t xml:space="preserve">10,6</w:t>
            </w:r>
          </w:p>
        </w:tc>
        <w:tc>
          <w:tcPr>
            <w:tcW w:w="1020" w:type="dxa"/>
            <w:vAlign w:val="center"/>
            <w:tcBorders>
              <w:top w:val="nil"/>
              <w:left w:val="nil"/>
              <w:bottom w:val="nil"/>
              <w:right w:val="nil"/>
            </w:tcBorders>
          </w:tcPr>
          <w:p>
            <w:pPr>
              <w:pStyle w:val="0"/>
              <w:jc w:val="center"/>
            </w:pPr>
            <w:r>
              <w:rPr>
                <w:sz w:val="20"/>
              </w:rPr>
              <w:t xml:space="preserve">10,6</w:t>
            </w:r>
          </w:p>
        </w:tc>
      </w:tr>
      <w:tr>
        <w:tc>
          <w:tcPr>
            <w:tcW w:w="2154" w:type="dxa"/>
            <w:tcBorders>
              <w:top w:val="nil"/>
              <w:left w:val="nil"/>
              <w:bottom w:val="nil"/>
              <w:right w:val="nil"/>
            </w:tcBorders>
          </w:tcPr>
          <w:p>
            <w:pPr>
              <w:pStyle w:val="0"/>
            </w:pPr>
            <w:r>
              <w:rPr>
                <w:sz w:val="20"/>
              </w:rPr>
              <w:t xml:space="preserve">МБТ </w:t>
            </w:r>
            <w:hyperlink w:history="0" w:anchor="P2137" w:tooltip="&lt;***&gt; из федерального бюджета">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2 387,2</w:t>
            </w:r>
          </w:p>
        </w:tc>
        <w:tc>
          <w:tcPr>
            <w:tcW w:w="1020" w:type="dxa"/>
            <w:vAlign w:val="center"/>
            <w:tcBorders>
              <w:top w:val="nil"/>
              <w:left w:val="nil"/>
              <w:bottom w:val="nil"/>
              <w:right w:val="nil"/>
            </w:tcBorders>
          </w:tcPr>
          <w:p>
            <w:pPr>
              <w:pStyle w:val="0"/>
              <w:jc w:val="center"/>
            </w:pPr>
            <w:r>
              <w:rPr>
                <w:sz w:val="20"/>
              </w:rPr>
              <w:t xml:space="preserve">3 698,4</w:t>
            </w:r>
          </w:p>
        </w:tc>
        <w:tc>
          <w:tcPr>
            <w:tcW w:w="1020" w:type="dxa"/>
            <w:vAlign w:val="center"/>
            <w:tcBorders>
              <w:top w:val="nil"/>
              <w:left w:val="nil"/>
              <w:bottom w:val="nil"/>
              <w:right w:val="nil"/>
            </w:tcBorders>
          </w:tcPr>
          <w:p>
            <w:pPr>
              <w:pStyle w:val="0"/>
              <w:jc w:val="center"/>
            </w:pPr>
            <w:r>
              <w:rPr>
                <w:sz w:val="20"/>
              </w:rPr>
              <w:t xml:space="preserve">3 627,2</w:t>
            </w:r>
          </w:p>
        </w:tc>
        <w:tc>
          <w:tcPr>
            <w:tcW w:w="1191" w:type="dxa"/>
            <w:vAlign w:val="center"/>
            <w:tcBorders>
              <w:top w:val="nil"/>
              <w:left w:val="nil"/>
              <w:bottom w:val="nil"/>
              <w:right w:val="nil"/>
            </w:tcBorders>
          </w:tcPr>
          <w:p>
            <w:pPr>
              <w:pStyle w:val="0"/>
              <w:jc w:val="center"/>
            </w:pPr>
            <w:r>
              <w:rPr>
                <w:sz w:val="20"/>
              </w:rPr>
              <w:t xml:space="preserve">3 834,6</w:t>
            </w:r>
          </w:p>
        </w:tc>
        <w:tc>
          <w:tcPr>
            <w:tcW w:w="1247" w:type="dxa"/>
            <w:vAlign w:val="center"/>
            <w:tcBorders>
              <w:top w:val="nil"/>
              <w:left w:val="nil"/>
              <w:bottom w:val="nil"/>
              <w:right w:val="nil"/>
            </w:tcBorders>
          </w:tcPr>
          <w:p>
            <w:pPr>
              <w:pStyle w:val="0"/>
              <w:jc w:val="center"/>
            </w:pPr>
            <w:r>
              <w:rPr>
                <w:sz w:val="20"/>
              </w:rPr>
              <w:t xml:space="preserve">3 849,8</w:t>
            </w:r>
          </w:p>
        </w:tc>
        <w:tc>
          <w:tcPr>
            <w:tcW w:w="1020" w:type="dxa"/>
            <w:vAlign w:val="center"/>
            <w:tcBorders>
              <w:top w:val="nil"/>
              <w:left w:val="nil"/>
              <w:bottom w:val="nil"/>
              <w:right w:val="nil"/>
            </w:tcBorders>
          </w:tcPr>
          <w:p>
            <w:pPr>
              <w:pStyle w:val="0"/>
              <w:jc w:val="center"/>
            </w:pPr>
            <w:r>
              <w:rPr>
                <w:sz w:val="20"/>
              </w:rPr>
              <w:t xml:space="preserve">3 223,6</w:t>
            </w:r>
          </w:p>
        </w:tc>
        <w:tc>
          <w:tcPr>
            <w:tcW w:w="1020" w:type="dxa"/>
            <w:vAlign w:val="center"/>
            <w:tcBorders>
              <w:top w:val="nil"/>
              <w:left w:val="nil"/>
              <w:bottom w:val="nil"/>
              <w:right w:val="nil"/>
            </w:tcBorders>
          </w:tcPr>
          <w:p>
            <w:pPr>
              <w:pStyle w:val="0"/>
              <w:jc w:val="center"/>
            </w:pPr>
            <w:r>
              <w:rPr>
                <w:sz w:val="20"/>
              </w:rPr>
              <w:t xml:space="preserve">2 802,9</w:t>
            </w:r>
          </w:p>
        </w:tc>
        <w:tc>
          <w:tcPr>
            <w:tcW w:w="1020" w:type="dxa"/>
            <w:vAlign w:val="center"/>
            <w:tcBorders>
              <w:top w:val="nil"/>
              <w:left w:val="nil"/>
              <w:bottom w:val="nil"/>
              <w:right w:val="nil"/>
            </w:tcBorders>
          </w:tcPr>
          <w:p>
            <w:pPr>
              <w:pStyle w:val="0"/>
              <w:jc w:val="center"/>
            </w:pPr>
            <w:r>
              <w:rPr>
                <w:sz w:val="20"/>
              </w:rPr>
              <w:t xml:space="preserve">2 788,8</w:t>
            </w:r>
          </w:p>
        </w:tc>
      </w:tr>
      <w:tr>
        <w:tc>
          <w:tcPr>
            <w:tcW w:w="2154" w:type="dxa"/>
            <w:tcBorders>
              <w:top w:val="nil"/>
              <w:left w:val="nil"/>
              <w:bottom w:val="nil"/>
              <w:right w:val="nil"/>
            </w:tcBorders>
          </w:tcPr>
          <w:p>
            <w:pPr>
              <w:pStyle w:val="0"/>
            </w:pPr>
            <w:r>
              <w:rPr>
                <w:sz w:val="20"/>
              </w:rPr>
              <w:t xml:space="preserve">Расходы</w:t>
            </w:r>
          </w:p>
        </w:tc>
        <w:tc>
          <w:tcPr>
            <w:tcW w:w="1020" w:type="dxa"/>
            <w:vAlign w:val="center"/>
            <w:tcBorders>
              <w:top w:val="nil"/>
              <w:left w:val="nil"/>
              <w:bottom w:val="nil"/>
              <w:right w:val="nil"/>
            </w:tcBorders>
          </w:tcPr>
          <w:p>
            <w:pPr>
              <w:pStyle w:val="0"/>
              <w:jc w:val="center"/>
            </w:pPr>
            <w:r>
              <w:rPr>
                <w:sz w:val="20"/>
              </w:rPr>
              <w:t xml:space="preserve">13 567,6</w:t>
            </w:r>
          </w:p>
        </w:tc>
        <w:tc>
          <w:tcPr>
            <w:tcW w:w="1020" w:type="dxa"/>
            <w:vAlign w:val="center"/>
            <w:tcBorders>
              <w:top w:val="nil"/>
              <w:left w:val="nil"/>
              <w:bottom w:val="nil"/>
              <w:right w:val="nil"/>
            </w:tcBorders>
          </w:tcPr>
          <w:p>
            <w:pPr>
              <w:pStyle w:val="0"/>
              <w:jc w:val="center"/>
            </w:pPr>
            <w:r>
              <w:rPr>
                <w:sz w:val="20"/>
              </w:rPr>
              <w:t xml:space="preserve">15 577,7</w:t>
            </w:r>
          </w:p>
        </w:tc>
        <w:tc>
          <w:tcPr>
            <w:tcW w:w="1020" w:type="dxa"/>
            <w:vAlign w:val="center"/>
            <w:tcBorders>
              <w:top w:val="nil"/>
              <w:left w:val="nil"/>
              <w:bottom w:val="nil"/>
              <w:right w:val="nil"/>
            </w:tcBorders>
          </w:tcPr>
          <w:p>
            <w:pPr>
              <w:pStyle w:val="0"/>
              <w:jc w:val="center"/>
            </w:pPr>
            <w:r>
              <w:rPr>
                <w:sz w:val="20"/>
              </w:rPr>
              <w:t xml:space="preserve">16 885,5</w:t>
            </w:r>
          </w:p>
        </w:tc>
        <w:tc>
          <w:tcPr>
            <w:tcW w:w="1191" w:type="dxa"/>
            <w:vAlign w:val="center"/>
            <w:tcBorders>
              <w:top w:val="nil"/>
              <w:left w:val="nil"/>
              <w:bottom w:val="nil"/>
              <w:right w:val="nil"/>
            </w:tcBorders>
          </w:tcPr>
          <w:p>
            <w:pPr>
              <w:pStyle w:val="0"/>
              <w:jc w:val="center"/>
            </w:pPr>
            <w:r>
              <w:rPr>
                <w:sz w:val="20"/>
              </w:rPr>
              <w:t xml:space="preserve">19 626,3</w:t>
            </w:r>
          </w:p>
        </w:tc>
        <w:tc>
          <w:tcPr>
            <w:tcW w:w="1247" w:type="dxa"/>
            <w:vAlign w:val="center"/>
            <w:tcBorders>
              <w:top w:val="nil"/>
              <w:left w:val="nil"/>
              <w:bottom w:val="nil"/>
              <w:right w:val="nil"/>
            </w:tcBorders>
          </w:tcPr>
          <w:p>
            <w:pPr>
              <w:pStyle w:val="0"/>
              <w:jc w:val="center"/>
            </w:pPr>
            <w:r>
              <w:rPr>
                <w:sz w:val="20"/>
              </w:rPr>
              <w:t xml:space="preserve">21 459,9</w:t>
            </w:r>
          </w:p>
        </w:tc>
        <w:tc>
          <w:tcPr>
            <w:tcW w:w="1020" w:type="dxa"/>
            <w:vAlign w:val="center"/>
            <w:tcBorders>
              <w:top w:val="nil"/>
              <w:left w:val="nil"/>
              <w:bottom w:val="nil"/>
              <w:right w:val="nil"/>
            </w:tcBorders>
          </w:tcPr>
          <w:p>
            <w:pPr>
              <w:pStyle w:val="0"/>
              <w:jc w:val="center"/>
            </w:pPr>
            <w:r>
              <w:rPr>
                <w:sz w:val="20"/>
              </w:rPr>
              <w:t xml:space="preserve">22 445,6</w:t>
            </w:r>
          </w:p>
        </w:tc>
        <w:tc>
          <w:tcPr>
            <w:tcW w:w="1020" w:type="dxa"/>
            <w:vAlign w:val="center"/>
            <w:tcBorders>
              <w:top w:val="nil"/>
              <w:left w:val="nil"/>
              <w:bottom w:val="nil"/>
              <w:right w:val="nil"/>
            </w:tcBorders>
          </w:tcPr>
          <w:p>
            <w:pPr>
              <w:pStyle w:val="0"/>
              <w:jc w:val="center"/>
            </w:pPr>
            <w:r>
              <w:rPr>
                <w:sz w:val="20"/>
              </w:rPr>
              <w:t xml:space="preserve">23 048,0</w:t>
            </w:r>
          </w:p>
        </w:tc>
        <w:tc>
          <w:tcPr>
            <w:tcW w:w="1020" w:type="dxa"/>
            <w:vAlign w:val="center"/>
            <w:tcBorders>
              <w:top w:val="nil"/>
              <w:left w:val="nil"/>
              <w:bottom w:val="nil"/>
              <w:right w:val="nil"/>
            </w:tcBorders>
          </w:tcPr>
          <w:p>
            <w:pPr>
              <w:pStyle w:val="0"/>
              <w:jc w:val="center"/>
            </w:pPr>
            <w:r>
              <w:rPr>
                <w:sz w:val="20"/>
              </w:rPr>
              <w:t xml:space="preserve">24 124,5</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12,4</w:t>
            </w:r>
          </w:p>
        </w:tc>
        <w:tc>
          <w:tcPr>
            <w:tcW w:w="1020" w:type="dxa"/>
            <w:vAlign w:val="center"/>
            <w:tcBorders>
              <w:top w:val="nil"/>
              <w:left w:val="nil"/>
              <w:bottom w:val="nil"/>
              <w:right w:val="nil"/>
            </w:tcBorders>
          </w:tcPr>
          <w:p>
            <w:pPr>
              <w:pStyle w:val="0"/>
              <w:jc w:val="center"/>
            </w:pPr>
            <w:r>
              <w:rPr>
                <w:sz w:val="20"/>
              </w:rPr>
              <w:t xml:space="preserve">14,5</w:t>
            </w:r>
          </w:p>
        </w:tc>
        <w:tc>
          <w:tcPr>
            <w:tcW w:w="1020" w:type="dxa"/>
            <w:vAlign w:val="center"/>
            <w:tcBorders>
              <w:top w:val="nil"/>
              <w:left w:val="nil"/>
              <w:bottom w:val="nil"/>
              <w:right w:val="nil"/>
            </w:tcBorders>
          </w:tcPr>
          <w:p>
            <w:pPr>
              <w:pStyle w:val="0"/>
              <w:jc w:val="center"/>
            </w:pPr>
            <w:r>
              <w:rPr>
                <w:sz w:val="20"/>
              </w:rPr>
              <w:t xml:space="preserve">12,5</w:t>
            </w:r>
          </w:p>
        </w:tc>
        <w:tc>
          <w:tcPr>
            <w:tcW w:w="1191" w:type="dxa"/>
            <w:vAlign w:val="center"/>
            <w:tcBorders>
              <w:top w:val="nil"/>
              <w:left w:val="nil"/>
              <w:bottom w:val="nil"/>
              <w:right w:val="nil"/>
            </w:tcBorders>
          </w:tcPr>
          <w:p>
            <w:pPr>
              <w:pStyle w:val="0"/>
              <w:jc w:val="center"/>
            </w:pPr>
            <w:r>
              <w:rPr>
                <w:sz w:val="20"/>
              </w:rPr>
              <w:t xml:space="preserve">12,8</w:t>
            </w:r>
          </w:p>
        </w:tc>
        <w:tc>
          <w:tcPr>
            <w:tcW w:w="1247" w:type="dxa"/>
            <w:vAlign w:val="center"/>
            <w:tcBorders>
              <w:top w:val="nil"/>
              <w:left w:val="nil"/>
              <w:bottom w:val="nil"/>
              <w:right w:val="nil"/>
            </w:tcBorders>
          </w:tcPr>
          <w:p>
            <w:pPr>
              <w:pStyle w:val="0"/>
              <w:jc w:val="center"/>
            </w:pPr>
            <w:r>
              <w:rPr>
                <w:sz w:val="20"/>
              </w:rPr>
              <w:t xml:space="preserve">12,9</w:t>
            </w:r>
          </w:p>
        </w:tc>
        <w:tc>
          <w:tcPr>
            <w:tcW w:w="1020" w:type="dxa"/>
            <w:vAlign w:val="center"/>
            <w:tcBorders>
              <w:top w:val="nil"/>
              <w:left w:val="nil"/>
              <w:bottom w:val="nil"/>
              <w:right w:val="nil"/>
            </w:tcBorders>
          </w:tcPr>
          <w:p>
            <w:pPr>
              <w:pStyle w:val="0"/>
              <w:jc w:val="center"/>
            </w:pPr>
            <w:r>
              <w:rPr>
                <w:sz w:val="20"/>
              </w:rPr>
              <w:t xml:space="preserve">12,5</w:t>
            </w:r>
          </w:p>
        </w:tc>
        <w:tc>
          <w:tcPr>
            <w:tcW w:w="1020" w:type="dxa"/>
            <w:vAlign w:val="center"/>
            <w:tcBorders>
              <w:top w:val="nil"/>
              <w:left w:val="nil"/>
              <w:bottom w:val="nil"/>
              <w:right w:val="nil"/>
            </w:tcBorders>
          </w:tcPr>
          <w:p>
            <w:pPr>
              <w:pStyle w:val="0"/>
              <w:jc w:val="center"/>
            </w:pPr>
            <w:r>
              <w:rPr>
                <w:sz w:val="20"/>
              </w:rPr>
              <w:t xml:space="preserve">12,1</w:t>
            </w:r>
          </w:p>
        </w:tc>
        <w:tc>
          <w:tcPr>
            <w:tcW w:w="1020" w:type="dxa"/>
            <w:vAlign w:val="center"/>
            <w:tcBorders>
              <w:top w:val="nil"/>
              <w:left w:val="nil"/>
              <w:bottom w:val="nil"/>
              <w:right w:val="nil"/>
            </w:tcBorders>
          </w:tcPr>
          <w:p>
            <w:pPr>
              <w:pStyle w:val="0"/>
              <w:jc w:val="center"/>
            </w:pPr>
            <w:r>
              <w:rPr>
                <w:sz w:val="20"/>
              </w:rPr>
              <w:t xml:space="preserve">11,9</w:t>
            </w:r>
          </w:p>
        </w:tc>
      </w:tr>
      <w:tr>
        <w:tc>
          <w:tcPr>
            <w:tcW w:w="2154" w:type="dxa"/>
            <w:tcBorders>
              <w:top w:val="nil"/>
              <w:left w:val="nil"/>
              <w:bottom w:val="nil"/>
              <w:right w:val="nil"/>
            </w:tcBorders>
          </w:tcPr>
          <w:p>
            <w:pPr>
              <w:pStyle w:val="0"/>
            </w:pPr>
            <w:r>
              <w:rPr>
                <w:sz w:val="20"/>
              </w:rPr>
              <w:t xml:space="preserve">Профицит/Дефицит</w:t>
            </w:r>
          </w:p>
        </w:tc>
        <w:tc>
          <w:tcPr>
            <w:tcW w:w="1020" w:type="dxa"/>
            <w:vAlign w:val="center"/>
            <w:tcBorders>
              <w:top w:val="nil"/>
              <w:left w:val="nil"/>
              <w:bottom w:val="nil"/>
              <w:right w:val="nil"/>
            </w:tcBorders>
          </w:tcPr>
          <w:p>
            <w:pPr>
              <w:pStyle w:val="0"/>
              <w:jc w:val="center"/>
            </w:pPr>
            <w:r>
              <w:rPr>
                <w:sz w:val="20"/>
              </w:rPr>
              <w:t xml:space="preserve">4,7</w:t>
            </w:r>
          </w:p>
        </w:tc>
        <w:tc>
          <w:tcPr>
            <w:tcW w:w="1020" w:type="dxa"/>
            <w:vAlign w:val="center"/>
            <w:tcBorders>
              <w:top w:val="nil"/>
              <w:left w:val="nil"/>
              <w:bottom w:val="nil"/>
              <w:right w:val="nil"/>
            </w:tcBorders>
          </w:tcPr>
          <w:p>
            <w:pPr>
              <w:pStyle w:val="0"/>
              <w:jc w:val="center"/>
            </w:pPr>
            <w:r>
              <w:rPr>
                <w:sz w:val="20"/>
              </w:rPr>
              <w:t xml:space="preserve">-676,6</w:t>
            </w:r>
          </w:p>
        </w:tc>
        <w:tc>
          <w:tcPr>
            <w:tcW w:w="1020" w:type="dxa"/>
            <w:vAlign w:val="center"/>
            <w:tcBorders>
              <w:top w:val="nil"/>
              <w:left w:val="nil"/>
              <w:bottom w:val="nil"/>
              <w:right w:val="nil"/>
            </w:tcBorders>
          </w:tcPr>
          <w:p>
            <w:pPr>
              <w:pStyle w:val="0"/>
              <w:jc w:val="center"/>
            </w:pPr>
            <w:r>
              <w:rPr>
                <w:sz w:val="20"/>
              </w:rPr>
              <w:t xml:space="preserve">660,8</w:t>
            </w:r>
          </w:p>
        </w:tc>
        <w:tc>
          <w:tcPr>
            <w:tcW w:w="1191" w:type="dxa"/>
            <w:vAlign w:val="center"/>
            <w:tcBorders>
              <w:top w:val="nil"/>
              <w:left w:val="nil"/>
              <w:bottom w:val="nil"/>
              <w:right w:val="nil"/>
            </w:tcBorders>
          </w:tcPr>
          <w:p>
            <w:pPr>
              <w:pStyle w:val="0"/>
              <w:jc w:val="center"/>
            </w:pPr>
            <w:r>
              <w:rPr>
                <w:sz w:val="20"/>
              </w:rPr>
              <w:t xml:space="preserve">50,6</w:t>
            </w:r>
          </w:p>
        </w:tc>
        <w:tc>
          <w:tcPr>
            <w:tcW w:w="1247" w:type="dxa"/>
            <w:vAlign w:val="center"/>
            <w:tcBorders>
              <w:top w:val="nil"/>
              <w:left w:val="nil"/>
              <w:bottom w:val="nil"/>
              <w:right w:val="nil"/>
            </w:tcBorders>
          </w:tcPr>
          <w:p>
            <w:pPr>
              <w:pStyle w:val="0"/>
              <w:jc w:val="center"/>
            </w:pPr>
            <w:r>
              <w:rPr>
                <w:sz w:val="20"/>
              </w:rPr>
              <w:t xml:space="preserve">-84,5</w:t>
            </w:r>
          </w:p>
        </w:tc>
        <w:tc>
          <w:tcPr>
            <w:tcW w:w="1020" w:type="dxa"/>
            <w:vAlign w:val="center"/>
            <w:tcBorders>
              <w:top w:val="nil"/>
              <w:left w:val="nil"/>
              <w:bottom w:val="nil"/>
              <w:right w:val="nil"/>
            </w:tcBorders>
          </w:tcPr>
          <w:p>
            <w:pPr>
              <w:pStyle w:val="0"/>
              <w:jc w:val="center"/>
            </w:pPr>
            <w:r>
              <w:rPr>
                <w:sz w:val="20"/>
              </w:rPr>
              <w:t xml:space="preserve">-43,1</w:t>
            </w:r>
          </w:p>
        </w:tc>
        <w:tc>
          <w:tcPr>
            <w:tcW w:w="1020" w:type="dxa"/>
            <w:vAlign w:val="center"/>
            <w:tcBorders>
              <w:top w:val="nil"/>
              <w:left w:val="nil"/>
              <w:bottom w:val="nil"/>
              <w:right w:val="nil"/>
            </w:tcBorders>
          </w:tcPr>
          <w:p>
            <w:pPr>
              <w:pStyle w:val="0"/>
              <w:jc w:val="center"/>
            </w:pPr>
            <w:r>
              <w:rPr>
                <w:sz w:val="20"/>
              </w:rPr>
              <w:t xml:space="preserve">-29,5</w:t>
            </w:r>
          </w:p>
        </w:tc>
        <w:tc>
          <w:tcPr>
            <w:tcW w:w="1020" w:type="dxa"/>
            <w:vAlign w:val="center"/>
            <w:tcBorders>
              <w:top w:val="nil"/>
              <w:left w:val="nil"/>
              <w:bottom w:val="nil"/>
              <w:right w:val="nil"/>
            </w:tcBorders>
          </w:tcPr>
          <w:p>
            <w:pPr>
              <w:pStyle w:val="0"/>
              <w:jc w:val="center"/>
            </w:pPr>
            <w:r>
              <w:rPr>
                <w:sz w:val="20"/>
              </w:rPr>
              <w:t xml:space="preserve">22,6</w:t>
            </w:r>
          </w:p>
        </w:tc>
      </w:tr>
      <w:tr>
        <w:tc>
          <w:tcPr>
            <w:tcW w:w="2154" w:type="dxa"/>
            <w:tcBorders>
              <w:top w:val="nil"/>
              <w:left w:val="nil"/>
              <w:bottom w:val="single" w:sz="4"/>
              <w:right w:val="nil"/>
            </w:tcBorders>
          </w:tcPr>
          <w:p>
            <w:pPr>
              <w:pStyle w:val="0"/>
            </w:pPr>
            <w:r>
              <w:rPr>
                <w:sz w:val="20"/>
              </w:rPr>
              <w:t xml:space="preserve">%% ВВП</w:t>
            </w:r>
          </w:p>
        </w:tc>
        <w:tc>
          <w:tcPr>
            <w:tcW w:w="1020" w:type="dxa"/>
            <w:vAlign w:val="center"/>
            <w:tcBorders>
              <w:top w:val="nil"/>
              <w:left w:val="nil"/>
              <w:bottom w:val="single" w:sz="4"/>
              <w:right w:val="nil"/>
            </w:tcBorders>
          </w:tcPr>
          <w:p>
            <w:pPr>
              <w:pStyle w:val="0"/>
              <w:jc w:val="center"/>
            </w:pPr>
            <w:r>
              <w:rPr>
                <w:sz w:val="20"/>
              </w:rPr>
              <w:t xml:space="preserve">&lt; 0,01</w:t>
            </w:r>
          </w:p>
        </w:tc>
        <w:tc>
          <w:tcPr>
            <w:tcW w:w="1020" w:type="dxa"/>
            <w:vAlign w:val="center"/>
            <w:tcBorders>
              <w:top w:val="nil"/>
              <w:left w:val="nil"/>
              <w:bottom w:val="single" w:sz="4"/>
              <w:right w:val="nil"/>
            </w:tcBorders>
          </w:tcPr>
          <w:p>
            <w:pPr>
              <w:pStyle w:val="0"/>
              <w:jc w:val="center"/>
            </w:pPr>
            <w:r>
              <w:rPr>
                <w:sz w:val="20"/>
              </w:rPr>
              <w:t xml:space="preserve">-0,6</w:t>
            </w:r>
          </w:p>
        </w:tc>
        <w:tc>
          <w:tcPr>
            <w:tcW w:w="1020" w:type="dxa"/>
            <w:vAlign w:val="center"/>
            <w:tcBorders>
              <w:top w:val="nil"/>
              <w:left w:val="nil"/>
              <w:bottom w:val="single" w:sz="4"/>
              <w:right w:val="nil"/>
            </w:tcBorders>
          </w:tcPr>
          <w:p>
            <w:pPr>
              <w:pStyle w:val="0"/>
              <w:jc w:val="center"/>
            </w:pPr>
            <w:r>
              <w:rPr>
                <w:sz w:val="20"/>
              </w:rPr>
              <w:t xml:space="preserve">0,5</w:t>
            </w:r>
          </w:p>
        </w:tc>
        <w:tc>
          <w:tcPr>
            <w:tcW w:w="1191" w:type="dxa"/>
            <w:vAlign w:val="center"/>
            <w:tcBorders>
              <w:top w:val="nil"/>
              <w:left w:val="nil"/>
              <w:bottom w:val="single" w:sz="4"/>
              <w:right w:val="nil"/>
            </w:tcBorders>
          </w:tcPr>
          <w:p>
            <w:pPr>
              <w:pStyle w:val="0"/>
              <w:jc w:val="center"/>
            </w:pPr>
            <w:r>
              <w:rPr>
                <w:sz w:val="20"/>
              </w:rPr>
              <w:t xml:space="preserve">0,03</w:t>
            </w:r>
          </w:p>
        </w:tc>
        <w:tc>
          <w:tcPr>
            <w:tcW w:w="1247" w:type="dxa"/>
            <w:vAlign w:val="center"/>
            <w:tcBorders>
              <w:top w:val="nil"/>
              <w:left w:val="nil"/>
              <w:bottom w:val="single" w:sz="4"/>
              <w:right w:val="nil"/>
            </w:tcBorders>
          </w:tcPr>
          <w:p>
            <w:pPr>
              <w:pStyle w:val="0"/>
              <w:jc w:val="center"/>
            </w:pPr>
            <w:r>
              <w:rPr>
                <w:sz w:val="20"/>
              </w:rPr>
              <w:t xml:space="preserve">-0,1</w:t>
            </w:r>
          </w:p>
        </w:tc>
        <w:tc>
          <w:tcPr>
            <w:tcW w:w="1020" w:type="dxa"/>
            <w:vAlign w:val="center"/>
            <w:tcBorders>
              <w:top w:val="nil"/>
              <w:left w:val="nil"/>
              <w:bottom w:val="single" w:sz="4"/>
              <w:right w:val="nil"/>
            </w:tcBorders>
          </w:tcPr>
          <w:p>
            <w:pPr>
              <w:pStyle w:val="0"/>
              <w:jc w:val="center"/>
            </w:pPr>
            <w:r>
              <w:rPr>
                <w:sz w:val="20"/>
              </w:rPr>
              <w:t xml:space="preserve">-0,02</w:t>
            </w:r>
          </w:p>
        </w:tc>
        <w:tc>
          <w:tcPr>
            <w:tcW w:w="1020" w:type="dxa"/>
            <w:vAlign w:val="center"/>
            <w:tcBorders>
              <w:top w:val="nil"/>
              <w:left w:val="nil"/>
              <w:bottom w:val="single" w:sz="4"/>
              <w:right w:val="nil"/>
            </w:tcBorders>
          </w:tcPr>
          <w:p>
            <w:pPr>
              <w:pStyle w:val="0"/>
              <w:jc w:val="center"/>
            </w:pPr>
            <w:r>
              <w:rPr>
                <w:sz w:val="20"/>
              </w:rPr>
              <w:t xml:space="preserve">-0,02</w:t>
            </w:r>
          </w:p>
        </w:tc>
        <w:tc>
          <w:tcPr>
            <w:tcW w:w="1020" w:type="dxa"/>
            <w:vAlign w:val="center"/>
            <w:tcBorders>
              <w:top w:val="nil"/>
              <w:left w:val="nil"/>
              <w:bottom w:val="single" w:sz="4"/>
              <w:right w:val="nil"/>
            </w:tcBorders>
          </w:tcPr>
          <w:p>
            <w:pPr>
              <w:pStyle w:val="0"/>
              <w:jc w:val="center"/>
            </w:pPr>
            <w:r>
              <w:rPr>
                <w:sz w:val="20"/>
              </w:rPr>
              <w:t xml:space="preserve">0,01</w:t>
            </w:r>
          </w:p>
        </w:tc>
      </w:tr>
    </w:tbl>
    <w:p>
      <w:pPr>
        <w:sectPr>
          <w:headerReference w:type="default" r:id="rId28"/>
          <w:headerReference w:type="first" r:id="rId28"/>
          <w:footerReference w:type="default" r:id="rId29"/>
          <w:footerReference w:type="first" r:id="rId2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2135" w:name="P2135"/>
    <w:bookmarkEnd w:id="2135"/>
    <w:p>
      <w:pPr>
        <w:pStyle w:val="0"/>
        <w:spacing w:before="200" w:line-rule="auto"/>
        <w:ind w:firstLine="540"/>
        <w:jc w:val="both"/>
      </w:pPr>
      <w:r>
        <w:rPr>
          <w:sz w:val="20"/>
        </w:rPr>
        <w:t xml:space="preserve">&lt;*&gt; с учетом исполнения бюджета г. Байконур;</w:t>
      </w:r>
    </w:p>
    <w:bookmarkStart w:id="2136" w:name="P2136"/>
    <w:bookmarkEnd w:id="2136"/>
    <w:p>
      <w:pPr>
        <w:pStyle w:val="0"/>
        <w:spacing w:before="200" w:line-rule="auto"/>
        <w:ind w:firstLine="540"/>
        <w:jc w:val="both"/>
      </w:pPr>
      <w:r>
        <w:rPr>
          <w:sz w:val="20"/>
        </w:rPr>
        <w:t xml:space="preserve">&lt;**&gt; с учетом сводной бюджетной росписи федерального бюджета на 1 сентября 2023 г.;</w:t>
      </w:r>
    </w:p>
    <w:bookmarkStart w:id="2137" w:name="P2137"/>
    <w:bookmarkEnd w:id="2137"/>
    <w:p>
      <w:pPr>
        <w:pStyle w:val="0"/>
        <w:spacing w:before="200" w:line-rule="auto"/>
        <w:ind w:firstLine="540"/>
        <w:jc w:val="both"/>
      </w:pPr>
      <w:r>
        <w:rPr>
          <w:sz w:val="20"/>
        </w:rPr>
        <w:t xml:space="preserve">&lt;***&gt; из федерального бюджета</w:t>
      </w:r>
    </w:p>
    <w:p>
      <w:pPr>
        <w:pStyle w:val="0"/>
        <w:jc w:val="both"/>
      </w:pPr>
      <w:r>
        <w:rPr>
          <w:sz w:val="20"/>
        </w:rPr>
      </w:r>
    </w:p>
    <w:p>
      <w:pPr>
        <w:pStyle w:val="0"/>
        <w:ind w:firstLine="540"/>
        <w:jc w:val="both"/>
      </w:pPr>
      <w:r>
        <w:rPr>
          <w:sz w:val="20"/>
        </w:rPr>
        <w:t xml:space="preserve">В 2024 году прогнозируется рост доходов и расходов консолидированных бюджетов субъектов на уровне, сопоставимом с прогнозируемым на 2024 и 2025 годы уровнем ИПЦ, или 104,8% и 104,6% соответственно. В 2025 году ожидается замедление темпов роста доходов и расходов консолидированных бюджетов субъектов до 102,7%. При этом к 2026 году прогнозируется наращивание темпов роста доходов и расходов консолидированных бюджетов субъектов до 104,9% и 104,7% соответственно, что превысит прогнозируемый на 2026 год уровень ИПЦ.</w:t>
      </w:r>
    </w:p>
    <w:p>
      <w:pPr>
        <w:pStyle w:val="0"/>
        <w:spacing w:before="200" w:line-rule="auto"/>
        <w:ind w:firstLine="540"/>
        <w:jc w:val="both"/>
      </w:pPr>
      <w:r>
        <w:rPr>
          <w:sz w:val="20"/>
        </w:rPr>
        <w:t xml:space="preserve">При планировании объема расходных обязательств консолидированных бюджетов субъектов учитывается оценка исполнения в 2023 году, уточненный прогноз показателей социально-экономического развития и следующие факторы:</w:t>
      </w:r>
    </w:p>
    <w:p>
      <w:pPr>
        <w:pStyle w:val="0"/>
        <w:spacing w:before="200" w:line-rule="auto"/>
        <w:ind w:firstLine="540"/>
        <w:jc w:val="both"/>
      </w:pPr>
      <w:r>
        <w:rPr>
          <w:sz w:val="20"/>
        </w:rPr>
        <w:t xml:space="preserve">- продление до 2030 года централизации в федеральном бюджете 1 процентного пункта ставки налога на прибыль организаций, подлежащей зачислению в бюджеты субъектов Российской Федерации и 50% норматива зачисления налога на прибыль организаций при выполнении соглашения о разделе продукции по проекту "Сахалин-2";</w:t>
      </w:r>
    </w:p>
    <w:p>
      <w:pPr>
        <w:pStyle w:val="0"/>
        <w:spacing w:before="200" w:line-rule="auto"/>
        <w:ind w:firstLine="540"/>
        <w:jc w:val="both"/>
      </w:pPr>
      <w:r>
        <w:rPr>
          <w:sz w:val="20"/>
        </w:rPr>
        <w:t xml:space="preserve">- сохранение в 2023 - 2026 гг. установленных Указами Президента Российской Федерации целевых показателей повышения оплаты труда работников в сфере образования, здравоохранения, культуры, социального обслуживания;</w:t>
      </w:r>
    </w:p>
    <w:p>
      <w:pPr>
        <w:pStyle w:val="0"/>
        <w:spacing w:before="200" w:line-rule="auto"/>
        <w:ind w:firstLine="540"/>
        <w:jc w:val="both"/>
      </w:pPr>
      <w:r>
        <w:rPr>
          <w:sz w:val="20"/>
        </w:rPr>
        <w:t xml:space="preserve">- индексация оплаты труда категорий работников бюджетной сферы, которые не попадают под действие данных указов Президента, на прогнозный уровень ИПЦ ежегодно с 1 октября;</w:t>
      </w:r>
    </w:p>
    <w:p>
      <w:pPr>
        <w:pStyle w:val="0"/>
        <w:spacing w:before="200" w:line-rule="auto"/>
        <w:ind w:firstLine="540"/>
        <w:jc w:val="both"/>
      </w:pPr>
      <w:r>
        <w:rPr>
          <w:sz w:val="20"/>
        </w:rPr>
        <w:t xml:space="preserve">- повышение уровня минимального размера оплаты труда;</w:t>
      </w:r>
    </w:p>
    <w:p>
      <w:pPr>
        <w:pStyle w:val="0"/>
        <w:spacing w:before="200" w:line-rule="auto"/>
        <w:ind w:firstLine="540"/>
        <w:jc w:val="both"/>
      </w:pPr>
      <w:r>
        <w:rPr>
          <w:sz w:val="20"/>
        </w:rPr>
        <w:t xml:space="preserve">- пропуск индексации оплаты труда работников органов власти субъектов и муниципальных образований в 2024 году;</w:t>
      </w:r>
    </w:p>
    <w:p>
      <w:pPr>
        <w:pStyle w:val="0"/>
        <w:spacing w:before="200" w:line-rule="auto"/>
        <w:ind w:firstLine="540"/>
        <w:jc w:val="both"/>
      </w:pPr>
      <w:r>
        <w:rPr>
          <w:sz w:val="20"/>
        </w:rPr>
        <w:t xml:space="preserve">- реализация одобренных в 2021 - 2025 гг. инфраструктурных проектов;</w:t>
      </w:r>
    </w:p>
    <w:p>
      <w:pPr>
        <w:pStyle w:val="0"/>
        <w:spacing w:before="200" w:line-rule="auto"/>
        <w:ind w:firstLine="540"/>
        <w:jc w:val="both"/>
      </w:pPr>
      <w:r>
        <w:rPr>
          <w:sz w:val="20"/>
        </w:rPr>
        <w:t xml:space="preserve">- реализация нацпроектов и программ, в том числе индивидуальных программ развития регионов с низким уровнем социально-экономического развития;</w:t>
      </w:r>
    </w:p>
    <w:p>
      <w:pPr>
        <w:pStyle w:val="0"/>
        <w:spacing w:before="200" w:line-rule="auto"/>
        <w:ind w:firstLine="540"/>
        <w:jc w:val="both"/>
      </w:pPr>
      <w:r>
        <w:rPr>
          <w:sz w:val="20"/>
        </w:rPr>
        <w:t xml:space="preserve">- ежегодная индексация расходов на социальное обеспечение населения;</w:t>
      </w:r>
    </w:p>
    <w:p>
      <w:pPr>
        <w:pStyle w:val="0"/>
        <w:spacing w:before="200" w:line-rule="auto"/>
        <w:ind w:firstLine="540"/>
        <w:jc w:val="both"/>
      </w:pPr>
      <w:r>
        <w:rPr>
          <w:sz w:val="20"/>
        </w:rPr>
        <w:t xml:space="preserve">- ежегодное изменение объемов целевых межбюджетных трансфертов, предоставляемых из федерального бюджета.</w:t>
      </w:r>
    </w:p>
    <w:p>
      <w:pPr>
        <w:pStyle w:val="0"/>
        <w:jc w:val="both"/>
      </w:pPr>
      <w:r>
        <w:rPr>
          <w:sz w:val="20"/>
        </w:rPr>
      </w:r>
    </w:p>
    <w:p>
      <w:pPr>
        <w:pStyle w:val="0"/>
        <w:ind w:firstLine="540"/>
        <w:jc w:val="both"/>
      </w:pPr>
      <w:r>
        <w:rPr>
          <w:sz w:val="20"/>
        </w:rPr>
        <w:t xml:space="preserve">Таблица 4.2.2. Межбюджетные трансферты из федерального бюджета в 2019 - 2026 гг.</w:t>
      </w:r>
    </w:p>
    <w:p>
      <w:pPr>
        <w:pStyle w:val="0"/>
        <w:jc w:val="both"/>
      </w:pPr>
      <w:r>
        <w:rPr>
          <w:sz w:val="20"/>
        </w:rPr>
      </w:r>
    </w:p>
    <w:p>
      <w:pPr>
        <w:pStyle w:val="0"/>
        <w:jc w:val="right"/>
      </w:pPr>
      <w:r>
        <w:rPr>
          <w:sz w:val="20"/>
        </w:rPr>
        <w:t xml:space="preserve">млрд рублей</w:t>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tblBorders>
        <w:tblCellMar>
          <w:top w:w="102" w:type="dxa"/>
          <w:left w:w="62" w:type="dxa"/>
          <w:bottom w:w="102" w:type="dxa"/>
          <w:right w:w="62" w:type="dxa"/>
        </w:tblCellMar>
      </w:tblPr>
      <w:tblGrid>
        <w:gridCol w:w="2154"/>
        <w:gridCol w:w="1020"/>
        <w:gridCol w:w="1020"/>
        <w:gridCol w:w="1020"/>
        <w:gridCol w:w="1191"/>
        <w:gridCol w:w="1247"/>
        <w:gridCol w:w="1020"/>
        <w:gridCol w:w="1020"/>
        <w:gridCol w:w="1020"/>
      </w:tblGrid>
      <w:tr>
        <w:tblPrEx>
          <w:tblBorders>
            <w:insideH w:val="single" w:sz="4"/>
          </w:tblBorders>
        </w:tblPrEx>
        <w:tc>
          <w:tcPr>
            <w:tcW w:w="2154" w:type="dxa"/>
            <w:tcBorders>
              <w:top w:val="single" w:sz="4"/>
              <w:left w:val="nil"/>
              <w:bottom w:val="single" w:sz="4"/>
              <w:right w:val="nil"/>
            </w:tcBorders>
          </w:tcPr>
          <w:p>
            <w:pPr>
              <w:pStyle w:val="0"/>
              <w:jc w:val="center"/>
            </w:pPr>
            <w:r>
              <w:rPr>
                <w:sz w:val="20"/>
              </w:rPr>
              <w:t xml:space="preserve">Показатель</w:t>
            </w:r>
          </w:p>
        </w:tc>
        <w:tc>
          <w:tcPr>
            <w:tcW w:w="1020" w:type="dxa"/>
            <w:tcBorders>
              <w:top w:val="single" w:sz="4"/>
              <w:left w:val="nil"/>
              <w:bottom w:val="single" w:sz="4"/>
              <w:right w:val="nil"/>
            </w:tcBorders>
          </w:tcPr>
          <w:p>
            <w:pPr>
              <w:pStyle w:val="0"/>
              <w:jc w:val="center"/>
            </w:pPr>
            <w:r>
              <w:rPr>
                <w:sz w:val="20"/>
              </w:rPr>
              <w:t xml:space="preserve">2019</w:t>
            </w:r>
          </w:p>
        </w:tc>
        <w:tc>
          <w:tcPr>
            <w:tcW w:w="1020" w:type="dxa"/>
            <w:tcBorders>
              <w:top w:val="single" w:sz="4"/>
              <w:left w:val="nil"/>
              <w:bottom w:val="single" w:sz="4"/>
              <w:right w:val="nil"/>
            </w:tcBorders>
          </w:tcPr>
          <w:p>
            <w:pPr>
              <w:pStyle w:val="0"/>
              <w:jc w:val="center"/>
            </w:pPr>
            <w:r>
              <w:rPr>
                <w:sz w:val="20"/>
              </w:rPr>
              <w:t xml:space="preserve">2020</w:t>
            </w:r>
          </w:p>
        </w:tc>
        <w:tc>
          <w:tcPr>
            <w:tcW w:w="1020" w:type="dxa"/>
            <w:tcBorders>
              <w:top w:val="single" w:sz="4"/>
              <w:left w:val="nil"/>
              <w:bottom w:val="single" w:sz="4"/>
              <w:right w:val="nil"/>
            </w:tcBorders>
          </w:tcPr>
          <w:p>
            <w:pPr>
              <w:pStyle w:val="0"/>
              <w:jc w:val="center"/>
            </w:pPr>
            <w:r>
              <w:rPr>
                <w:sz w:val="20"/>
              </w:rPr>
              <w:t xml:space="preserve">2021</w:t>
            </w:r>
          </w:p>
        </w:tc>
        <w:tc>
          <w:tcPr>
            <w:tcW w:w="1191" w:type="dxa"/>
            <w:tcBorders>
              <w:top w:val="single" w:sz="4"/>
              <w:left w:val="nil"/>
              <w:bottom w:val="single" w:sz="4"/>
              <w:right w:val="nil"/>
            </w:tcBorders>
          </w:tcPr>
          <w:p>
            <w:pPr>
              <w:pStyle w:val="0"/>
              <w:jc w:val="center"/>
            </w:pPr>
            <w:r>
              <w:rPr>
                <w:sz w:val="20"/>
              </w:rPr>
              <w:t xml:space="preserve">2022</w:t>
            </w:r>
          </w:p>
        </w:tc>
        <w:tc>
          <w:tcPr>
            <w:tcW w:w="1247" w:type="dxa"/>
            <w:tcBorders>
              <w:top w:val="single" w:sz="4"/>
              <w:left w:val="nil"/>
              <w:bottom w:val="single" w:sz="4"/>
              <w:right w:val="nil"/>
            </w:tcBorders>
          </w:tcPr>
          <w:p>
            <w:pPr>
              <w:pStyle w:val="0"/>
              <w:jc w:val="center"/>
            </w:pPr>
            <w:r>
              <w:rPr>
                <w:sz w:val="20"/>
              </w:rPr>
              <w:t xml:space="preserve">2023 </w:t>
            </w:r>
            <w:hyperlink w:history="0" w:anchor="P2255" w:tooltip="&lt;*&gt; с учетом сводной бюджетной росписи федерального бюджета на 1 сентября 2023 г.">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2024</w:t>
            </w:r>
          </w:p>
        </w:tc>
        <w:tc>
          <w:tcPr>
            <w:tcW w:w="1020" w:type="dxa"/>
            <w:tcBorders>
              <w:top w:val="single" w:sz="4"/>
              <w:left w:val="nil"/>
              <w:bottom w:val="single" w:sz="4"/>
              <w:right w:val="nil"/>
            </w:tcBorders>
          </w:tcPr>
          <w:p>
            <w:pPr>
              <w:pStyle w:val="0"/>
              <w:jc w:val="center"/>
            </w:pPr>
            <w:r>
              <w:rPr>
                <w:sz w:val="20"/>
              </w:rPr>
              <w:t xml:space="preserve">2025</w:t>
            </w:r>
          </w:p>
        </w:tc>
        <w:tc>
          <w:tcPr>
            <w:tcW w:w="1020" w:type="dxa"/>
            <w:tcBorders>
              <w:top w:val="single" w:sz="4"/>
              <w:left w:val="nil"/>
              <w:bottom w:val="single" w:sz="4"/>
              <w:right w:val="nil"/>
            </w:tcBorders>
          </w:tcPr>
          <w:p>
            <w:pPr>
              <w:pStyle w:val="0"/>
              <w:jc w:val="center"/>
            </w:pPr>
            <w:r>
              <w:rPr>
                <w:sz w:val="20"/>
              </w:rPr>
              <w:t xml:space="preserve">2026</w:t>
            </w:r>
          </w:p>
        </w:tc>
      </w:tr>
      <w:tr>
        <w:tc>
          <w:tcPr>
            <w:tcW w:w="2154" w:type="dxa"/>
            <w:tcBorders>
              <w:top w:val="single" w:sz="4"/>
              <w:left w:val="nil"/>
              <w:bottom w:val="nil"/>
              <w:right w:val="nil"/>
            </w:tcBorders>
          </w:tcPr>
          <w:p>
            <w:pPr>
              <w:pStyle w:val="0"/>
            </w:pPr>
            <w:r>
              <w:rPr>
                <w:sz w:val="20"/>
              </w:rPr>
              <w:t xml:space="preserve">Межбюджетные трансферты</w:t>
            </w:r>
          </w:p>
        </w:tc>
        <w:tc>
          <w:tcPr>
            <w:tcW w:w="1020" w:type="dxa"/>
            <w:vAlign w:val="center"/>
            <w:tcBorders>
              <w:top w:val="single" w:sz="4"/>
              <w:left w:val="nil"/>
              <w:bottom w:val="nil"/>
              <w:right w:val="nil"/>
            </w:tcBorders>
          </w:tcPr>
          <w:p>
            <w:pPr>
              <w:pStyle w:val="0"/>
              <w:jc w:val="center"/>
            </w:pPr>
            <w:r>
              <w:rPr>
                <w:sz w:val="20"/>
              </w:rPr>
              <w:t xml:space="preserve">2 387,2</w:t>
            </w:r>
          </w:p>
        </w:tc>
        <w:tc>
          <w:tcPr>
            <w:tcW w:w="1020" w:type="dxa"/>
            <w:vAlign w:val="center"/>
            <w:tcBorders>
              <w:top w:val="single" w:sz="4"/>
              <w:left w:val="nil"/>
              <w:bottom w:val="nil"/>
              <w:right w:val="nil"/>
            </w:tcBorders>
          </w:tcPr>
          <w:p>
            <w:pPr>
              <w:pStyle w:val="0"/>
              <w:jc w:val="center"/>
            </w:pPr>
            <w:r>
              <w:rPr>
                <w:sz w:val="20"/>
              </w:rPr>
              <w:t xml:space="preserve">3 698,4</w:t>
            </w:r>
          </w:p>
        </w:tc>
        <w:tc>
          <w:tcPr>
            <w:tcW w:w="1020" w:type="dxa"/>
            <w:vAlign w:val="center"/>
            <w:tcBorders>
              <w:top w:val="single" w:sz="4"/>
              <w:left w:val="nil"/>
              <w:bottom w:val="nil"/>
              <w:right w:val="nil"/>
            </w:tcBorders>
          </w:tcPr>
          <w:p>
            <w:pPr>
              <w:pStyle w:val="0"/>
              <w:jc w:val="center"/>
            </w:pPr>
            <w:r>
              <w:rPr>
                <w:sz w:val="20"/>
              </w:rPr>
              <w:t xml:space="preserve">3 627,2</w:t>
            </w:r>
          </w:p>
        </w:tc>
        <w:tc>
          <w:tcPr>
            <w:tcW w:w="1191" w:type="dxa"/>
            <w:vAlign w:val="center"/>
            <w:tcBorders>
              <w:top w:val="single" w:sz="4"/>
              <w:left w:val="nil"/>
              <w:bottom w:val="nil"/>
              <w:right w:val="nil"/>
            </w:tcBorders>
          </w:tcPr>
          <w:p>
            <w:pPr>
              <w:pStyle w:val="0"/>
              <w:jc w:val="center"/>
            </w:pPr>
            <w:r>
              <w:rPr>
                <w:sz w:val="20"/>
              </w:rPr>
              <w:t xml:space="preserve">3 834,6</w:t>
            </w:r>
          </w:p>
        </w:tc>
        <w:tc>
          <w:tcPr>
            <w:tcW w:w="1247" w:type="dxa"/>
            <w:vAlign w:val="center"/>
            <w:tcBorders>
              <w:top w:val="single" w:sz="4"/>
              <w:left w:val="nil"/>
              <w:bottom w:val="nil"/>
              <w:right w:val="nil"/>
            </w:tcBorders>
          </w:tcPr>
          <w:p>
            <w:pPr>
              <w:pStyle w:val="0"/>
              <w:jc w:val="center"/>
            </w:pPr>
            <w:r>
              <w:rPr>
                <w:sz w:val="20"/>
              </w:rPr>
              <w:t xml:space="preserve">3 849,8</w:t>
            </w:r>
          </w:p>
        </w:tc>
        <w:tc>
          <w:tcPr>
            <w:tcW w:w="1020" w:type="dxa"/>
            <w:vAlign w:val="center"/>
            <w:tcBorders>
              <w:top w:val="single" w:sz="4"/>
              <w:left w:val="nil"/>
              <w:bottom w:val="nil"/>
              <w:right w:val="nil"/>
            </w:tcBorders>
          </w:tcPr>
          <w:p>
            <w:pPr>
              <w:pStyle w:val="0"/>
              <w:jc w:val="center"/>
            </w:pPr>
            <w:r>
              <w:rPr>
                <w:sz w:val="20"/>
              </w:rPr>
              <w:t xml:space="preserve">3 223,6</w:t>
            </w:r>
          </w:p>
        </w:tc>
        <w:tc>
          <w:tcPr>
            <w:tcW w:w="1020" w:type="dxa"/>
            <w:vAlign w:val="center"/>
            <w:tcBorders>
              <w:top w:val="single" w:sz="4"/>
              <w:left w:val="nil"/>
              <w:bottom w:val="nil"/>
              <w:right w:val="nil"/>
            </w:tcBorders>
          </w:tcPr>
          <w:p>
            <w:pPr>
              <w:pStyle w:val="0"/>
              <w:jc w:val="center"/>
            </w:pPr>
            <w:r>
              <w:rPr>
                <w:sz w:val="20"/>
              </w:rPr>
              <w:t xml:space="preserve">2 802,9</w:t>
            </w:r>
          </w:p>
        </w:tc>
        <w:tc>
          <w:tcPr>
            <w:tcW w:w="1020" w:type="dxa"/>
            <w:vAlign w:val="center"/>
            <w:tcBorders>
              <w:top w:val="single" w:sz="4"/>
              <w:left w:val="nil"/>
              <w:bottom w:val="nil"/>
              <w:right w:val="nil"/>
            </w:tcBorders>
          </w:tcPr>
          <w:p>
            <w:pPr>
              <w:pStyle w:val="0"/>
              <w:jc w:val="center"/>
            </w:pPr>
            <w:r>
              <w:rPr>
                <w:sz w:val="20"/>
              </w:rPr>
              <w:t xml:space="preserve">2 788,8</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2,2</w:t>
            </w:r>
          </w:p>
        </w:tc>
        <w:tc>
          <w:tcPr>
            <w:tcW w:w="1020" w:type="dxa"/>
            <w:vAlign w:val="center"/>
            <w:tcBorders>
              <w:top w:val="nil"/>
              <w:left w:val="nil"/>
              <w:bottom w:val="nil"/>
              <w:right w:val="nil"/>
            </w:tcBorders>
          </w:tcPr>
          <w:p>
            <w:pPr>
              <w:pStyle w:val="0"/>
              <w:jc w:val="center"/>
            </w:pPr>
            <w:r>
              <w:rPr>
                <w:sz w:val="20"/>
              </w:rPr>
              <w:t xml:space="preserve">3,4</w:t>
            </w:r>
          </w:p>
        </w:tc>
        <w:tc>
          <w:tcPr>
            <w:tcW w:w="1020" w:type="dxa"/>
            <w:vAlign w:val="center"/>
            <w:tcBorders>
              <w:top w:val="nil"/>
              <w:left w:val="nil"/>
              <w:bottom w:val="nil"/>
              <w:right w:val="nil"/>
            </w:tcBorders>
          </w:tcPr>
          <w:p>
            <w:pPr>
              <w:pStyle w:val="0"/>
              <w:jc w:val="center"/>
            </w:pPr>
            <w:r>
              <w:rPr>
                <w:sz w:val="20"/>
              </w:rPr>
              <w:t xml:space="preserve">2,7</w:t>
            </w:r>
          </w:p>
        </w:tc>
        <w:tc>
          <w:tcPr>
            <w:tcW w:w="1191" w:type="dxa"/>
            <w:vAlign w:val="center"/>
            <w:tcBorders>
              <w:top w:val="nil"/>
              <w:left w:val="nil"/>
              <w:bottom w:val="nil"/>
              <w:right w:val="nil"/>
            </w:tcBorders>
          </w:tcPr>
          <w:p>
            <w:pPr>
              <w:pStyle w:val="0"/>
              <w:jc w:val="center"/>
            </w:pPr>
            <w:r>
              <w:rPr>
                <w:sz w:val="20"/>
              </w:rPr>
              <w:t xml:space="preserve">2,5</w:t>
            </w:r>
          </w:p>
        </w:tc>
        <w:tc>
          <w:tcPr>
            <w:tcW w:w="1247" w:type="dxa"/>
            <w:vAlign w:val="center"/>
            <w:tcBorders>
              <w:top w:val="nil"/>
              <w:left w:val="nil"/>
              <w:bottom w:val="nil"/>
              <w:right w:val="nil"/>
            </w:tcBorders>
          </w:tcPr>
          <w:p>
            <w:pPr>
              <w:pStyle w:val="0"/>
              <w:jc w:val="center"/>
            </w:pPr>
            <w:r>
              <w:rPr>
                <w:sz w:val="20"/>
              </w:rPr>
              <w:t xml:space="preserve">2,3</w:t>
            </w:r>
          </w:p>
        </w:tc>
        <w:tc>
          <w:tcPr>
            <w:tcW w:w="1020" w:type="dxa"/>
            <w:vAlign w:val="center"/>
            <w:tcBorders>
              <w:top w:val="nil"/>
              <w:left w:val="nil"/>
              <w:bottom w:val="nil"/>
              <w:right w:val="nil"/>
            </w:tcBorders>
          </w:tcPr>
          <w:p>
            <w:pPr>
              <w:pStyle w:val="0"/>
              <w:jc w:val="center"/>
            </w:pPr>
            <w:r>
              <w:rPr>
                <w:sz w:val="20"/>
              </w:rPr>
              <w:t xml:space="preserve">1,8</w:t>
            </w:r>
          </w:p>
        </w:tc>
        <w:tc>
          <w:tcPr>
            <w:tcW w:w="1020" w:type="dxa"/>
            <w:vAlign w:val="center"/>
            <w:tcBorders>
              <w:top w:val="nil"/>
              <w:left w:val="nil"/>
              <w:bottom w:val="nil"/>
              <w:right w:val="nil"/>
            </w:tcBorders>
          </w:tcPr>
          <w:p>
            <w:pPr>
              <w:pStyle w:val="0"/>
              <w:jc w:val="center"/>
            </w:pPr>
            <w:r>
              <w:rPr>
                <w:sz w:val="20"/>
              </w:rPr>
              <w:t xml:space="preserve">1,5</w:t>
            </w:r>
          </w:p>
        </w:tc>
        <w:tc>
          <w:tcPr>
            <w:tcW w:w="1020" w:type="dxa"/>
            <w:vAlign w:val="center"/>
            <w:tcBorders>
              <w:top w:val="nil"/>
              <w:left w:val="nil"/>
              <w:bottom w:val="nil"/>
              <w:right w:val="nil"/>
            </w:tcBorders>
          </w:tcPr>
          <w:p>
            <w:pPr>
              <w:pStyle w:val="0"/>
              <w:jc w:val="center"/>
            </w:pPr>
            <w:r>
              <w:rPr>
                <w:sz w:val="20"/>
              </w:rPr>
              <w:t xml:space="preserve">1,4</w:t>
            </w:r>
          </w:p>
        </w:tc>
      </w:tr>
      <w:tr>
        <w:tc>
          <w:tcPr>
            <w:tcW w:w="2154" w:type="dxa"/>
            <w:tcBorders>
              <w:top w:val="nil"/>
              <w:left w:val="nil"/>
              <w:bottom w:val="nil"/>
              <w:right w:val="nil"/>
            </w:tcBorders>
          </w:tcPr>
          <w:p>
            <w:pPr>
              <w:pStyle w:val="0"/>
              <w:ind w:left="283"/>
            </w:pPr>
            <w:r>
              <w:rPr>
                <w:sz w:val="20"/>
              </w:rPr>
              <w:t xml:space="preserve">Дотации</w:t>
            </w:r>
          </w:p>
        </w:tc>
        <w:tc>
          <w:tcPr>
            <w:tcW w:w="1020" w:type="dxa"/>
            <w:vAlign w:val="center"/>
            <w:tcBorders>
              <w:top w:val="nil"/>
              <w:left w:val="nil"/>
              <w:bottom w:val="nil"/>
              <w:right w:val="nil"/>
            </w:tcBorders>
          </w:tcPr>
          <w:p>
            <w:pPr>
              <w:pStyle w:val="0"/>
              <w:jc w:val="center"/>
            </w:pPr>
            <w:r>
              <w:rPr>
                <w:sz w:val="20"/>
              </w:rPr>
              <w:t xml:space="preserve">924,0</w:t>
            </w:r>
          </w:p>
        </w:tc>
        <w:tc>
          <w:tcPr>
            <w:tcW w:w="1020" w:type="dxa"/>
            <w:vAlign w:val="center"/>
            <w:tcBorders>
              <w:top w:val="nil"/>
              <w:left w:val="nil"/>
              <w:bottom w:val="nil"/>
              <w:right w:val="nil"/>
            </w:tcBorders>
          </w:tcPr>
          <w:p>
            <w:pPr>
              <w:pStyle w:val="0"/>
              <w:jc w:val="center"/>
            </w:pPr>
            <w:r>
              <w:rPr>
                <w:sz w:val="20"/>
              </w:rPr>
              <w:t xml:space="preserve">1 303,7</w:t>
            </w:r>
          </w:p>
        </w:tc>
        <w:tc>
          <w:tcPr>
            <w:tcW w:w="1020" w:type="dxa"/>
            <w:vAlign w:val="center"/>
            <w:tcBorders>
              <w:top w:val="nil"/>
              <w:left w:val="nil"/>
              <w:bottom w:val="nil"/>
              <w:right w:val="nil"/>
            </w:tcBorders>
          </w:tcPr>
          <w:p>
            <w:pPr>
              <w:pStyle w:val="0"/>
              <w:jc w:val="center"/>
            </w:pPr>
            <w:r>
              <w:rPr>
                <w:sz w:val="20"/>
              </w:rPr>
              <w:t xml:space="preserve">1 021,9</w:t>
            </w:r>
          </w:p>
        </w:tc>
        <w:tc>
          <w:tcPr>
            <w:tcW w:w="1191" w:type="dxa"/>
            <w:vAlign w:val="center"/>
            <w:tcBorders>
              <w:top w:val="nil"/>
              <w:left w:val="nil"/>
              <w:bottom w:val="nil"/>
              <w:right w:val="nil"/>
            </w:tcBorders>
          </w:tcPr>
          <w:p>
            <w:pPr>
              <w:pStyle w:val="0"/>
              <w:jc w:val="center"/>
            </w:pPr>
            <w:r>
              <w:rPr>
                <w:sz w:val="20"/>
              </w:rPr>
              <w:t xml:space="preserve">1 019,9</w:t>
            </w:r>
          </w:p>
        </w:tc>
        <w:tc>
          <w:tcPr>
            <w:tcW w:w="1247" w:type="dxa"/>
            <w:vAlign w:val="center"/>
            <w:tcBorders>
              <w:top w:val="nil"/>
              <w:left w:val="nil"/>
              <w:bottom w:val="nil"/>
              <w:right w:val="nil"/>
            </w:tcBorders>
          </w:tcPr>
          <w:p>
            <w:pPr>
              <w:pStyle w:val="0"/>
              <w:jc w:val="center"/>
            </w:pPr>
            <w:r>
              <w:rPr>
                <w:sz w:val="20"/>
              </w:rPr>
              <w:t xml:space="preserve">1 419,3</w:t>
            </w:r>
          </w:p>
        </w:tc>
        <w:tc>
          <w:tcPr>
            <w:tcW w:w="1020" w:type="dxa"/>
            <w:vAlign w:val="center"/>
            <w:tcBorders>
              <w:top w:val="nil"/>
              <w:left w:val="nil"/>
              <w:bottom w:val="nil"/>
              <w:right w:val="nil"/>
            </w:tcBorders>
          </w:tcPr>
          <w:p>
            <w:pPr>
              <w:pStyle w:val="0"/>
              <w:jc w:val="center"/>
            </w:pPr>
            <w:r>
              <w:rPr>
                <w:sz w:val="20"/>
              </w:rPr>
              <w:t xml:space="preserve">1 248,5</w:t>
            </w:r>
          </w:p>
        </w:tc>
        <w:tc>
          <w:tcPr>
            <w:tcW w:w="1020" w:type="dxa"/>
            <w:vAlign w:val="center"/>
            <w:tcBorders>
              <w:top w:val="nil"/>
              <w:left w:val="nil"/>
              <w:bottom w:val="nil"/>
              <w:right w:val="nil"/>
            </w:tcBorders>
          </w:tcPr>
          <w:p>
            <w:pPr>
              <w:pStyle w:val="0"/>
              <w:jc w:val="center"/>
            </w:pPr>
            <w:r>
              <w:rPr>
                <w:sz w:val="20"/>
              </w:rPr>
              <w:t xml:space="preserve">1 224,3</w:t>
            </w:r>
          </w:p>
        </w:tc>
        <w:tc>
          <w:tcPr>
            <w:tcW w:w="1020" w:type="dxa"/>
            <w:vAlign w:val="center"/>
            <w:tcBorders>
              <w:top w:val="nil"/>
              <w:left w:val="nil"/>
              <w:bottom w:val="nil"/>
              <w:right w:val="nil"/>
            </w:tcBorders>
          </w:tcPr>
          <w:p>
            <w:pPr>
              <w:pStyle w:val="0"/>
              <w:jc w:val="center"/>
            </w:pPr>
            <w:r>
              <w:rPr>
                <w:sz w:val="20"/>
              </w:rPr>
              <w:t xml:space="preserve">1 253,9</w:t>
            </w:r>
          </w:p>
        </w:tc>
      </w:tr>
      <w:tr>
        <w:tc>
          <w:tcPr>
            <w:tcW w:w="2154" w:type="dxa"/>
            <w:tcBorders>
              <w:top w:val="nil"/>
              <w:left w:val="nil"/>
              <w:bottom w:val="nil"/>
              <w:right w:val="nil"/>
            </w:tcBorders>
          </w:tcPr>
          <w:p>
            <w:pPr>
              <w:pStyle w:val="0"/>
              <w:ind w:left="283"/>
            </w:pPr>
            <w:r>
              <w:rPr>
                <w:sz w:val="20"/>
              </w:rPr>
              <w:t xml:space="preserve">в % к МБТ (всего)</w:t>
            </w:r>
          </w:p>
        </w:tc>
        <w:tc>
          <w:tcPr>
            <w:tcW w:w="1020" w:type="dxa"/>
            <w:vAlign w:val="center"/>
            <w:tcBorders>
              <w:top w:val="nil"/>
              <w:left w:val="nil"/>
              <w:bottom w:val="nil"/>
              <w:right w:val="nil"/>
            </w:tcBorders>
          </w:tcPr>
          <w:p>
            <w:pPr>
              <w:pStyle w:val="0"/>
              <w:jc w:val="center"/>
            </w:pPr>
            <w:r>
              <w:rPr>
                <w:sz w:val="20"/>
              </w:rPr>
              <w:t xml:space="preserve">38,7</w:t>
            </w:r>
          </w:p>
        </w:tc>
        <w:tc>
          <w:tcPr>
            <w:tcW w:w="1020" w:type="dxa"/>
            <w:vAlign w:val="center"/>
            <w:tcBorders>
              <w:top w:val="nil"/>
              <w:left w:val="nil"/>
              <w:bottom w:val="nil"/>
              <w:right w:val="nil"/>
            </w:tcBorders>
          </w:tcPr>
          <w:p>
            <w:pPr>
              <w:pStyle w:val="0"/>
              <w:jc w:val="center"/>
            </w:pPr>
            <w:r>
              <w:rPr>
                <w:sz w:val="20"/>
              </w:rPr>
              <w:t xml:space="preserve">35,3</w:t>
            </w:r>
          </w:p>
        </w:tc>
        <w:tc>
          <w:tcPr>
            <w:tcW w:w="1020" w:type="dxa"/>
            <w:vAlign w:val="center"/>
            <w:tcBorders>
              <w:top w:val="nil"/>
              <w:left w:val="nil"/>
              <w:bottom w:val="nil"/>
              <w:right w:val="nil"/>
            </w:tcBorders>
          </w:tcPr>
          <w:p>
            <w:pPr>
              <w:pStyle w:val="0"/>
              <w:jc w:val="center"/>
            </w:pPr>
            <w:r>
              <w:rPr>
                <w:sz w:val="20"/>
              </w:rPr>
              <w:t xml:space="preserve">28,2</w:t>
            </w:r>
          </w:p>
        </w:tc>
        <w:tc>
          <w:tcPr>
            <w:tcW w:w="1191" w:type="dxa"/>
            <w:vAlign w:val="center"/>
            <w:tcBorders>
              <w:top w:val="nil"/>
              <w:left w:val="nil"/>
              <w:bottom w:val="nil"/>
              <w:right w:val="nil"/>
            </w:tcBorders>
          </w:tcPr>
          <w:p>
            <w:pPr>
              <w:pStyle w:val="0"/>
              <w:jc w:val="center"/>
            </w:pPr>
            <w:r>
              <w:rPr>
                <w:sz w:val="20"/>
              </w:rPr>
              <w:t xml:space="preserve">26,6</w:t>
            </w:r>
          </w:p>
        </w:tc>
        <w:tc>
          <w:tcPr>
            <w:tcW w:w="1247" w:type="dxa"/>
            <w:vAlign w:val="center"/>
            <w:tcBorders>
              <w:top w:val="nil"/>
              <w:left w:val="nil"/>
              <w:bottom w:val="nil"/>
              <w:right w:val="nil"/>
            </w:tcBorders>
          </w:tcPr>
          <w:p>
            <w:pPr>
              <w:pStyle w:val="0"/>
              <w:jc w:val="center"/>
            </w:pPr>
            <w:r>
              <w:rPr>
                <w:sz w:val="20"/>
              </w:rPr>
              <w:t xml:space="preserve">36,9</w:t>
            </w:r>
          </w:p>
        </w:tc>
        <w:tc>
          <w:tcPr>
            <w:tcW w:w="1020" w:type="dxa"/>
            <w:vAlign w:val="center"/>
            <w:tcBorders>
              <w:top w:val="nil"/>
              <w:left w:val="nil"/>
              <w:bottom w:val="nil"/>
              <w:right w:val="nil"/>
            </w:tcBorders>
          </w:tcPr>
          <w:p>
            <w:pPr>
              <w:pStyle w:val="0"/>
              <w:jc w:val="center"/>
            </w:pPr>
            <w:r>
              <w:rPr>
                <w:sz w:val="20"/>
              </w:rPr>
              <w:t xml:space="preserve">38,7</w:t>
            </w:r>
          </w:p>
        </w:tc>
        <w:tc>
          <w:tcPr>
            <w:tcW w:w="1020" w:type="dxa"/>
            <w:vAlign w:val="center"/>
            <w:tcBorders>
              <w:top w:val="nil"/>
              <w:left w:val="nil"/>
              <w:bottom w:val="nil"/>
              <w:right w:val="nil"/>
            </w:tcBorders>
          </w:tcPr>
          <w:p>
            <w:pPr>
              <w:pStyle w:val="0"/>
              <w:jc w:val="center"/>
            </w:pPr>
            <w:r>
              <w:rPr>
                <w:sz w:val="20"/>
              </w:rPr>
              <w:t xml:space="preserve">43,7</w:t>
            </w:r>
          </w:p>
        </w:tc>
        <w:tc>
          <w:tcPr>
            <w:tcW w:w="1020" w:type="dxa"/>
            <w:vAlign w:val="center"/>
            <w:tcBorders>
              <w:top w:val="nil"/>
              <w:left w:val="nil"/>
              <w:bottom w:val="nil"/>
              <w:right w:val="nil"/>
            </w:tcBorders>
          </w:tcPr>
          <w:p>
            <w:pPr>
              <w:pStyle w:val="0"/>
              <w:jc w:val="center"/>
            </w:pPr>
            <w:r>
              <w:rPr>
                <w:sz w:val="20"/>
              </w:rPr>
              <w:t xml:space="preserve">45,0</w:t>
            </w:r>
          </w:p>
        </w:tc>
      </w:tr>
      <w:tr>
        <w:tc>
          <w:tcPr>
            <w:tcW w:w="2154" w:type="dxa"/>
            <w:tcBorders>
              <w:top w:val="nil"/>
              <w:left w:val="nil"/>
              <w:bottom w:val="nil"/>
              <w:right w:val="nil"/>
            </w:tcBorders>
          </w:tcPr>
          <w:p>
            <w:pPr>
              <w:pStyle w:val="0"/>
              <w:ind w:left="283"/>
            </w:pPr>
            <w:r>
              <w:rPr>
                <w:sz w:val="20"/>
              </w:rPr>
              <w:t xml:space="preserve">Субсидии</w:t>
            </w:r>
          </w:p>
        </w:tc>
        <w:tc>
          <w:tcPr>
            <w:tcW w:w="1020" w:type="dxa"/>
            <w:vAlign w:val="center"/>
            <w:tcBorders>
              <w:top w:val="nil"/>
              <w:left w:val="nil"/>
              <w:bottom w:val="nil"/>
              <w:right w:val="nil"/>
            </w:tcBorders>
          </w:tcPr>
          <w:p>
            <w:pPr>
              <w:pStyle w:val="0"/>
              <w:jc w:val="center"/>
            </w:pPr>
            <w:r>
              <w:rPr>
                <w:sz w:val="20"/>
              </w:rPr>
              <w:t xml:space="preserve">556,6</w:t>
            </w:r>
          </w:p>
        </w:tc>
        <w:tc>
          <w:tcPr>
            <w:tcW w:w="1020" w:type="dxa"/>
            <w:vAlign w:val="center"/>
            <w:tcBorders>
              <w:top w:val="nil"/>
              <w:left w:val="nil"/>
              <w:bottom w:val="nil"/>
              <w:right w:val="nil"/>
            </w:tcBorders>
          </w:tcPr>
          <w:p>
            <w:pPr>
              <w:pStyle w:val="0"/>
              <w:jc w:val="center"/>
            </w:pPr>
            <w:r>
              <w:rPr>
                <w:sz w:val="20"/>
              </w:rPr>
              <w:t xml:space="preserve">1 011,5</w:t>
            </w:r>
          </w:p>
        </w:tc>
        <w:tc>
          <w:tcPr>
            <w:tcW w:w="1020" w:type="dxa"/>
            <w:vAlign w:val="center"/>
            <w:tcBorders>
              <w:top w:val="nil"/>
              <w:left w:val="nil"/>
              <w:bottom w:val="nil"/>
              <w:right w:val="nil"/>
            </w:tcBorders>
          </w:tcPr>
          <w:p>
            <w:pPr>
              <w:pStyle w:val="0"/>
              <w:jc w:val="center"/>
            </w:pPr>
            <w:r>
              <w:rPr>
                <w:sz w:val="20"/>
              </w:rPr>
              <w:t xml:space="preserve">1 193,0</w:t>
            </w:r>
          </w:p>
        </w:tc>
        <w:tc>
          <w:tcPr>
            <w:tcW w:w="1191" w:type="dxa"/>
            <w:vAlign w:val="center"/>
            <w:tcBorders>
              <w:top w:val="nil"/>
              <w:left w:val="nil"/>
              <w:bottom w:val="nil"/>
              <w:right w:val="nil"/>
            </w:tcBorders>
          </w:tcPr>
          <w:p>
            <w:pPr>
              <w:pStyle w:val="0"/>
              <w:jc w:val="center"/>
            </w:pPr>
            <w:r>
              <w:rPr>
                <w:sz w:val="20"/>
              </w:rPr>
              <w:t xml:space="preserve">1 668,3</w:t>
            </w:r>
          </w:p>
        </w:tc>
        <w:tc>
          <w:tcPr>
            <w:tcW w:w="1247" w:type="dxa"/>
            <w:vAlign w:val="center"/>
            <w:tcBorders>
              <w:top w:val="nil"/>
              <w:left w:val="nil"/>
              <w:bottom w:val="nil"/>
              <w:right w:val="nil"/>
            </w:tcBorders>
          </w:tcPr>
          <w:p>
            <w:pPr>
              <w:pStyle w:val="0"/>
              <w:jc w:val="center"/>
            </w:pPr>
            <w:r>
              <w:rPr>
                <w:sz w:val="20"/>
              </w:rPr>
              <w:t xml:space="preserve">1 641,2</w:t>
            </w:r>
          </w:p>
        </w:tc>
        <w:tc>
          <w:tcPr>
            <w:tcW w:w="1020" w:type="dxa"/>
            <w:vAlign w:val="center"/>
            <w:tcBorders>
              <w:top w:val="nil"/>
              <w:left w:val="nil"/>
              <w:bottom w:val="nil"/>
              <w:right w:val="nil"/>
            </w:tcBorders>
          </w:tcPr>
          <w:p>
            <w:pPr>
              <w:pStyle w:val="0"/>
              <w:jc w:val="center"/>
            </w:pPr>
            <w:r>
              <w:rPr>
                <w:sz w:val="20"/>
              </w:rPr>
              <w:t xml:space="preserve">1 537,9</w:t>
            </w:r>
          </w:p>
        </w:tc>
        <w:tc>
          <w:tcPr>
            <w:tcW w:w="1020" w:type="dxa"/>
            <w:vAlign w:val="center"/>
            <w:tcBorders>
              <w:top w:val="nil"/>
              <w:left w:val="nil"/>
              <w:bottom w:val="nil"/>
              <w:right w:val="nil"/>
            </w:tcBorders>
          </w:tcPr>
          <w:p>
            <w:pPr>
              <w:pStyle w:val="0"/>
              <w:jc w:val="center"/>
            </w:pPr>
            <w:r>
              <w:rPr>
                <w:sz w:val="20"/>
              </w:rPr>
              <w:t xml:space="preserve">1 131,2</w:t>
            </w:r>
          </w:p>
        </w:tc>
        <w:tc>
          <w:tcPr>
            <w:tcW w:w="1020" w:type="dxa"/>
            <w:vAlign w:val="center"/>
            <w:tcBorders>
              <w:top w:val="nil"/>
              <w:left w:val="nil"/>
              <w:bottom w:val="nil"/>
              <w:right w:val="nil"/>
            </w:tcBorders>
          </w:tcPr>
          <w:p>
            <w:pPr>
              <w:pStyle w:val="0"/>
              <w:jc w:val="center"/>
            </w:pPr>
            <w:r>
              <w:rPr>
                <w:sz w:val="20"/>
              </w:rPr>
              <w:t xml:space="preserve">1 097,0</w:t>
            </w:r>
          </w:p>
        </w:tc>
      </w:tr>
      <w:tr>
        <w:tc>
          <w:tcPr>
            <w:tcW w:w="2154" w:type="dxa"/>
            <w:tcBorders>
              <w:top w:val="nil"/>
              <w:left w:val="nil"/>
              <w:bottom w:val="nil"/>
              <w:right w:val="nil"/>
            </w:tcBorders>
          </w:tcPr>
          <w:p>
            <w:pPr>
              <w:pStyle w:val="0"/>
              <w:ind w:left="283"/>
            </w:pPr>
            <w:r>
              <w:rPr>
                <w:sz w:val="20"/>
              </w:rPr>
              <w:t xml:space="preserve">в % к МБТ (всего)</w:t>
            </w:r>
          </w:p>
        </w:tc>
        <w:tc>
          <w:tcPr>
            <w:tcW w:w="1020" w:type="dxa"/>
            <w:vAlign w:val="center"/>
            <w:tcBorders>
              <w:top w:val="nil"/>
              <w:left w:val="nil"/>
              <w:bottom w:val="nil"/>
              <w:right w:val="nil"/>
            </w:tcBorders>
          </w:tcPr>
          <w:p>
            <w:pPr>
              <w:pStyle w:val="0"/>
              <w:jc w:val="center"/>
            </w:pPr>
            <w:r>
              <w:rPr>
                <w:sz w:val="20"/>
              </w:rPr>
              <w:t xml:space="preserve">23,3</w:t>
            </w:r>
          </w:p>
        </w:tc>
        <w:tc>
          <w:tcPr>
            <w:tcW w:w="1020" w:type="dxa"/>
            <w:vAlign w:val="center"/>
            <w:tcBorders>
              <w:top w:val="nil"/>
              <w:left w:val="nil"/>
              <w:bottom w:val="nil"/>
              <w:right w:val="nil"/>
            </w:tcBorders>
          </w:tcPr>
          <w:p>
            <w:pPr>
              <w:pStyle w:val="0"/>
              <w:jc w:val="center"/>
            </w:pPr>
            <w:r>
              <w:rPr>
                <w:sz w:val="20"/>
              </w:rPr>
              <w:t xml:space="preserve">27,3</w:t>
            </w:r>
          </w:p>
        </w:tc>
        <w:tc>
          <w:tcPr>
            <w:tcW w:w="1020" w:type="dxa"/>
            <w:vAlign w:val="center"/>
            <w:tcBorders>
              <w:top w:val="nil"/>
              <w:left w:val="nil"/>
              <w:bottom w:val="nil"/>
              <w:right w:val="nil"/>
            </w:tcBorders>
          </w:tcPr>
          <w:p>
            <w:pPr>
              <w:pStyle w:val="0"/>
              <w:jc w:val="center"/>
            </w:pPr>
            <w:r>
              <w:rPr>
                <w:sz w:val="20"/>
              </w:rPr>
              <w:t xml:space="preserve">32,9</w:t>
            </w:r>
          </w:p>
        </w:tc>
        <w:tc>
          <w:tcPr>
            <w:tcW w:w="1191" w:type="dxa"/>
            <w:vAlign w:val="center"/>
            <w:tcBorders>
              <w:top w:val="nil"/>
              <w:left w:val="nil"/>
              <w:bottom w:val="nil"/>
              <w:right w:val="nil"/>
            </w:tcBorders>
          </w:tcPr>
          <w:p>
            <w:pPr>
              <w:pStyle w:val="0"/>
              <w:jc w:val="center"/>
            </w:pPr>
            <w:r>
              <w:rPr>
                <w:sz w:val="20"/>
              </w:rPr>
              <w:t xml:space="preserve">43,5</w:t>
            </w:r>
          </w:p>
        </w:tc>
        <w:tc>
          <w:tcPr>
            <w:tcW w:w="1247" w:type="dxa"/>
            <w:vAlign w:val="center"/>
            <w:tcBorders>
              <w:top w:val="nil"/>
              <w:left w:val="nil"/>
              <w:bottom w:val="nil"/>
              <w:right w:val="nil"/>
            </w:tcBorders>
          </w:tcPr>
          <w:p>
            <w:pPr>
              <w:pStyle w:val="0"/>
              <w:jc w:val="center"/>
            </w:pPr>
            <w:r>
              <w:rPr>
                <w:sz w:val="20"/>
              </w:rPr>
              <w:t xml:space="preserve">42,6</w:t>
            </w:r>
          </w:p>
        </w:tc>
        <w:tc>
          <w:tcPr>
            <w:tcW w:w="1020" w:type="dxa"/>
            <w:vAlign w:val="center"/>
            <w:tcBorders>
              <w:top w:val="nil"/>
              <w:left w:val="nil"/>
              <w:bottom w:val="nil"/>
              <w:right w:val="nil"/>
            </w:tcBorders>
          </w:tcPr>
          <w:p>
            <w:pPr>
              <w:pStyle w:val="0"/>
              <w:jc w:val="center"/>
            </w:pPr>
            <w:r>
              <w:rPr>
                <w:sz w:val="20"/>
              </w:rPr>
              <w:t xml:space="preserve">47,7</w:t>
            </w:r>
          </w:p>
        </w:tc>
        <w:tc>
          <w:tcPr>
            <w:tcW w:w="1020" w:type="dxa"/>
            <w:vAlign w:val="center"/>
            <w:tcBorders>
              <w:top w:val="nil"/>
              <w:left w:val="nil"/>
              <w:bottom w:val="nil"/>
              <w:right w:val="nil"/>
            </w:tcBorders>
          </w:tcPr>
          <w:p>
            <w:pPr>
              <w:pStyle w:val="0"/>
              <w:jc w:val="center"/>
            </w:pPr>
            <w:r>
              <w:rPr>
                <w:sz w:val="20"/>
              </w:rPr>
              <w:t xml:space="preserve">40,4</w:t>
            </w:r>
          </w:p>
        </w:tc>
        <w:tc>
          <w:tcPr>
            <w:tcW w:w="1020" w:type="dxa"/>
            <w:vAlign w:val="center"/>
            <w:tcBorders>
              <w:top w:val="nil"/>
              <w:left w:val="nil"/>
              <w:bottom w:val="nil"/>
              <w:right w:val="nil"/>
            </w:tcBorders>
          </w:tcPr>
          <w:p>
            <w:pPr>
              <w:pStyle w:val="0"/>
              <w:jc w:val="center"/>
            </w:pPr>
            <w:r>
              <w:rPr>
                <w:sz w:val="20"/>
              </w:rPr>
              <w:t xml:space="preserve">39,3</w:t>
            </w:r>
          </w:p>
        </w:tc>
      </w:tr>
      <w:tr>
        <w:tc>
          <w:tcPr>
            <w:tcW w:w="2154" w:type="dxa"/>
            <w:tcBorders>
              <w:top w:val="nil"/>
              <w:left w:val="nil"/>
              <w:bottom w:val="nil"/>
              <w:right w:val="nil"/>
            </w:tcBorders>
          </w:tcPr>
          <w:p>
            <w:pPr>
              <w:pStyle w:val="0"/>
              <w:ind w:left="283"/>
            </w:pPr>
            <w:r>
              <w:rPr>
                <w:sz w:val="20"/>
              </w:rPr>
              <w:t xml:space="preserve">Субвенции</w:t>
            </w:r>
          </w:p>
        </w:tc>
        <w:tc>
          <w:tcPr>
            <w:tcW w:w="1020" w:type="dxa"/>
            <w:vAlign w:val="center"/>
            <w:tcBorders>
              <w:top w:val="nil"/>
              <w:left w:val="nil"/>
              <w:bottom w:val="nil"/>
              <w:right w:val="nil"/>
            </w:tcBorders>
          </w:tcPr>
          <w:p>
            <w:pPr>
              <w:pStyle w:val="0"/>
              <w:jc w:val="center"/>
            </w:pPr>
            <w:r>
              <w:rPr>
                <w:sz w:val="20"/>
              </w:rPr>
              <w:t xml:space="preserve">396,6</w:t>
            </w:r>
          </w:p>
        </w:tc>
        <w:tc>
          <w:tcPr>
            <w:tcW w:w="1020" w:type="dxa"/>
            <w:vAlign w:val="center"/>
            <w:tcBorders>
              <w:top w:val="nil"/>
              <w:left w:val="nil"/>
              <w:bottom w:val="nil"/>
              <w:right w:val="nil"/>
            </w:tcBorders>
          </w:tcPr>
          <w:p>
            <w:pPr>
              <w:pStyle w:val="0"/>
              <w:jc w:val="center"/>
            </w:pPr>
            <w:r>
              <w:rPr>
                <w:sz w:val="20"/>
              </w:rPr>
              <w:t xml:space="preserve">606,2</w:t>
            </w:r>
          </w:p>
        </w:tc>
        <w:tc>
          <w:tcPr>
            <w:tcW w:w="1020" w:type="dxa"/>
            <w:vAlign w:val="center"/>
            <w:tcBorders>
              <w:top w:val="nil"/>
              <w:left w:val="nil"/>
              <w:bottom w:val="nil"/>
              <w:right w:val="nil"/>
            </w:tcBorders>
          </w:tcPr>
          <w:p>
            <w:pPr>
              <w:pStyle w:val="0"/>
              <w:jc w:val="center"/>
            </w:pPr>
            <w:r>
              <w:rPr>
                <w:sz w:val="20"/>
              </w:rPr>
              <w:t xml:space="preserve">519,6</w:t>
            </w:r>
          </w:p>
        </w:tc>
        <w:tc>
          <w:tcPr>
            <w:tcW w:w="1191" w:type="dxa"/>
            <w:vAlign w:val="center"/>
            <w:tcBorders>
              <w:top w:val="nil"/>
              <w:left w:val="nil"/>
              <w:bottom w:val="nil"/>
              <w:right w:val="nil"/>
            </w:tcBorders>
          </w:tcPr>
          <w:p>
            <w:pPr>
              <w:pStyle w:val="0"/>
              <w:jc w:val="center"/>
            </w:pPr>
            <w:r>
              <w:rPr>
                <w:sz w:val="20"/>
              </w:rPr>
              <w:t xml:space="preserve">427,7</w:t>
            </w:r>
          </w:p>
        </w:tc>
        <w:tc>
          <w:tcPr>
            <w:tcW w:w="1247" w:type="dxa"/>
            <w:vAlign w:val="center"/>
            <w:tcBorders>
              <w:top w:val="nil"/>
              <w:left w:val="nil"/>
              <w:bottom w:val="nil"/>
              <w:right w:val="nil"/>
            </w:tcBorders>
          </w:tcPr>
          <w:p>
            <w:pPr>
              <w:pStyle w:val="0"/>
              <w:jc w:val="center"/>
            </w:pPr>
            <w:r>
              <w:rPr>
                <w:sz w:val="20"/>
              </w:rPr>
              <w:t xml:space="preserve">284,7</w:t>
            </w:r>
          </w:p>
        </w:tc>
        <w:tc>
          <w:tcPr>
            <w:tcW w:w="1020" w:type="dxa"/>
            <w:vAlign w:val="center"/>
            <w:tcBorders>
              <w:top w:val="nil"/>
              <w:left w:val="nil"/>
              <w:bottom w:val="nil"/>
              <w:right w:val="nil"/>
            </w:tcBorders>
          </w:tcPr>
          <w:p>
            <w:pPr>
              <w:pStyle w:val="0"/>
              <w:jc w:val="center"/>
            </w:pPr>
            <w:r>
              <w:rPr>
                <w:sz w:val="20"/>
              </w:rPr>
              <w:t xml:space="preserve">311,7</w:t>
            </w:r>
          </w:p>
        </w:tc>
        <w:tc>
          <w:tcPr>
            <w:tcW w:w="1020" w:type="dxa"/>
            <w:vAlign w:val="center"/>
            <w:tcBorders>
              <w:top w:val="nil"/>
              <w:left w:val="nil"/>
              <w:bottom w:val="nil"/>
              <w:right w:val="nil"/>
            </w:tcBorders>
          </w:tcPr>
          <w:p>
            <w:pPr>
              <w:pStyle w:val="0"/>
              <w:jc w:val="center"/>
            </w:pPr>
            <w:r>
              <w:rPr>
                <w:sz w:val="20"/>
              </w:rPr>
              <w:t xml:space="preserve">320,6</w:t>
            </w:r>
          </w:p>
        </w:tc>
        <w:tc>
          <w:tcPr>
            <w:tcW w:w="1020" w:type="dxa"/>
            <w:vAlign w:val="center"/>
            <w:tcBorders>
              <w:top w:val="nil"/>
              <w:left w:val="nil"/>
              <w:bottom w:val="nil"/>
              <w:right w:val="nil"/>
            </w:tcBorders>
          </w:tcPr>
          <w:p>
            <w:pPr>
              <w:pStyle w:val="0"/>
              <w:jc w:val="center"/>
            </w:pPr>
            <w:r>
              <w:rPr>
                <w:sz w:val="20"/>
              </w:rPr>
              <w:t xml:space="preserve">329,7</w:t>
            </w:r>
          </w:p>
        </w:tc>
      </w:tr>
      <w:tr>
        <w:tc>
          <w:tcPr>
            <w:tcW w:w="2154" w:type="dxa"/>
            <w:tcBorders>
              <w:top w:val="nil"/>
              <w:left w:val="nil"/>
              <w:bottom w:val="nil"/>
              <w:right w:val="nil"/>
            </w:tcBorders>
          </w:tcPr>
          <w:p>
            <w:pPr>
              <w:pStyle w:val="0"/>
              <w:ind w:left="283"/>
            </w:pPr>
            <w:r>
              <w:rPr>
                <w:sz w:val="20"/>
              </w:rPr>
              <w:t xml:space="preserve">в % к МБТ (всего)</w:t>
            </w:r>
          </w:p>
        </w:tc>
        <w:tc>
          <w:tcPr>
            <w:tcW w:w="1020" w:type="dxa"/>
            <w:vAlign w:val="center"/>
            <w:tcBorders>
              <w:top w:val="nil"/>
              <w:left w:val="nil"/>
              <w:bottom w:val="nil"/>
              <w:right w:val="nil"/>
            </w:tcBorders>
          </w:tcPr>
          <w:p>
            <w:pPr>
              <w:pStyle w:val="0"/>
              <w:jc w:val="center"/>
            </w:pPr>
            <w:r>
              <w:rPr>
                <w:sz w:val="20"/>
              </w:rPr>
              <w:t xml:space="preserve">16,6</w:t>
            </w:r>
          </w:p>
        </w:tc>
        <w:tc>
          <w:tcPr>
            <w:tcW w:w="1020" w:type="dxa"/>
            <w:vAlign w:val="center"/>
            <w:tcBorders>
              <w:top w:val="nil"/>
              <w:left w:val="nil"/>
              <w:bottom w:val="nil"/>
              <w:right w:val="nil"/>
            </w:tcBorders>
          </w:tcPr>
          <w:p>
            <w:pPr>
              <w:pStyle w:val="0"/>
              <w:jc w:val="center"/>
            </w:pPr>
            <w:r>
              <w:rPr>
                <w:sz w:val="20"/>
              </w:rPr>
              <w:t xml:space="preserve">16,4</w:t>
            </w:r>
          </w:p>
        </w:tc>
        <w:tc>
          <w:tcPr>
            <w:tcW w:w="1020" w:type="dxa"/>
            <w:vAlign w:val="center"/>
            <w:tcBorders>
              <w:top w:val="nil"/>
              <w:left w:val="nil"/>
              <w:bottom w:val="nil"/>
              <w:right w:val="nil"/>
            </w:tcBorders>
          </w:tcPr>
          <w:p>
            <w:pPr>
              <w:pStyle w:val="0"/>
              <w:jc w:val="center"/>
            </w:pPr>
            <w:r>
              <w:rPr>
                <w:sz w:val="20"/>
              </w:rPr>
              <w:t xml:space="preserve">14,3</w:t>
            </w:r>
          </w:p>
        </w:tc>
        <w:tc>
          <w:tcPr>
            <w:tcW w:w="1191" w:type="dxa"/>
            <w:vAlign w:val="center"/>
            <w:tcBorders>
              <w:top w:val="nil"/>
              <w:left w:val="nil"/>
              <w:bottom w:val="nil"/>
              <w:right w:val="nil"/>
            </w:tcBorders>
          </w:tcPr>
          <w:p>
            <w:pPr>
              <w:pStyle w:val="0"/>
              <w:jc w:val="center"/>
            </w:pPr>
            <w:r>
              <w:rPr>
                <w:sz w:val="20"/>
              </w:rPr>
              <w:t xml:space="preserve">11,2</w:t>
            </w:r>
          </w:p>
        </w:tc>
        <w:tc>
          <w:tcPr>
            <w:tcW w:w="1247" w:type="dxa"/>
            <w:vAlign w:val="center"/>
            <w:tcBorders>
              <w:top w:val="nil"/>
              <w:left w:val="nil"/>
              <w:bottom w:val="nil"/>
              <w:right w:val="nil"/>
            </w:tcBorders>
          </w:tcPr>
          <w:p>
            <w:pPr>
              <w:pStyle w:val="0"/>
              <w:jc w:val="center"/>
            </w:pPr>
            <w:r>
              <w:rPr>
                <w:sz w:val="20"/>
              </w:rPr>
              <w:t xml:space="preserve">7,4</w:t>
            </w:r>
          </w:p>
        </w:tc>
        <w:tc>
          <w:tcPr>
            <w:tcW w:w="1020" w:type="dxa"/>
            <w:vAlign w:val="center"/>
            <w:tcBorders>
              <w:top w:val="nil"/>
              <w:left w:val="nil"/>
              <w:bottom w:val="nil"/>
              <w:right w:val="nil"/>
            </w:tcBorders>
          </w:tcPr>
          <w:p>
            <w:pPr>
              <w:pStyle w:val="0"/>
              <w:jc w:val="center"/>
            </w:pPr>
            <w:r>
              <w:rPr>
                <w:sz w:val="20"/>
              </w:rPr>
              <w:t xml:space="preserve">9,7</w:t>
            </w:r>
          </w:p>
        </w:tc>
        <w:tc>
          <w:tcPr>
            <w:tcW w:w="1020" w:type="dxa"/>
            <w:vAlign w:val="center"/>
            <w:tcBorders>
              <w:top w:val="nil"/>
              <w:left w:val="nil"/>
              <w:bottom w:val="nil"/>
              <w:right w:val="nil"/>
            </w:tcBorders>
          </w:tcPr>
          <w:p>
            <w:pPr>
              <w:pStyle w:val="0"/>
              <w:jc w:val="center"/>
            </w:pPr>
            <w:r>
              <w:rPr>
                <w:sz w:val="20"/>
              </w:rPr>
              <w:t xml:space="preserve">11,4</w:t>
            </w:r>
          </w:p>
        </w:tc>
        <w:tc>
          <w:tcPr>
            <w:tcW w:w="1020" w:type="dxa"/>
            <w:vAlign w:val="center"/>
            <w:tcBorders>
              <w:top w:val="nil"/>
              <w:left w:val="nil"/>
              <w:bottom w:val="nil"/>
              <w:right w:val="nil"/>
            </w:tcBorders>
          </w:tcPr>
          <w:p>
            <w:pPr>
              <w:pStyle w:val="0"/>
              <w:jc w:val="center"/>
            </w:pPr>
            <w:r>
              <w:rPr>
                <w:sz w:val="20"/>
              </w:rPr>
              <w:t xml:space="preserve">11,8</w:t>
            </w:r>
          </w:p>
        </w:tc>
      </w:tr>
      <w:tr>
        <w:tc>
          <w:tcPr>
            <w:tcW w:w="2154" w:type="dxa"/>
            <w:tcBorders>
              <w:top w:val="nil"/>
              <w:left w:val="nil"/>
              <w:bottom w:val="nil"/>
              <w:right w:val="nil"/>
            </w:tcBorders>
          </w:tcPr>
          <w:p>
            <w:pPr>
              <w:pStyle w:val="0"/>
              <w:ind w:left="283"/>
            </w:pPr>
            <w:r>
              <w:rPr>
                <w:sz w:val="20"/>
              </w:rPr>
              <w:t xml:space="preserve">Иные МБТ</w:t>
            </w:r>
          </w:p>
        </w:tc>
        <w:tc>
          <w:tcPr>
            <w:tcW w:w="1020" w:type="dxa"/>
            <w:vAlign w:val="center"/>
            <w:tcBorders>
              <w:top w:val="nil"/>
              <w:left w:val="nil"/>
              <w:bottom w:val="nil"/>
              <w:right w:val="nil"/>
            </w:tcBorders>
          </w:tcPr>
          <w:p>
            <w:pPr>
              <w:pStyle w:val="0"/>
              <w:jc w:val="center"/>
            </w:pPr>
            <w:r>
              <w:rPr>
                <w:sz w:val="20"/>
              </w:rPr>
              <w:t xml:space="preserve">510,0</w:t>
            </w:r>
          </w:p>
        </w:tc>
        <w:tc>
          <w:tcPr>
            <w:tcW w:w="1020" w:type="dxa"/>
            <w:vAlign w:val="center"/>
            <w:tcBorders>
              <w:top w:val="nil"/>
              <w:left w:val="nil"/>
              <w:bottom w:val="nil"/>
              <w:right w:val="nil"/>
            </w:tcBorders>
          </w:tcPr>
          <w:p>
            <w:pPr>
              <w:pStyle w:val="0"/>
              <w:jc w:val="center"/>
            </w:pPr>
            <w:r>
              <w:rPr>
                <w:sz w:val="20"/>
              </w:rPr>
              <w:t xml:space="preserve">777,0</w:t>
            </w:r>
          </w:p>
        </w:tc>
        <w:tc>
          <w:tcPr>
            <w:tcW w:w="1020" w:type="dxa"/>
            <w:vAlign w:val="center"/>
            <w:tcBorders>
              <w:top w:val="nil"/>
              <w:left w:val="nil"/>
              <w:bottom w:val="nil"/>
              <w:right w:val="nil"/>
            </w:tcBorders>
          </w:tcPr>
          <w:p>
            <w:pPr>
              <w:pStyle w:val="0"/>
              <w:jc w:val="center"/>
            </w:pPr>
            <w:r>
              <w:rPr>
                <w:sz w:val="20"/>
              </w:rPr>
              <w:t xml:space="preserve">892,8</w:t>
            </w:r>
          </w:p>
        </w:tc>
        <w:tc>
          <w:tcPr>
            <w:tcW w:w="1191" w:type="dxa"/>
            <w:vAlign w:val="center"/>
            <w:tcBorders>
              <w:top w:val="nil"/>
              <w:left w:val="nil"/>
              <w:bottom w:val="nil"/>
              <w:right w:val="nil"/>
            </w:tcBorders>
          </w:tcPr>
          <w:p>
            <w:pPr>
              <w:pStyle w:val="0"/>
              <w:jc w:val="center"/>
            </w:pPr>
            <w:r>
              <w:rPr>
                <w:sz w:val="20"/>
              </w:rPr>
              <w:t xml:space="preserve">718,7</w:t>
            </w:r>
          </w:p>
        </w:tc>
        <w:tc>
          <w:tcPr>
            <w:tcW w:w="1247" w:type="dxa"/>
            <w:vAlign w:val="center"/>
            <w:tcBorders>
              <w:top w:val="nil"/>
              <w:left w:val="nil"/>
              <w:bottom w:val="nil"/>
              <w:right w:val="nil"/>
            </w:tcBorders>
          </w:tcPr>
          <w:p>
            <w:pPr>
              <w:pStyle w:val="0"/>
              <w:jc w:val="center"/>
            </w:pPr>
            <w:r>
              <w:rPr>
                <w:sz w:val="20"/>
              </w:rPr>
              <w:t xml:space="preserve">504,6</w:t>
            </w:r>
          </w:p>
        </w:tc>
        <w:tc>
          <w:tcPr>
            <w:tcW w:w="1020" w:type="dxa"/>
            <w:vAlign w:val="center"/>
            <w:tcBorders>
              <w:top w:val="nil"/>
              <w:left w:val="nil"/>
              <w:bottom w:val="nil"/>
              <w:right w:val="nil"/>
            </w:tcBorders>
          </w:tcPr>
          <w:p>
            <w:pPr>
              <w:pStyle w:val="0"/>
              <w:jc w:val="center"/>
            </w:pPr>
            <w:r>
              <w:rPr>
                <w:sz w:val="20"/>
              </w:rPr>
              <w:t xml:space="preserve">125,5</w:t>
            </w:r>
          </w:p>
        </w:tc>
        <w:tc>
          <w:tcPr>
            <w:tcW w:w="1020" w:type="dxa"/>
            <w:vAlign w:val="center"/>
            <w:tcBorders>
              <w:top w:val="nil"/>
              <w:left w:val="nil"/>
              <w:bottom w:val="nil"/>
              <w:right w:val="nil"/>
            </w:tcBorders>
          </w:tcPr>
          <w:p>
            <w:pPr>
              <w:pStyle w:val="0"/>
              <w:jc w:val="center"/>
            </w:pPr>
            <w:r>
              <w:rPr>
                <w:sz w:val="20"/>
              </w:rPr>
              <w:t xml:space="preserve">126,8</w:t>
            </w:r>
          </w:p>
        </w:tc>
        <w:tc>
          <w:tcPr>
            <w:tcW w:w="1020" w:type="dxa"/>
            <w:vAlign w:val="center"/>
            <w:tcBorders>
              <w:top w:val="nil"/>
              <w:left w:val="nil"/>
              <w:bottom w:val="nil"/>
              <w:right w:val="nil"/>
            </w:tcBorders>
          </w:tcPr>
          <w:p>
            <w:pPr>
              <w:pStyle w:val="0"/>
              <w:jc w:val="center"/>
            </w:pPr>
            <w:r>
              <w:rPr>
                <w:sz w:val="20"/>
              </w:rPr>
              <w:t xml:space="preserve">108,1</w:t>
            </w:r>
          </w:p>
        </w:tc>
      </w:tr>
      <w:tr>
        <w:tc>
          <w:tcPr>
            <w:tcW w:w="2154" w:type="dxa"/>
            <w:tcBorders>
              <w:top w:val="nil"/>
              <w:left w:val="nil"/>
              <w:bottom w:val="single" w:sz="4"/>
              <w:right w:val="nil"/>
            </w:tcBorders>
          </w:tcPr>
          <w:p>
            <w:pPr>
              <w:pStyle w:val="0"/>
              <w:ind w:left="283"/>
            </w:pPr>
            <w:r>
              <w:rPr>
                <w:sz w:val="20"/>
              </w:rPr>
              <w:t xml:space="preserve">в % к МБТ (всего)</w:t>
            </w:r>
          </w:p>
        </w:tc>
        <w:tc>
          <w:tcPr>
            <w:tcW w:w="1020" w:type="dxa"/>
            <w:vAlign w:val="center"/>
            <w:tcBorders>
              <w:top w:val="nil"/>
              <w:left w:val="nil"/>
              <w:bottom w:val="single" w:sz="4"/>
              <w:right w:val="nil"/>
            </w:tcBorders>
          </w:tcPr>
          <w:p>
            <w:pPr>
              <w:pStyle w:val="0"/>
              <w:jc w:val="center"/>
            </w:pPr>
            <w:r>
              <w:rPr>
                <w:sz w:val="20"/>
              </w:rPr>
              <w:t xml:space="preserve">21,4</w:t>
            </w:r>
          </w:p>
        </w:tc>
        <w:tc>
          <w:tcPr>
            <w:tcW w:w="1020" w:type="dxa"/>
            <w:vAlign w:val="center"/>
            <w:tcBorders>
              <w:top w:val="nil"/>
              <w:left w:val="nil"/>
              <w:bottom w:val="single" w:sz="4"/>
              <w:right w:val="nil"/>
            </w:tcBorders>
          </w:tcPr>
          <w:p>
            <w:pPr>
              <w:pStyle w:val="0"/>
              <w:jc w:val="center"/>
            </w:pPr>
            <w:r>
              <w:rPr>
                <w:sz w:val="20"/>
              </w:rPr>
              <w:t xml:space="preserve">21,0</w:t>
            </w:r>
          </w:p>
        </w:tc>
        <w:tc>
          <w:tcPr>
            <w:tcW w:w="1020" w:type="dxa"/>
            <w:vAlign w:val="center"/>
            <w:tcBorders>
              <w:top w:val="nil"/>
              <w:left w:val="nil"/>
              <w:bottom w:val="single" w:sz="4"/>
              <w:right w:val="nil"/>
            </w:tcBorders>
          </w:tcPr>
          <w:p>
            <w:pPr>
              <w:pStyle w:val="0"/>
              <w:jc w:val="center"/>
            </w:pPr>
            <w:r>
              <w:rPr>
                <w:sz w:val="20"/>
              </w:rPr>
              <w:t xml:space="preserve">24,6</w:t>
            </w:r>
          </w:p>
        </w:tc>
        <w:tc>
          <w:tcPr>
            <w:tcW w:w="1191" w:type="dxa"/>
            <w:vAlign w:val="center"/>
            <w:tcBorders>
              <w:top w:val="nil"/>
              <w:left w:val="nil"/>
              <w:bottom w:val="single" w:sz="4"/>
              <w:right w:val="nil"/>
            </w:tcBorders>
          </w:tcPr>
          <w:p>
            <w:pPr>
              <w:pStyle w:val="0"/>
              <w:jc w:val="center"/>
            </w:pPr>
            <w:r>
              <w:rPr>
                <w:sz w:val="20"/>
              </w:rPr>
              <w:t xml:space="preserve">18,7</w:t>
            </w:r>
          </w:p>
        </w:tc>
        <w:tc>
          <w:tcPr>
            <w:tcW w:w="1247" w:type="dxa"/>
            <w:vAlign w:val="center"/>
            <w:tcBorders>
              <w:top w:val="nil"/>
              <w:left w:val="nil"/>
              <w:bottom w:val="single" w:sz="4"/>
              <w:right w:val="nil"/>
            </w:tcBorders>
          </w:tcPr>
          <w:p>
            <w:pPr>
              <w:pStyle w:val="0"/>
              <w:jc w:val="center"/>
            </w:pPr>
            <w:r>
              <w:rPr>
                <w:sz w:val="20"/>
              </w:rPr>
              <w:t xml:space="preserve">13,1</w:t>
            </w:r>
          </w:p>
        </w:tc>
        <w:tc>
          <w:tcPr>
            <w:tcW w:w="1020" w:type="dxa"/>
            <w:vAlign w:val="center"/>
            <w:tcBorders>
              <w:top w:val="nil"/>
              <w:left w:val="nil"/>
              <w:bottom w:val="single" w:sz="4"/>
              <w:right w:val="nil"/>
            </w:tcBorders>
          </w:tcPr>
          <w:p>
            <w:pPr>
              <w:pStyle w:val="0"/>
              <w:jc w:val="center"/>
            </w:pPr>
            <w:r>
              <w:rPr>
                <w:sz w:val="20"/>
              </w:rPr>
              <w:t xml:space="preserve">3,9</w:t>
            </w:r>
          </w:p>
        </w:tc>
        <w:tc>
          <w:tcPr>
            <w:tcW w:w="1020" w:type="dxa"/>
            <w:vAlign w:val="center"/>
            <w:tcBorders>
              <w:top w:val="nil"/>
              <w:left w:val="nil"/>
              <w:bottom w:val="single" w:sz="4"/>
              <w:right w:val="nil"/>
            </w:tcBorders>
          </w:tcPr>
          <w:p>
            <w:pPr>
              <w:pStyle w:val="0"/>
              <w:jc w:val="center"/>
            </w:pPr>
            <w:r>
              <w:rPr>
                <w:sz w:val="20"/>
              </w:rPr>
              <w:t xml:space="preserve">4,5</w:t>
            </w:r>
          </w:p>
        </w:tc>
        <w:tc>
          <w:tcPr>
            <w:tcW w:w="1020" w:type="dxa"/>
            <w:vAlign w:val="center"/>
            <w:tcBorders>
              <w:top w:val="nil"/>
              <w:left w:val="nil"/>
              <w:bottom w:val="single" w:sz="4"/>
              <w:right w:val="nil"/>
            </w:tcBorders>
          </w:tcPr>
          <w:p>
            <w:pPr>
              <w:pStyle w:val="0"/>
              <w:jc w:val="center"/>
            </w:pPr>
            <w:r>
              <w:rPr>
                <w:sz w:val="20"/>
              </w:rPr>
              <w:t xml:space="preserve">3,9</w:t>
            </w:r>
          </w:p>
        </w:tc>
      </w:tr>
    </w:tbl>
    <w:p>
      <w:pPr>
        <w:sectPr>
          <w:headerReference w:type="default" r:id="rId28"/>
          <w:headerReference w:type="first" r:id="rId28"/>
          <w:footerReference w:type="default" r:id="rId29"/>
          <w:footerReference w:type="first" r:id="rId2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2255" w:name="P2255"/>
    <w:bookmarkEnd w:id="2255"/>
    <w:p>
      <w:pPr>
        <w:pStyle w:val="0"/>
        <w:spacing w:before="200" w:line-rule="auto"/>
        <w:ind w:firstLine="540"/>
        <w:jc w:val="both"/>
      </w:pPr>
      <w:r>
        <w:rPr>
          <w:sz w:val="20"/>
        </w:rPr>
        <w:t xml:space="preserve">&lt;*&gt; с учетом сводной бюджетной росписи федерального бюджета на 1 сентября 2023 г.</w:t>
      </w:r>
    </w:p>
    <w:p>
      <w:pPr>
        <w:pStyle w:val="0"/>
        <w:jc w:val="both"/>
      </w:pPr>
      <w:r>
        <w:rPr>
          <w:sz w:val="20"/>
        </w:rPr>
      </w:r>
    </w:p>
    <w:p>
      <w:pPr>
        <w:pStyle w:val="0"/>
        <w:ind w:firstLine="540"/>
        <w:jc w:val="both"/>
      </w:pPr>
      <w:r>
        <w:rPr>
          <w:sz w:val="20"/>
        </w:rPr>
        <w:t xml:space="preserve">Источниками финансирования дефицита бюджетов субъектов в рассматриваемом периоде будут являться бюджетные кредиты, ценные бумаги, кредиты от кредитных организаций, изменение остатков средств на счетах по учету средств бюджетов субъектов и прочие источники финансирования.</w:t>
      </w:r>
    </w:p>
    <w:p>
      <w:pPr>
        <w:pStyle w:val="0"/>
        <w:jc w:val="both"/>
      </w:pPr>
      <w:r>
        <w:rPr>
          <w:sz w:val="20"/>
        </w:rPr>
      </w:r>
    </w:p>
    <w:p>
      <w:pPr>
        <w:pStyle w:val="2"/>
        <w:outlineLvl w:val="2"/>
        <w:ind w:firstLine="540"/>
        <w:jc w:val="both"/>
      </w:pPr>
      <w:r>
        <w:rPr>
          <w:sz w:val="20"/>
        </w:rPr>
        <w:t xml:space="preserve">4.3. ГОСУДАРСТВЕННЫЕ ВНЕБЮДЖЕТНЫЕ ФОНДЫ</w:t>
      </w:r>
    </w:p>
    <w:p>
      <w:pPr>
        <w:pStyle w:val="0"/>
        <w:jc w:val="both"/>
      </w:pPr>
      <w:r>
        <w:rPr>
          <w:sz w:val="20"/>
        </w:rPr>
      </w:r>
    </w:p>
    <w:p>
      <w:pPr>
        <w:pStyle w:val="2"/>
        <w:outlineLvl w:val="3"/>
        <w:ind w:firstLine="540"/>
        <w:jc w:val="both"/>
      </w:pPr>
      <w:r>
        <w:rPr>
          <w:sz w:val="20"/>
        </w:rPr>
        <w:t xml:space="preserve">Фонд пенсионного и социального страхования Российской Федерации</w:t>
      </w:r>
    </w:p>
    <w:p>
      <w:pPr>
        <w:pStyle w:val="0"/>
        <w:spacing w:before="200" w:line-rule="auto"/>
        <w:ind w:firstLine="540"/>
        <w:jc w:val="both"/>
      </w:pPr>
      <w:r>
        <w:rPr>
          <w:sz w:val="20"/>
        </w:rPr>
        <w:t xml:space="preserve">С 1 января 2023 г. в соответствии с Федеральным </w:t>
      </w:r>
      <w:hyperlink w:history="0" r:id="rId30" w:tooltip="Федеральный закон от 14.07.2022 N 236-ФЗ (ред. от 13.07.2024) &quot;О Фонде пенсионного и социального страхования Российской Федерации&quot; {КонсультантПлюс}">
        <w:r>
          <w:rPr>
            <w:sz w:val="20"/>
            <w:color w:val="0000ff"/>
          </w:rPr>
          <w:t xml:space="preserve">законом</w:t>
        </w:r>
      </w:hyperlink>
      <w:r>
        <w:rPr>
          <w:sz w:val="20"/>
        </w:rPr>
        <w:t xml:space="preserve"> от 14 июля 2022 г. N 236-ФЗ "О Фонде пенсионного и социального страхования Российской Федерации" создан Фонд пенсионного и социального страхования Российской Федерации путем реорганизации государственного учреждения - Пенсионного фонда Российской Федерации - с одновременным присоединением к нему Фонда социального страхования Российской Федерации.</w:t>
      </w:r>
    </w:p>
    <w:p>
      <w:pPr>
        <w:pStyle w:val="0"/>
        <w:spacing w:before="200" w:line-rule="auto"/>
        <w:ind w:firstLine="540"/>
        <w:jc w:val="both"/>
      </w:pPr>
      <w:r>
        <w:rPr>
          <w:sz w:val="20"/>
        </w:rPr>
        <w:t xml:space="preserve">Бюджет СФР на очередной финансовый год и плановый период сформирован раздельно по каждому виду обязательного социального страхования и социального обеспечения.</w:t>
      </w:r>
    </w:p>
    <w:p>
      <w:pPr>
        <w:pStyle w:val="0"/>
        <w:spacing w:before="200" w:line-rule="auto"/>
        <w:ind w:firstLine="540"/>
        <w:jc w:val="both"/>
      </w:pPr>
      <w:r>
        <w:rPr>
          <w:sz w:val="20"/>
        </w:rPr>
        <w:t xml:space="preserve">Доходы бюджета СФР сформированы исходя из установленных Бюджетным </w:t>
      </w:r>
      <w:hyperlink w:history="0" r:id="rId31" w:tooltip="&quot;Бюджетный кодекс Российской Федерации&quot; от 31.07.1998 N 145-ФЗ (ред. от 13.07.2024) (с изм. и доп., вступ. в силу с 01.09.2024) {КонсультантПлюс}">
        <w:r>
          <w:rPr>
            <w:sz w:val="20"/>
            <w:color w:val="0000ff"/>
          </w:rPr>
          <w:t xml:space="preserve">кодексом</w:t>
        </w:r>
      </w:hyperlink>
      <w:r>
        <w:rPr>
          <w:sz w:val="20"/>
        </w:rPr>
        <w:t xml:space="preserve"> Российской Федерации нормативов распределения доходов от уплаченных страховых взносов исходя из единого тарифа страховых взносов на обязательное пенсионное страхование (норматив установлен на уровне 72,8%), на обязательное социальное страхование на случай временной нетрудоспособности и в связи с материнством (норматив установлен на уровне 8,9%), на обязательное медицинское страхование, установленного в размере 30% в пределах установленной величины базы для исчисления страховых взносов, 15,1% - свыше установленной предельной величины базы для исчисления страховых взносов.</w:t>
      </w:r>
    </w:p>
    <w:p>
      <w:pPr>
        <w:pStyle w:val="0"/>
        <w:spacing w:before="200" w:line-rule="auto"/>
        <w:ind w:firstLine="540"/>
        <w:jc w:val="both"/>
      </w:pPr>
      <w:r>
        <w:rPr>
          <w:sz w:val="20"/>
        </w:rPr>
        <w:t xml:space="preserve">С 1 января 2023 г. установлен единый размер предельной величины базы для исчисления страховых взносов для обязательного пенсионного страхования, обязательного социального страхования на случай временной нетрудоспособности и в связи с материнством в отношении каждого физического лица.</w:t>
      </w:r>
    </w:p>
    <w:p>
      <w:pPr>
        <w:pStyle w:val="0"/>
        <w:spacing w:before="200" w:line-rule="auto"/>
        <w:ind w:firstLine="540"/>
        <w:jc w:val="both"/>
      </w:pPr>
      <w:r>
        <w:rPr>
          <w:sz w:val="20"/>
        </w:rPr>
        <w:t xml:space="preserve">Доходы по обязательному социальному страхованию от несчастных случаев на производстве и профессиональных заболеваний рассчитаны исходя из среднего по видам экономической деятельности страхового тарифа в размере 0,5% к суммам выплат и иных вознаграждений, которые начислены в пользу застрахованных в рамках трудовых отношений и гражданско-правовых договоров.</w:t>
      </w:r>
    </w:p>
    <w:p>
      <w:pPr>
        <w:pStyle w:val="0"/>
        <w:spacing w:before="200" w:line-rule="auto"/>
        <w:ind w:firstLine="540"/>
        <w:jc w:val="both"/>
      </w:pPr>
      <w:r>
        <w:rPr>
          <w:sz w:val="20"/>
        </w:rPr>
        <w:t xml:space="preserve">Для отдельных категорий плательщиков, определенных законодательством, применены пониженные тарифы страховых взносов с учетом установленных сроков их действия. Соответствующие выпадающие доходы бюджета СФР от применения указанных пониженных тарифов страховых взносов компенсируются за счет межбюджетных трансфертов из федерального бюджета.</w:t>
      </w:r>
    </w:p>
    <w:p>
      <w:pPr>
        <w:pStyle w:val="0"/>
        <w:spacing w:before="200" w:line-rule="auto"/>
        <w:ind w:firstLine="540"/>
        <w:jc w:val="both"/>
      </w:pPr>
      <w:r>
        <w:rPr>
          <w:sz w:val="20"/>
        </w:rPr>
        <w:t xml:space="preserve">При формировании доходной части бюджета учтен "мораторий" на 2024 - 2026 гг. на направление страховых взносов на финансирование накопительной пенсии.</w:t>
      </w:r>
    </w:p>
    <w:p>
      <w:pPr>
        <w:pStyle w:val="0"/>
        <w:spacing w:before="200" w:line-rule="auto"/>
        <w:ind w:firstLine="540"/>
        <w:jc w:val="both"/>
      </w:pPr>
      <w:r>
        <w:rPr>
          <w:sz w:val="20"/>
        </w:rPr>
        <w:t xml:space="preserve">Также учтены доходы бюджета СФР от поступления межбюджетных трансфертов из бюджетов субъектов РФ в связи с введением с 1 апреля 2022 г. ежемесячной денежной выплаты на ребенка в возрасте от 8 до 17 лет, установленной </w:t>
      </w:r>
      <w:hyperlink w:history="0" r:id="rId32" w:tooltip="Указ Президента РФ от 31.03.2022 N 175 &quot;О ежемесячной денежной выплате семьям, имеющим детей&quot; ------------ Утратил силу или отменен {КонсультантПлюс}">
        <w:r>
          <w:rPr>
            <w:sz w:val="20"/>
            <w:color w:val="0000ff"/>
          </w:rPr>
          <w:t xml:space="preserve">Указом</w:t>
        </w:r>
      </w:hyperlink>
      <w:r>
        <w:rPr>
          <w:sz w:val="20"/>
        </w:rPr>
        <w:t xml:space="preserve"> Президента Российской Федерации от 31 марта 2022 г. N 175, и с 1 января 2023 г. ежемесячного пособия в связи с рождением и воспитанием ребенка гражданам, имеющим детей, и беременным женщинам в рамках исполнения </w:t>
      </w:r>
      <w:hyperlink w:history="0" r:id="rId33" w:tooltip="&quot;Перечень поручений по реализации Послания Президента Федеральному Собранию&quot; (утв. Президентом РФ 02.05.2021 N Пр-753) {КонсультантПлюс}">
        <w:r>
          <w:rPr>
            <w:sz w:val="20"/>
            <w:color w:val="0000ff"/>
          </w:rPr>
          <w:t xml:space="preserve">поручения</w:t>
        </w:r>
      </w:hyperlink>
      <w:r>
        <w:rPr>
          <w:sz w:val="20"/>
        </w:rPr>
        <w:t xml:space="preserve"> Президента Российской Федерации от 2 мая 2021 г. N Пр-753, предоставляемых на условии софинансирования.</w:t>
      </w:r>
    </w:p>
    <w:p>
      <w:pPr>
        <w:pStyle w:val="0"/>
        <w:spacing w:before="200" w:line-rule="auto"/>
        <w:ind w:firstLine="540"/>
        <w:jc w:val="both"/>
      </w:pPr>
      <w:r>
        <w:rPr>
          <w:sz w:val="20"/>
        </w:rPr>
        <w:t xml:space="preserve">Расходы в части обязательного пенсионного страхования сформированы с учетом следующих особенностей:</w:t>
      </w:r>
    </w:p>
    <w:p>
      <w:pPr>
        <w:pStyle w:val="0"/>
        <w:spacing w:before="200" w:line-rule="auto"/>
        <w:ind w:firstLine="540"/>
        <w:jc w:val="both"/>
      </w:pPr>
      <w:r>
        <w:rPr>
          <w:sz w:val="20"/>
        </w:rPr>
        <w:t xml:space="preserve">- учтено повышение пенсионного возраста, ежегодная корректировка и индексация страховых пенсий и фиксированной выплаты к страховой пенсии, а также пенсий по государственному пенсионному обеспечению с учетом предусмотренных законодательством параметров;</w:t>
      </w:r>
    </w:p>
    <w:p>
      <w:pPr>
        <w:pStyle w:val="0"/>
        <w:spacing w:before="200" w:line-rule="auto"/>
        <w:ind w:firstLine="540"/>
        <w:jc w:val="both"/>
      </w:pPr>
      <w:r>
        <w:rPr>
          <w:sz w:val="20"/>
        </w:rPr>
        <w:t xml:space="preserve">- расчет бюджетных ассигнований на осуществление отдельных полномочий, переданных СФР в виде выплат, пособий и компенсаций, осуществлен исходя из прогнозных показателей численности получателей, средних размеров соответствующих выплат и иных индикаторов в зависимости от характера мер государственной защиты (поддержки).</w:t>
      </w:r>
    </w:p>
    <w:p>
      <w:pPr>
        <w:pStyle w:val="0"/>
        <w:spacing w:before="200" w:line-rule="auto"/>
        <w:ind w:firstLine="540"/>
        <w:jc w:val="both"/>
      </w:pPr>
      <w:r>
        <w:rPr>
          <w:sz w:val="20"/>
        </w:rPr>
        <w:t xml:space="preserve">В части обязательного социального страхования расходы сформированы с учетом параметров, установленных действующим законодательством об обязательном социальном страховании на случай временной нетрудоспособности и в связи с материнством и об обязательном социальном страховании от несчастных случаев и профессиональных заболеваний.</w:t>
      </w:r>
    </w:p>
    <w:p>
      <w:pPr>
        <w:pStyle w:val="0"/>
        <w:spacing w:before="200" w:line-rule="auto"/>
        <w:ind w:firstLine="540"/>
        <w:jc w:val="both"/>
      </w:pPr>
      <w:r>
        <w:rPr>
          <w:sz w:val="20"/>
        </w:rPr>
        <w:t xml:space="preserve">Размеры пособий застрахованным лицам, имеющим детей, установленные в фиксированном размере, определены с учетом их ежегодной индексации с 1 февраля на индекс потребительских цен предыдущего года.</w:t>
      </w:r>
    </w:p>
    <w:p>
      <w:pPr>
        <w:pStyle w:val="0"/>
        <w:spacing w:before="200" w:line-rule="auto"/>
        <w:ind w:firstLine="540"/>
        <w:jc w:val="both"/>
      </w:pPr>
      <w:r>
        <w:rPr>
          <w:sz w:val="20"/>
        </w:rPr>
        <w:t xml:space="preserve">При расчете расходов на финансовое обеспечение единовременных и ежемесячных страховых выплат по обязательному социальному страхованию от несчастных случаев на производстве и профессиональных заболеваний сумма, из которой исчисляется их размер, предусмотрена с учетом ее ежегодной индексации с 1 февраля на индекс потребительских цен предыдущего года.</w:t>
      </w:r>
    </w:p>
    <w:p>
      <w:pPr>
        <w:pStyle w:val="0"/>
        <w:jc w:val="both"/>
      </w:pPr>
      <w:r>
        <w:rPr>
          <w:sz w:val="20"/>
        </w:rPr>
      </w:r>
    </w:p>
    <w:p>
      <w:pPr>
        <w:pStyle w:val="0"/>
        <w:ind w:firstLine="540"/>
        <w:jc w:val="both"/>
      </w:pPr>
      <w:r>
        <w:rPr>
          <w:sz w:val="20"/>
        </w:rPr>
        <w:t xml:space="preserve">Таблица 4.3.1. Основные характеристики бюджета Фонда пенсионного и социального страхования Российской Федерации в 2019 - 2026 гг. </w:t>
      </w:r>
      <w:hyperlink w:history="0" w:anchor="P2436" w:tooltip="&lt;*&gt; без учета накопительной составляющей пенсионной системы;">
        <w:r>
          <w:rPr>
            <w:sz w:val="20"/>
            <w:color w:val="0000ff"/>
          </w:rPr>
          <w:t xml:space="preserve">&lt;*&gt;</w:t>
        </w:r>
      </w:hyperlink>
    </w:p>
    <w:p>
      <w:pPr>
        <w:pStyle w:val="0"/>
        <w:jc w:val="both"/>
      </w:pPr>
      <w:r>
        <w:rPr>
          <w:sz w:val="20"/>
        </w:rPr>
      </w:r>
    </w:p>
    <w:p>
      <w:pPr>
        <w:pStyle w:val="0"/>
        <w:jc w:val="right"/>
      </w:pPr>
      <w:r>
        <w:rPr>
          <w:sz w:val="20"/>
        </w:rPr>
        <w:t xml:space="preserve">млрд рублей</w:t>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tblBorders>
        <w:tblCellMar>
          <w:top w:w="102" w:type="dxa"/>
          <w:left w:w="62" w:type="dxa"/>
          <w:bottom w:w="102" w:type="dxa"/>
          <w:right w:w="62" w:type="dxa"/>
        </w:tblCellMar>
      </w:tblPr>
      <w:tblGrid>
        <w:gridCol w:w="2154"/>
        <w:gridCol w:w="1020"/>
        <w:gridCol w:w="1020"/>
        <w:gridCol w:w="1020"/>
        <w:gridCol w:w="1191"/>
        <w:gridCol w:w="1247"/>
        <w:gridCol w:w="1020"/>
        <w:gridCol w:w="1020"/>
        <w:gridCol w:w="1020"/>
      </w:tblGrid>
      <w:tr>
        <w:tblPrEx>
          <w:tblBorders>
            <w:insideH w:val="single" w:sz="4"/>
          </w:tblBorders>
        </w:tblPrEx>
        <w:tc>
          <w:tcPr>
            <w:tcW w:w="2154" w:type="dxa"/>
            <w:tcBorders>
              <w:top w:val="single" w:sz="4"/>
              <w:left w:val="nil"/>
              <w:bottom w:val="single" w:sz="4"/>
              <w:right w:val="nil"/>
            </w:tcBorders>
          </w:tcPr>
          <w:p>
            <w:pPr>
              <w:pStyle w:val="0"/>
              <w:jc w:val="center"/>
            </w:pPr>
            <w:r>
              <w:rPr>
                <w:sz w:val="20"/>
              </w:rPr>
              <w:t xml:space="preserve">Показатель</w:t>
            </w:r>
          </w:p>
        </w:tc>
        <w:tc>
          <w:tcPr>
            <w:tcW w:w="1020" w:type="dxa"/>
            <w:tcBorders>
              <w:top w:val="single" w:sz="4"/>
              <w:left w:val="nil"/>
              <w:bottom w:val="single" w:sz="4"/>
              <w:right w:val="nil"/>
            </w:tcBorders>
          </w:tcPr>
          <w:p>
            <w:pPr>
              <w:pStyle w:val="0"/>
              <w:jc w:val="center"/>
            </w:pPr>
            <w:r>
              <w:rPr>
                <w:sz w:val="20"/>
              </w:rPr>
              <w:t xml:space="preserve">2019 </w:t>
            </w:r>
            <w:hyperlink w:history="0" w:anchor="P2437" w:tooltip="&lt;**&gt; отчетные данные об исполнении бюджетов ПФР и ФСС как обособленных юридических лиц;">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2020 </w:t>
            </w:r>
            <w:hyperlink w:history="0" w:anchor="P2437" w:tooltip="&lt;**&gt; отчетные данные об исполнении бюджетов ПФР и ФСС как обособленных юридических лиц;">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2021 </w:t>
            </w:r>
            <w:hyperlink w:history="0" w:anchor="P2437" w:tooltip="&lt;**&gt; отчетные данные об исполнении бюджетов ПФР и ФСС как обособленных юридических лиц;">
              <w:r>
                <w:rPr>
                  <w:sz w:val="20"/>
                  <w:color w:val="0000ff"/>
                </w:rPr>
                <w:t xml:space="preserve">&lt;**&gt;</w:t>
              </w:r>
            </w:hyperlink>
          </w:p>
        </w:tc>
        <w:tc>
          <w:tcPr>
            <w:tcW w:w="1191" w:type="dxa"/>
            <w:tcBorders>
              <w:top w:val="single" w:sz="4"/>
              <w:left w:val="nil"/>
              <w:bottom w:val="single" w:sz="4"/>
              <w:right w:val="nil"/>
            </w:tcBorders>
          </w:tcPr>
          <w:p>
            <w:pPr>
              <w:pStyle w:val="0"/>
              <w:jc w:val="center"/>
            </w:pPr>
            <w:r>
              <w:rPr>
                <w:sz w:val="20"/>
              </w:rPr>
              <w:t xml:space="preserve">2022 </w:t>
            </w:r>
            <w:hyperlink w:history="0" w:anchor="P2437" w:tooltip="&lt;**&gt; отчетные данные об исполнении бюджетов ПФР и ФСС как обособленных юридических лиц;">
              <w:r>
                <w:rPr>
                  <w:sz w:val="20"/>
                  <w:color w:val="0000ff"/>
                </w:rPr>
                <w:t xml:space="preserve">&lt;**&gt;</w:t>
              </w:r>
            </w:hyperlink>
          </w:p>
        </w:tc>
        <w:tc>
          <w:tcPr>
            <w:tcW w:w="1247" w:type="dxa"/>
            <w:tcBorders>
              <w:top w:val="single" w:sz="4"/>
              <w:left w:val="nil"/>
              <w:bottom w:val="single" w:sz="4"/>
              <w:right w:val="nil"/>
            </w:tcBorders>
          </w:tcPr>
          <w:p>
            <w:pPr>
              <w:pStyle w:val="0"/>
              <w:jc w:val="center"/>
            </w:pPr>
            <w:r>
              <w:rPr>
                <w:sz w:val="20"/>
              </w:rPr>
              <w:t xml:space="preserve">2023 </w:t>
            </w:r>
            <w:hyperlink w:history="0" w:anchor="P2438" w:tooltip="&lt;***&gt; параметры с учетом показателей сводной бюджетной росписи федерального бюджета по состоянию на 1 сентября 2023 г.;">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2024</w:t>
            </w:r>
          </w:p>
        </w:tc>
        <w:tc>
          <w:tcPr>
            <w:tcW w:w="1020" w:type="dxa"/>
            <w:tcBorders>
              <w:top w:val="single" w:sz="4"/>
              <w:left w:val="nil"/>
              <w:bottom w:val="single" w:sz="4"/>
              <w:right w:val="nil"/>
            </w:tcBorders>
          </w:tcPr>
          <w:p>
            <w:pPr>
              <w:pStyle w:val="0"/>
              <w:jc w:val="center"/>
            </w:pPr>
            <w:r>
              <w:rPr>
                <w:sz w:val="20"/>
              </w:rPr>
              <w:t xml:space="preserve">2025</w:t>
            </w:r>
          </w:p>
        </w:tc>
        <w:tc>
          <w:tcPr>
            <w:tcW w:w="1020" w:type="dxa"/>
            <w:tcBorders>
              <w:top w:val="single" w:sz="4"/>
              <w:left w:val="nil"/>
              <w:bottom w:val="single" w:sz="4"/>
              <w:right w:val="nil"/>
            </w:tcBorders>
          </w:tcPr>
          <w:p>
            <w:pPr>
              <w:pStyle w:val="0"/>
              <w:jc w:val="center"/>
            </w:pPr>
            <w:r>
              <w:rPr>
                <w:sz w:val="20"/>
              </w:rPr>
              <w:t xml:space="preserve">2026</w:t>
            </w:r>
          </w:p>
        </w:tc>
      </w:tr>
      <w:tr>
        <w:tc>
          <w:tcPr>
            <w:tcW w:w="2154" w:type="dxa"/>
            <w:tcBorders>
              <w:top w:val="single" w:sz="4"/>
              <w:left w:val="nil"/>
              <w:bottom w:val="nil"/>
              <w:right w:val="nil"/>
            </w:tcBorders>
          </w:tcPr>
          <w:p>
            <w:pPr>
              <w:pStyle w:val="0"/>
            </w:pPr>
            <w:r>
              <w:rPr>
                <w:sz w:val="20"/>
              </w:rPr>
              <w:t xml:space="preserve">Доходы</w:t>
            </w:r>
          </w:p>
        </w:tc>
        <w:tc>
          <w:tcPr>
            <w:tcW w:w="1020" w:type="dxa"/>
            <w:vAlign w:val="center"/>
            <w:tcBorders>
              <w:top w:val="single" w:sz="4"/>
              <w:left w:val="nil"/>
              <w:bottom w:val="nil"/>
              <w:right w:val="nil"/>
            </w:tcBorders>
          </w:tcPr>
          <w:p>
            <w:pPr>
              <w:pStyle w:val="0"/>
              <w:jc w:val="center"/>
            </w:pPr>
            <w:r>
              <w:rPr>
                <w:sz w:val="20"/>
              </w:rPr>
              <w:t xml:space="preserve">9 490,8</w:t>
            </w:r>
          </w:p>
        </w:tc>
        <w:tc>
          <w:tcPr>
            <w:tcW w:w="1020" w:type="dxa"/>
            <w:vAlign w:val="center"/>
            <w:tcBorders>
              <w:top w:val="single" w:sz="4"/>
              <w:left w:val="nil"/>
              <w:bottom w:val="nil"/>
              <w:right w:val="nil"/>
            </w:tcBorders>
          </w:tcPr>
          <w:p>
            <w:pPr>
              <w:pStyle w:val="0"/>
              <w:jc w:val="center"/>
            </w:pPr>
            <w:r>
              <w:rPr>
                <w:sz w:val="20"/>
              </w:rPr>
              <w:t xml:space="preserve">11 162,3</w:t>
            </w:r>
          </w:p>
        </w:tc>
        <w:tc>
          <w:tcPr>
            <w:tcW w:w="1020" w:type="dxa"/>
            <w:vAlign w:val="center"/>
            <w:tcBorders>
              <w:top w:val="single" w:sz="4"/>
              <w:left w:val="nil"/>
              <w:bottom w:val="nil"/>
              <w:right w:val="nil"/>
            </w:tcBorders>
          </w:tcPr>
          <w:p>
            <w:pPr>
              <w:pStyle w:val="0"/>
              <w:jc w:val="center"/>
            </w:pPr>
            <w:r>
              <w:rPr>
                <w:sz w:val="20"/>
              </w:rPr>
              <w:t xml:space="preserve">11 178,9</w:t>
            </w:r>
          </w:p>
        </w:tc>
        <w:tc>
          <w:tcPr>
            <w:tcW w:w="1191" w:type="dxa"/>
            <w:vAlign w:val="center"/>
            <w:tcBorders>
              <w:top w:val="single" w:sz="4"/>
              <w:left w:val="nil"/>
              <w:bottom w:val="nil"/>
              <w:right w:val="nil"/>
            </w:tcBorders>
          </w:tcPr>
          <w:p>
            <w:pPr>
              <w:pStyle w:val="0"/>
              <w:jc w:val="center"/>
            </w:pPr>
            <w:r>
              <w:rPr>
                <w:sz w:val="20"/>
              </w:rPr>
              <w:t xml:space="preserve">13 455,7</w:t>
            </w:r>
          </w:p>
        </w:tc>
        <w:tc>
          <w:tcPr>
            <w:tcW w:w="1247" w:type="dxa"/>
            <w:vAlign w:val="center"/>
            <w:tcBorders>
              <w:top w:val="single" w:sz="4"/>
              <w:left w:val="nil"/>
              <w:bottom w:val="nil"/>
              <w:right w:val="nil"/>
            </w:tcBorders>
          </w:tcPr>
          <w:p>
            <w:pPr>
              <w:pStyle w:val="0"/>
              <w:jc w:val="center"/>
            </w:pPr>
            <w:r>
              <w:rPr>
                <w:sz w:val="20"/>
              </w:rPr>
              <w:t xml:space="preserve">12 143,5</w:t>
            </w:r>
          </w:p>
        </w:tc>
        <w:tc>
          <w:tcPr>
            <w:tcW w:w="1020" w:type="dxa"/>
            <w:vAlign w:val="center"/>
            <w:tcBorders>
              <w:top w:val="single" w:sz="4"/>
              <w:left w:val="nil"/>
              <w:bottom w:val="nil"/>
              <w:right w:val="nil"/>
            </w:tcBorders>
          </w:tcPr>
          <w:p>
            <w:pPr>
              <w:pStyle w:val="0"/>
              <w:jc w:val="center"/>
            </w:pPr>
            <w:r>
              <w:rPr>
                <w:sz w:val="20"/>
              </w:rPr>
              <w:t xml:space="preserve">15 922,5</w:t>
            </w:r>
          </w:p>
        </w:tc>
        <w:tc>
          <w:tcPr>
            <w:tcW w:w="1020" w:type="dxa"/>
            <w:vAlign w:val="center"/>
            <w:tcBorders>
              <w:top w:val="single" w:sz="4"/>
              <w:left w:val="nil"/>
              <w:bottom w:val="nil"/>
              <w:right w:val="nil"/>
            </w:tcBorders>
          </w:tcPr>
          <w:p>
            <w:pPr>
              <w:pStyle w:val="0"/>
              <w:jc w:val="center"/>
            </w:pPr>
            <w:r>
              <w:rPr>
                <w:sz w:val="20"/>
              </w:rPr>
              <w:t xml:space="preserve">16 314,6</w:t>
            </w:r>
          </w:p>
        </w:tc>
        <w:tc>
          <w:tcPr>
            <w:tcW w:w="1020" w:type="dxa"/>
            <w:vAlign w:val="center"/>
            <w:tcBorders>
              <w:top w:val="single" w:sz="4"/>
              <w:left w:val="nil"/>
              <w:bottom w:val="nil"/>
              <w:right w:val="nil"/>
            </w:tcBorders>
          </w:tcPr>
          <w:p>
            <w:pPr>
              <w:pStyle w:val="0"/>
              <w:jc w:val="center"/>
            </w:pPr>
            <w:r>
              <w:rPr>
                <w:sz w:val="20"/>
              </w:rPr>
              <w:t xml:space="preserve">17 285,2</w:t>
            </w:r>
          </w:p>
        </w:tc>
      </w:tr>
      <w:tr>
        <w:tc>
          <w:tcPr>
            <w:tcW w:w="2154" w:type="dxa"/>
            <w:tcBorders>
              <w:top w:val="nil"/>
              <w:left w:val="nil"/>
              <w:bottom w:val="nil"/>
              <w:right w:val="nil"/>
            </w:tcBorders>
          </w:tcPr>
          <w:p>
            <w:pPr>
              <w:pStyle w:val="0"/>
            </w:pPr>
            <w:r>
              <w:rPr>
                <w:sz w:val="20"/>
              </w:rPr>
              <w:t xml:space="preserve">Межбюджетные трансферты</w:t>
            </w:r>
          </w:p>
        </w:tc>
        <w:tc>
          <w:tcPr>
            <w:tcW w:w="1020" w:type="dxa"/>
            <w:vAlign w:val="center"/>
            <w:tcBorders>
              <w:top w:val="nil"/>
              <w:left w:val="nil"/>
              <w:bottom w:val="nil"/>
              <w:right w:val="nil"/>
            </w:tcBorders>
          </w:tcPr>
          <w:p>
            <w:pPr>
              <w:pStyle w:val="0"/>
              <w:jc w:val="center"/>
            </w:pPr>
            <w:r>
              <w:rPr>
                <w:sz w:val="20"/>
              </w:rPr>
              <w:t xml:space="preserve">3 364,0</w:t>
            </w:r>
          </w:p>
        </w:tc>
        <w:tc>
          <w:tcPr>
            <w:tcW w:w="1020" w:type="dxa"/>
            <w:vAlign w:val="center"/>
            <w:tcBorders>
              <w:top w:val="nil"/>
              <w:left w:val="nil"/>
              <w:bottom w:val="nil"/>
              <w:right w:val="nil"/>
            </w:tcBorders>
          </w:tcPr>
          <w:p>
            <w:pPr>
              <w:pStyle w:val="0"/>
              <w:jc w:val="center"/>
            </w:pPr>
            <w:r>
              <w:rPr>
                <w:sz w:val="20"/>
              </w:rPr>
              <w:t xml:space="preserve">4 947,4</w:t>
            </w:r>
          </w:p>
        </w:tc>
        <w:tc>
          <w:tcPr>
            <w:tcW w:w="1020" w:type="dxa"/>
            <w:vAlign w:val="center"/>
            <w:tcBorders>
              <w:top w:val="nil"/>
              <w:left w:val="nil"/>
              <w:bottom w:val="nil"/>
              <w:right w:val="nil"/>
            </w:tcBorders>
          </w:tcPr>
          <w:p>
            <w:pPr>
              <w:pStyle w:val="0"/>
              <w:jc w:val="center"/>
            </w:pPr>
            <w:r>
              <w:rPr>
                <w:sz w:val="20"/>
              </w:rPr>
              <w:t xml:space="preserve">4 541,1</w:t>
            </w:r>
          </w:p>
        </w:tc>
        <w:tc>
          <w:tcPr>
            <w:tcW w:w="1191" w:type="dxa"/>
            <w:vAlign w:val="center"/>
            <w:tcBorders>
              <w:top w:val="nil"/>
              <w:left w:val="nil"/>
              <w:bottom w:val="nil"/>
              <w:right w:val="nil"/>
            </w:tcBorders>
          </w:tcPr>
          <w:p>
            <w:pPr>
              <w:pStyle w:val="0"/>
              <w:jc w:val="center"/>
            </w:pPr>
            <w:r>
              <w:rPr>
                <w:sz w:val="20"/>
              </w:rPr>
              <w:t xml:space="preserve">6 426,8</w:t>
            </w:r>
          </w:p>
        </w:tc>
        <w:tc>
          <w:tcPr>
            <w:tcW w:w="1247" w:type="dxa"/>
            <w:vAlign w:val="center"/>
            <w:tcBorders>
              <w:top w:val="nil"/>
              <w:left w:val="nil"/>
              <w:bottom w:val="nil"/>
              <w:right w:val="nil"/>
            </w:tcBorders>
          </w:tcPr>
          <w:p>
            <w:pPr>
              <w:pStyle w:val="0"/>
              <w:jc w:val="center"/>
            </w:pPr>
            <w:r>
              <w:rPr>
                <w:sz w:val="20"/>
              </w:rPr>
              <w:t xml:space="preserve">3 805,3</w:t>
            </w:r>
          </w:p>
        </w:tc>
        <w:tc>
          <w:tcPr>
            <w:tcW w:w="1020" w:type="dxa"/>
            <w:vAlign w:val="center"/>
            <w:tcBorders>
              <w:top w:val="nil"/>
              <w:left w:val="nil"/>
              <w:bottom w:val="nil"/>
              <w:right w:val="nil"/>
            </w:tcBorders>
          </w:tcPr>
          <w:p>
            <w:pPr>
              <w:pStyle w:val="0"/>
              <w:jc w:val="center"/>
            </w:pPr>
            <w:r>
              <w:rPr>
                <w:sz w:val="20"/>
              </w:rPr>
              <w:t xml:space="preserve">5 829,6</w:t>
            </w:r>
          </w:p>
        </w:tc>
        <w:tc>
          <w:tcPr>
            <w:tcW w:w="1020" w:type="dxa"/>
            <w:vAlign w:val="center"/>
            <w:tcBorders>
              <w:top w:val="nil"/>
              <w:left w:val="nil"/>
              <w:bottom w:val="nil"/>
              <w:right w:val="nil"/>
            </w:tcBorders>
          </w:tcPr>
          <w:p>
            <w:pPr>
              <w:pStyle w:val="0"/>
              <w:jc w:val="center"/>
            </w:pPr>
            <w:r>
              <w:rPr>
                <w:sz w:val="20"/>
              </w:rPr>
              <w:t xml:space="preserve">5 720,0</w:t>
            </w:r>
          </w:p>
        </w:tc>
        <w:tc>
          <w:tcPr>
            <w:tcW w:w="1020" w:type="dxa"/>
            <w:vAlign w:val="center"/>
            <w:tcBorders>
              <w:top w:val="nil"/>
              <w:left w:val="nil"/>
              <w:bottom w:val="nil"/>
              <w:right w:val="nil"/>
            </w:tcBorders>
          </w:tcPr>
          <w:p>
            <w:pPr>
              <w:pStyle w:val="0"/>
              <w:jc w:val="center"/>
            </w:pPr>
            <w:r>
              <w:rPr>
                <w:sz w:val="20"/>
              </w:rPr>
              <w:t xml:space="preserve">5 938,4</w:t>
            </w:r>
          </w:p>
        </w:tc>
      </w:tr>
      <w:tr>
        <w:tc>
          <w:tcPr>
            <w:tcW w:w="2154" w:type="dxa"/>
            <w:tcBorders>
              <w:top w:val="nil"/>
              <w:left w:val="nil"/>
              <w:bottom w:val="nil"/>
              <w:right w:val="nil"/>
            </w:tcBorders>
          </w:tcPr>
          <w:p>
            <w:pPr>
              <w:pStyle w:val="0"/>
              <w:ind w:left="283"/>
            </w:pPr>
            <w:r>
              <w:rPr>
                <w:sz w:val="20"/>
              </w:rPr>
              <w:t xml:space="preserve">из федерального бюджета, в т.ч.</w:t>
            </w:r>
          </w:p>
        </w:tc>
        <w:tc>
          <w:tcPr>
            <w:tcW w:w="1020" w:type="dxa"/>
            <w:vAlign w:val="center"/>
            <w:tcBorders>
              <w:top w:val="nil"/>
              <w:left w:val="nil"/>
              <w:bottom w:val="nil"/>
              <w:right w:val="nil"/>
            </w:tcBorders>
          </w:tcPr>
          <w:p>
            <w:pPr>
              <w:pStyle w:val="0"/>
              <w:jc w:val="center"/>
            </w:pPr>
            <w:r>
              <w:rPr>
                <w:sz w:val="20"/>
              </w:rPr>
              <w:t xml:space="preserve">3 346,7</w:t>
            </w:r>
          </w:p>
        </w:tc>
        <w:tc>
          <w:tcPr>
            <w:tcW w:w="1020" w:type="dxa"/>
            <w:vAlign w:val="center"/>
            <w:tcBorders>
              <w:top w:val="nil"/>
              <w:left w:val="nil"/>
              <w:bottom w:val="nil"/>
              <w:right w:val="nil"/>
            </w:tcBorders>
          </w:tcPr>
          <w:p>
            <w:pPr>
              <w:pStyle w:val="0"/>
              <w:jc w:val="center"/>
            </w:pPr>
            <w:r>
              <w:rPr>
                <w:sz w:val="20"/>
              </w:rPr>
              <w:t xml:space="preserve">4 931,7</w:t>
            </w:r>
          </w:p>
        </w:tc>
        <w:tc>
          <w:tcPr>
            <w:tcW w:w="1020" w:type="dxa"/>
            <w:vAlign w:val="center"/>
            <w:tcBorders>
              <w:top w:val="nil"/>
              <w:left w:val="nil"/>
              <w:bottom w:val="nil"/>
              <w:right w:val="nil"/>
            </w:tcBorders>
          </w:tcPr>
          <w:p>
            <w:pPr>
              <w:pStyle w:val="0"/>
              <w:jc w:val="center"/>
            </w:pPr>
            <w:r>
              <w:rPr>
                <w:sz w:val="20"/>
              </w:rPr>
              <w:t xml:space="preserve">4 525,6</w:t>
            </w:r>
          </w:p>
        </w:tc>
        <w:tc>
          <w:tcPr>
            <w:tcW w:w="1191" w:type="dxa"/>
            <w:vAlign w:val="center"/>
            <w:tcBorders>
              <w:top w:val="nil"/>
              <w:left w:val="nil"/>
              <w:bottom w:val="nil"/>
              <w:right w:val="nil"/>
            </w:tcBorders>
          </w:tcPr>
          <w:p>
            <w:pPr>
              <w:pStyle w:val="0"/>
              <w:jc w:val="center"/>
            </w:pPr>
            <w:r>
              <w:rPr>
                <w:sz w:val="20"/>
              </w:rPr>
              <w:t xml:space="preserve">6 322,6</w:t>
            </w:r>
          </w:p>
        </w:tc>
        <w:tc>
          <w:tcPr>
            <w:tcW w:w="1247" w:type="dxa"/>
            <w:vAlign w:val="center"/>
            <w:tcBorders>
              <w:top w:val="nil"/>
              <w:left w:val="nil"/>
              <w:bottom w:val="nil"/>
              <w:right w:val="nil"/>
            </w:tcBorders>
          </w:tcPr>
          <w:p>
            <w:pPr>
              <w:pStyle w:val="0"/>
              <w:jc w:val="center"/>
            </w:pPr>
            <w:r>
              <w:rPr>
                <w:sz w:val="20"/>
              </w:rPr>
              <w:t xml:space="preserve">3 498,6</w:t>
            </w:r>
          </w:p>
        </w:tc>
        <w:tc>
          <w:tcPr>
            <w:tcW w:w="1020" w:type="dxa"/>
            <w:vAlign w:val="center"/>
            <w:tcBorders>
              <w:top w:val="nil"/>
              <w:left w:val="nil"/>
              <w:bottom w:val="nil"/>
              <w:right w:val="nil"/>
            </w:tcBorders>
          </w:tcPr>
          <w:p>
            <w:pPr>
              <w:pStyle w:val="0"/>
              <w:jc w:val="center"/>
            </w:pPr>
            <w:r>
              <w:rPr>
                <w:sz w:val="20"/>
              </w:rPr>
              <w:t xml:space="preserve">5 423,5</w:t>
            </w:r>
          </w:p>
        </w:tc>
        <w:tc>
          <w:tcPr>
            <w:tcW w:w="1020" w:type="dxa"/>
            <w:vAlign w:val="center"/>
            <w:tcBorders>
              <w:top w:val="nil"/>
              <w:left w:val="nil"/>
              <w:bottom w:val="nil"/>
              <w:right w:val="nil"/>
            </w:tcBorders>
          </w:tcPr>
          <w:p>
            <w:pPr>
              <w:pStyle w:val="0"/>
              <w:jc w:val="center"/>
            </w:pPr>
            <w:r>
              <w:rPr>
                <w:sz w:val="20"/>
              </w:rPr>
              <w:t xml:space="preserve">5 286,3</w:t>
            </w:r>
          </w:p>
        </w:tc>
        <w:tc>
          <w:tcPr>
            <w:tcW w:w="1020" w:type="dxa"/>
            <w:vAlign w:val="center"/>
            <w:tcBorders>
              <w:top w:val="nil"/>
              <w:left w:val="nil"/>
              <w:bottom w:val="nil"/>
              <w:right w:val="nil"/>
            </w:tcBorders>
          </w:tcPr>
          <w:p>
            <w:pPr>
              <w:pStyle w:val="0"/>
              <w:jc w:val="center"/>
            </w:pPr>
            <w:r>
              <w:rPr>
                <w:sz w:val="20"/>
              </w:rPr>
              <w:t xml:space="preserve">5 416,1</w:t>
            </w:r>
          </w:p>
        </w:tc>
      </w:tr>
      <w:tr>
        <w:tc>
          <w:tcPr>
            <w:tcW w:w="2154" w:type="dxa"/>
            <w:tcBorders>
              <w:top w:val="nil"/>
              <w:left w:val="nil"/>
              <w:bottom w:val="nil"/>
              <w:right w:val="nil"/>
            </w:tcBorders>
          </w:tcPr>
          <w:p>
            <w:pPr>
              <w:pStyle w:val="0"/>
              <w:ind w:left="567"/>
            </w:pPr>
            <w:r>
              <w:rPr>
                <w:sz w:val="20"/>
              </w:rPr>
              <w:t xml:space="preserve">переходящие от ПФР</w:t>
            </w:r>
          </w:p>
        </w:tc>
        <w:tc>
          <w:tcPr>
            <w:tcW w:w="1020" w:type="dxa"/>
            <w:vAlign w:val="center"/>
            <w:tcBorders>
              <w:top w:val="nil"/>
              <w:left w:val="nil"/>
              <w:bottom w:val="nil"/>
              <w:right w:val="nil"/>
            </w:tcBorders>
          </w:tcPr>
          <w:p>
            <w:pPr>
              <w:pStyle w:val="0"/>
              <w:jc w:val="center"/>
            </w:pPr>
            <w:r>
              <w:rPr>
                <w:sz w:val="20"/>
              </w:rPr>
              <w:t xml:space="preserve">3 303,8</w:t>
            </w:r>
          </w:p>
        </w:tc>
        <w:tc>
          <w:tcPr>
            <w:tcW w:w="1020" w:type="dxa"/>
            <w:vAlign w:val="center"/>
            <w:tcBorders>
              <w:top w:val="nil"/>
              <w:left w:val="nil"/>
              <w:bottom w:val="nil"/>
              <w:right w:val="nil"/>
            </w:tcBorders>
          </w:tcPr>
          <w:p>
            <w:pPr>
              <w:pStyle w:val="0"/>
              <w:jc w:val="center"/>
            </w:pPr>
            <w:r>
              <w:rPr>
                <w:sz w:val="20"/>
              </w:rPr>
              <w:t xml:space="preserve">4 783,0</w:t>
            </w:r>
          </w:p>
        </w:tc>
        <w:tc>
          <w:tcPr>
            <w:tcW w:w="1020" w:type="dxa"/>
            <w:vAlign w:val="center"/>
            <w:tcBorders>
              <w:top w:val="nil"/>
              <w:left w:val="nil"/>
              <w:bottom w:val="nil"/>
              <w:right w:val="nil"/>
            </w:tcBorders>
          </w:tcPr>
          <w:p>
            <w:pPr>
              <w:pStyle w:val="0"/>
              <w:jc w:val="center"/>
            </w:pPr>
            <w:r>
              <w:rPr>
                <w:sz w:val="20"/>
              </w:rPr>
              <w:t xml:space="preserve">3 764,1</w:t>
            </w:r>
          </w:p>
        </w:tc>
        <w:tc>
          <w:tcPr>
            <w:tcW w:w="1191" w:type="dxa"/>
            <w:vAlign w:val="center"/>
            <w:tcBorders>
              <w:top w:val="nil"/>
              <w:left w:val="nil"/>
              <w:bottom w:val="nil"/>
              <w:right w:val="nil"/>
            </w:tcBorders>
          </w:tcPr>
          <w:p>
            <w:pPr>
              <w:pStyle w:val="0"/>
              <w:jc w:val="center"/>
            </w:pPr>
            <w:r>
              <w:rPr>
                <w:sz w:val="20"/>
              </w:rPr>
              <w:t xml:space="preserve">6 080,3</w:t>
            </w:r>
          </w:p>
        </w:tc>
        <w:tc>
          <w:tcPr>
            <w:tcW w:w="1247" w:type="dxa"/>
            <w:vAlign w:val="center"/>
            <w:tcBorders>
              <w:top w:val="nil"/>
              <w:left w:val="nil"/>
              <w:bottom w:val="nil"/>
              <w:right w:val="nil"/>
            </w:tcBorders>
          </w:tcPr>
          <w:p>
            <w:pPr>
              <w:pStyle w:val="0"/>
              <w:jc w:val="center"/>
            </w:pPr>
            <w:r>
              <w:rPr>
                <w:sz w:val="20"/>
              </w:rPr>
              <w:t xml:space="preserve">3 348,9</w:t>
            </w:r>
          </w:p>
        </w:tc>
        <w:tc>
          <w:tcPr>
            <w:tcW w:w="1020" w:type="dxa"/>
            <w:vAlign w:val="center"/>
            <w:tcBorders>
              <w:top w:val="nil"/>
              <w:left w:val="nil"/>
              <w:bottom w:val="nil"/>
              <w:right w:val="nil"/>
            </w:tcBorders>
          </w:tcPr>
          <w:p>
            <w:pPr>
              <w:pStyle w:val="0"/>
              <w:jc w:val="center"/>
            </w:pPr>
            <w:r>
              <w:rPr>
                <w:sz w:val="20"/>
              </w:rPr>
              <w:t xml:space="preserve">5 247,9</w:t>
            </w:r>
          </w:p>
        </w:tc>
        <w:tc>
          <w:tcPr>
            <w:tcW w:w="1020" w:type="dxa"/>
            <w:vAlign w:val="center"/>
            <w:tcBorders>
              <w:top w:val="nil"/>
              <w:left w:val="nil"/>
              <w:bottom w:val="nil"/>
              <w:right w:val="nil"/>
            </w:tcBorders>
          </w:tcPr>
          <w:p>
            <w:pPr>
              <w:pStyle w:val="0"/>
              <w:jc w:val="center"/>
            </w:pPr>
            <w:r>
              <w:rPr>
                <w:sz w:val="20"/>
              </w:rPr>
              <w:t xml:space="preserve">5 103,4</w:t>
            </w:r>
          </w:p>
        </w:tc>
        <w:tc>
          <w:tcPr>
            <w:tcW w:w="1020" w:type="dxa"/>
            <w:vAlign w:val="center"/>
            <w:tcBorders>
              <w:top w:val="nil"/>
              <w:left w:val="nil"/>
              <w:bottom w:val="nil"/>
              <w:right w:val="nil"/>
            </w:tcBorders>
          </w:tcPr>
          <w:p>
            <w:pPr>
              <w:pStyle w:val="0"/>
              <w:jc w:val="center"/>
            </w:pPr>
            <w:r>
              <w:rPr>
                <w:sz w:val="20"/>
              </w:rPr>
              <w:t xml:space="preserve">5 224,3</w:t>
            </w:r>
          </w:p>
        </w:tc>
      </w:tr>
      <w:tr>
        <w:tc>
          <w:tcPr>
            <w:tcW w:w="2154" w:type="dxa"/>
            <w:tcBorders>
              <w:top w:val="nil"/>
              <w:left w:val="nil"/>
              <w:bottom w:val="nil"/>
              <w:right w:val="nil"/>
            </w:tcBorders>
          </w:tcPr>
          <w:p>
            <w:pPr>
              <w:pStyle w:val="0"/>
              <w:ind w:left="567"/>
            </w:pPr>
            <w:r>
              <w:rPr>
                <w:sz w:val="20"/>
              </w:rPr>
              <w:t xml:space="preserve">переходящие от ФСС</w:t>
            </w:r>
          </w:p>
        </w:tc>
        <w:tc>
          <w:tcPr>
            <w:tcW w:w="1020" w:type="dxa"/>
            <w:vAlign w:val="center"/>
            <w:tcBorders>
              <w:top w:val="nil"/>
              <w:left w:val="nil"/>
              <w:bottom w:val="nil"/>
              <w:right w:val="nil"/>
            </w:tcBorders>
          </w:tcPr>
          <w:p>
            <w:pPr>
              <w:pStyle w:val="0"/>
              <w:jc w:val="center"/>
            </w:pPr>
            <w:r>
              <w:rPr>
                <w:sz w:val="20"/>
              </w:rPr>
              <w:t xml:space="preserve">42,8</w:t>
            </w:r>
          </w:p>
        </w:tc>
        <w:tc>
          <w:tcPr>
            <w:tcW w:w="1020" w:type="dxa"/>
            <w:vAlign w:val="center"/>
            <w:tcBorders>
              <w:top w:val="nil"/>
              <w:left w:val="nil"/>
              <w:bottom w:val="nil"/>
              <w:right w:val="nil"/>
            </w:tcBorders>
          </w:tcPr>
          <w:p>
            <w:pPr>
              <w:pStyle w:val="0"/>
              <w:jc w:val="center"/>
            </w:pPr>
            <w:r>
              <w:rPr>
                <w:sz w:val="20"/>
              </w:rPr>
              <w:t xml:space="preserve">148,7</w:t>
            </w:r>
          </w:p>
        </w:tc>
        <w:tc>
          <w:tcPr>
            <w:tcW w:w="1020" w:type="dxa"/>
            <w:vAlign w:val="center"/>
            <w:tcBorders>
              <w:top w:val="nil"/>
              <w:left w:val="nil"/>
              <w:bottom w:val="nil"/>
              <w:right w:val="nil"/>
            </w:tcBorders>
          </w:tcPr>
          <w:p>
            <w:pPr>
              <w:pStyle w:val="0"/>
              <w:jc w:val="center"/>
            </w:pPr>
            <w:r>
              <w:rPr>
                <w:sz w:val="20"/>
              </w:rPr>
              <w:t xml:space="preserve">761,5</w:t>
            </w:r>
          </w:p>
        </w:tc>
        <w:tc>
          <w:tcPr>
            <w:tcW w:w="1191" w:type="dxa"/>
            <w:vAlign w:val="center"/>
            <w:tcBorders>
              <w:top w:val="nil"/>
              <w:left w:val="nil"/>
              <w:bottom w:val="nil"/>
              <w:right w:val="nil"/>
            </w:tcBorders>
          </w:tcPr>
          <w:p>
            <w:pPr>
              <w:pStyle w:val="0"/>
              <w:jc w:val="center"/>
            </w:pPr>
            <w:r>
              <w:rPr>
                <w:sz w:val="20"/>
              </w:rPr>
              <w:t xml:space="preserve">242,3</w:t>
            </w:r>
          </w:p>
        </w:tc>
        <w:tc>
          <w:tcPr>
            <w:tcW w:w="1247" w:type="dxa"/>
            <w:vAlign w:val="center"/>
            <w:tcBorders>
              <w:top w:val="nil"/>
              <w:left w:val="nil"/>
              <w:bottom w:val="nil"/>
              <w:right w:val="nil"/>
            </w:tcBorders>
          </w:tcPr>
          <w:p>
            <w:pPr>
              <w:pStyle w:val="0"/>
              <w:jc w:val="center"/>
            </w:pPr>
            <w:r>
              <w:rPr>
                <w:sz w:val="20"/>
              </w:rPr>
              <w:t xml:space="preserve">149,7</w:t>
            </w:r>
          </w:p>
        </w:tc>
        <w:tc>
          <w:tcPr>
            <w:tcW w:w="1020" w:type="dxa"/>
            <w:vAlign w:val="center"/>
            <w:tcBorders>
              <w:top w:val="nil"/>
              <w:left w:val="nil"/>
              <w:bottom w:val="nil"/>
              <w:right w:val="nil"/>
            </w:tcBorders>
          </w:tcPr>
          <w:p>
            <w:pPr>
              <w:pStyle w:val="0"/>
              <w:jc w:val="center"/>
            </w:pPr>
            <w:r>
              <w:rPr>
                <w:sz w:val="20"/>
              </w:rPr>
              <w:t xml:space="preserve">175,5</w:t>
            </w:r>
          </w:p>
        </w:tc>
        <w:tc>
          <w:tcPr>
            <w:tcW w:w="1020" w:type="dxa"/>
            <w:vAlign w:val="center"/>
            <w:tcBorders>
              <w:top w:val="nil"/>
              <w:left w:val="nil"/>
              <w:bottom w:val="nil"/>
              <w:right w:val="nil"/>
            </w:tcBorders>
          </w:tcPr>
          <w:p>
            <w:pPr>
              <w:pStyle w:val="0"/>
              <w:jc w:val="center"/>
            </w:pPr>
            <w:r>
              <w:rPr>
                <w:sz w:val="20"/>
              </w:rPr>
              <w:t xml:space="preserve">182,9</w:t>
            </w:r>
          </w:p>
        </w:tc>
        <w:tc>
          <w:tcPr>
            <w:tcW w:w="1020" w:type="dxa"/>
            <w:vAlign w:val="center"/>
            <w:tcBorders>
              <w:top w:val="nil"/>
              <w:left w:val="nil"/>
              <w:bottom w:val="nil"/>
              <w:right w:val="nil"/>
            </w:tcBorders>
          </w:tcPr>
          <w:p>
            <w:pPr>
              <w:pStyle w:val="0"/>
              <w:jc w:val="center"/>
            </w:pPr>
            <w:r>
              <w:rPr>
                <w:sz w:val="20"/>
              </w:rPr>
              <w:t xml:space="preserve">191,8</w:t>
            </w:r>
          </w:p>
        </w:tc>
      </w:tr>
      <w:tr>
        <w:tc>
          <w:tcPr>
            <w:tcW w:w="2154" w:type="dxa"/>
            <w:tcBorders>
              <w:top w:val="nil"/>
              <w:left w:val="nil"/>
              <w:bottom w:val="nil"/>
              <w:right w:val="nil"/>
            </w:tcBorders>
          </w:tcPr>
          <w:p>
            <w:pPr>
              <w:pStyle w:val="0"/>
              <w:ind w:left="283"/>
            </w:pPr>
            <w:r>
              <w:rPr>
                <w:sz w:val="20"/>
              </w:rPr>
              <w:t xml:space="preserve">из бюджета ФОМС</w:t>
            </w:r>
          </w:p>
        </w:tc>
        <w:tc>
          <w:tcPr>
            <w:tcW w:w="1020" w:type="dxa"/>
            <w:vAlign w:val="center"/>
            <w:tcBorders>
              <w:top w:val="nil"/>
              <w:left w:val="nil"/>
              <w:bottom w:val="nil"/>
              <w:right w:val="nil"/>
            </w:tcBorders>
          </w:tcPr>
          <w:p>
            <w:pPr>
              <w:pStyle w:val="0"/>
              <w:jc w:val="center"/>
            </w:pPr>
            <w:r>
              <w:rPr>
                <w:sz w:val="20"/>
              </w:rPr>
              <w:t xml:space="preserve">14,0</w:t>
            </w:r>
          </w:p>
        </w:tc>
        <w:tc>
          <w:tcPr>
            <w:tcW w:w="1020" w:type="dxa"/>
            <w:vAlign w:val="center"/>
            <w:tcBorders>
              <w:top w:val="nil"/>
              <w:left w:val="nil"/>
              <w:bottom w:val="nil"/>
              <w:right w:val="nil"/>
            </w:tcBorders>
          </w:tcPr>
          <w:p>
            <w:pPr>
              <w:pStyle w:val="0"/>
              <w:jc w:val="center"/>
            </w:pPr>
            <w:r>
              <w:rPr>
                <w:sz w:val="20"/>
              </w:rPr>
              <w:t xml:space="preserve">13,6</w:t>
            </w:r>
          </w:p>
        </w:tc>
        <w:tc>
          <w:tcPr>
            <w:tcW w:w="1020" w:type="dxa"/>
            <w:vAlign w:val="center"/>
            <w:tcBorders>
              <w:top w:val="nil"/>
              <w:left w:val="nil"/>
              <w:bottom w:val="nil"/>
              <w:right w:val="nil"/>
            </w:tcBorders>
          </w:tcPr>
          <w:p>
            <w:pPr>
              <w:pStyle w:val="0"/>
              <w:jc w:val="center"/>
            </w:pPr>
            <w:r>
              <w:rPr>
                <w:sz w:val="20"/>
              </w:rPr>
              <w:t xml:space="preserve">13,3</w:t>
            </w:r>
          </w:p>
        </w:tc>
        <w:tc>
          <w:tcPr>
            <w:tcW w:w="1191" w:type="dxa"/>
            <w:vAlign w:val="center"/>
            <w:tcBorders>
              <w:top w:val="nil"/>
              <w:left w:val="nil"/>
              <w:bottom w:val="nil"/>
              <w:right w:val="nil"/>
            </w:tcBorders>
          </w:tcPr>
          <w:p>
            <w:pPr>
              <w:pStyle w:val="0"/>
              <w:jc w:val="center"/>
            </w:pPr>
            <w:r>
              <w:rPr>
                <w:sz w:val="20"/>
              </w:rPr>
              <w:t xml:space="preserve">14,3</w:t>
            </w:r>
          </w:p>
        </w:tc>
        <w:tc>
          <w:tcPr>
            <w:tcW w:w="1247" w:type="dxa"/>
            <w:vAlign w:val="center"/>
            <w:tcBorders>
              <w:top w:val="nil"/>
              <w:left w:val="nil"/>
              <w:bottom w:val="nil"/>
              <w:right w:val="nil"/>
            </w:tcBorders>
          </w:tcPr>
          <w:p>
            <w:pPr>
              <w:pStyle w:val="0"/>
              <w:jc w:val="center"/>
            </w:pPr>
            <w:r>
              <w:rPr>
                <w:sz w:val="20"/>
              </w:rPr>
              <w:t xml:space="preserve">103,4</w:t>
            </w:r>
          </w:p>
        </w:tc>
        <w:tc>
          <w:tcPr>
            <w:tcW w:w="1020" w:type="dxa"/>
            <w:vAlign w:val="center"/>
            <w:tcBorders>
              <w:top w:val="nil"/>
              <w:left w:val="nil"/>
              <w:bottom w:val="nil"/>
              <w:right w:val="nil"/>
            </w:tcBorders>
          </w:tcPr>
          <w:p>
            <w:pPr>
              <w:pStyle w:val="0"/>
              <w:jc w:val="center"/>
            </w:pPr>
            <w:r>
              <w:rPr>
                <w:sz w:val="20"/>
              </w:rPr>
              <w:t xml:space="preserve">108,9</w:t>
            </w:r>
          </w:p>
        </w:tc>
        <w:tc>
          <w:tcPr>
            <w:tcW w:w="1020" w:type="dxa"/>
            <w:vAlign w:val="center"/>
            <w:tcBorders>
              <w:top w:val="nil"/>
              <w:left w:val="nil"/>
              <w:bottom w:val="nil"/>
              <w:right w:val="nil"/>
            </w:tcBorders>
          </w:tcPr>
          <w:p>
            <w:pPr>
              <w:pStyle w:val="0"/>
              <w:jc w:val="center"/>
            </w:pPr>
            <w:r>
              <w:rPr>
                <w:sz w:val="20"/>
              </w:rPr>
              <w:t xml:space="preserve">108,7</w:t>
            </w:r>
          </w:p>
        </w:tc>
        <w:tc>
          <w:tcPr>
            <w:tcW w:w="1020" w:type="dxa"/>
            <w:vAlign w:val="center"/>
            <w:tcBorders>
              <w:top w:val="nil"/>
              <w:left w:val="nil"/>
              <w:bottom w:val="nil"/>
              <w:right w:val="nil"/>
            </w:tcBorders>
          </w:tcPr>
          <w:p>
            <w:pPr>
              <w:pStyle w:val="0"/>
              <w:jc w:val="center"/>
            </w:pPr>
            <w:r>
              <w:rPr>
                <w:sz w:val="20"/>
              </w:rPr>
              <w:t xml:space="preserve">108,6</w:t>
            </w:r>
          </w:p>
        </w:tc>
      </w:tr>
      <w:tr>
        <w:tc>
          <w:tcPr>
            <w:tcW w:w="2154" w:type="dxa"/>
            <w:tcBorders>
              <w:top w:val="nil"/>
              <w:left w:val="nil"/>
              <w:bottom w:val="nil"/>
              <w:right w:val="nil"/>
            </w:tcBorders>
          </w:tcPr>
          <w:p>
            <w:pPr>
              <w:pStyle w:val="0"/>
              <w:ind w:left="283"/>
            </w:pPr>
            <w:r>
              <w:rPr>
                <w:sz w:val="20"/>
              </w:rPr>
              <w:t xml:space="preserve">из бюджетов субъектов РФ</w:t>
            </w:r>
          </w:p>
        </w:tc>
        <w:tc>
          <w:tcPr>
            <w:tcW w:w="1020" w:type="dxa"/>
            <w:vAlign w:val="center"/>
            <w:tcBorders>
              <w:top w:val="nil"/>
              <w:left w:val="nil"/>
              <w:bottom w:val="nil"/>
              <w:right w:val="nil"/>
            </w:tcBorders>
          </w:tcPr>
          <w:p>
            <w:pPr>
              <w:pStyle w:val="0"/>
              <w:jc w:val="center"/>
            </w:pPr>
            <w:r>
              <w:rPr>
                <w:sz w:val="20"/>
              </w:rPr>
              <w:t xml:space="preserve">3,3</w:t>
            </w:r>
          </w:p>
        </w:tc>
        <w:tc>
          <w:tcPr>
            <w:tcW w:w="1020" w:type="dxa"/>
            <w:vAlign w:val="center"/>
            <w:tcBorders>
              <w:top w:val="nil"/>
              <w:left w:val="nil"/>
              <w:bottom w:val="nil"/>
              <w:right w:val="nil"/>
            </w:tcBorders>
          </w:tcPr>
          <w:p>
            <w:pPr>
              <w:pStyle w:val="0"/>
              <w:jc w:val="center"/>
            </w:pPr>
            <w:r>
              <w:rPr>
                <w:sz w:val="20"/>
              </w:rPr>
              <w:t xml:space="preserve">2,1</w:t>
            </w:r>
          </w:p>
        </w:tc>
        <w:tc>
          <w:tcPr>
            <w:tcW w:w="1020" w:type="dxa"/>
            <w:vAlign w:val="center"/>
            <w:tcBorders>
              <w:top w:val="nil"/>
              <w:left w:val="nil"/>
              <w:bottom w:val="nil"/>
              <w:right w:val="nil"/>
            </w:tcBorders>
          </w:tcPr>
          <w:p>
            <w:pPr>
              <w:pStyle w:val="0"/>
              <w:jc w:val="center"/>
            </w:pPr>
            <w:r>
              <w:rPr>
                <w:sz w:val="20"/>
              </w:rPr>
              <w:t xml:space="preserve">2,2</w:t>
            </w:r>
          </w:p>
        </w:tc>
        <w:tc>
          <w:tcPr>
            <w:tcW w:w="1191" w:type="dxa"/>
            <w:vAlign w:val="center"/>
            <w:tcBorders>
              <w:top w:val="nil"/>
              <w:left w:val="nil"/>
              <w:bottom w:val="nil"/>
              <w:right w:val="nil"/>
            </w:tcBorders>
          </w:tcPr>
          <w:p>
            <w:pPr>
              <w:pStyle w:val="0"/>
              <w:jc w:val="center"/>
            </w:pPr>
            <w:r>
              <w:rPr>
                <w:sz w:val="20"/>
              </w:rPr>
              <w:t xml:space="preserve">90,0</w:t>
            </w:r>
          </w:p>
        </w:tc>
        <w:tc>
          <w:tcPr>
            <w:tcW w:w="1247" w:type="dxa"/>
            <w:vAlign w:val="center"/>
            <w:tcBorders>
              <w:top w:val="nil"/>
              <w:left w:val="nil"/>
              <w:bottom w:val="nil"/>
              <w:right w:val="nil"/>
            </w:tcBorders>
          </w:tcPr>
          <w:p>
            <w:pPr>
              <w:pStyle w:val="0"/>
              <w:jc w:val="center"/>
            </w:pPr>
            <w:r>
              <w:rPr>
                <w:sz w:val="20"/>
              </w:rPr>
              <w:t xml:space="preserve">203,3</w:t>
            </w:r>
          </w:p>
        </w:tc>
        <w:tc>
          <w:tcPr>
            <w:tcW w:w="1020" w:type="dxa"/>
            <w:vAlign w:val="center"/>
            <w:tcBorders>
              <w:top w:val="nil"/>
              <w:left w:val="nil"/>
              <w:bottom w:val="nil"/>
              <w:right w:val="nil"/>
            </w:tcBorders>
          </w:tcPr>
          <w:p>
            <w:pPr>
              <w:pStyle w:val="0"/>
              <w:jc w:val="center"/>
            </w:pPr>
            <w:r>
              <w:rPr>
                <w:sz w:val="20"/>
              </w:rPr>
              <w:t xml:space="preserve">297,2</w:t>
            </w:r>
          </w:p>
        </w:tc>
        <w:tc>
          <w:tcPr>
            <w:tcW w:w="1020" w:type="dxa"/>
            <w:vAlign w:val="center"/>
            <w:tcBorders>
              <w:top w:val="nil"/>
              <w:left w:val="nil"/>
              <w:bottom w:val="nil"/>
              <w:right w:val="nil"/>
            </w:tcBorders>
          </w:tcPr>
          <w:p>
            <w:pPr>
              <w:pStyle w:val="0"/>
              <w:jc w:val="center"/>
            </w:pPr>
            <w:r>
              <w:rPr>
                <w:sz w:val="20"/>
              </w:rPr>
              <w:t xml:space="preserve">324,9</w:t>
            </w:r>
          </w:p>
        </w:tc>
        <w:tc>
          <w:tcPr>
            <w:tcW w:w="1020" w:type="dxa"/>
            <w:vAlign w:val="center"/>
            <w:tcBorders>
              <w:top w:val="nil"/>
              <w:left w:val="nil"/>
              <w:bottom w:val="nil"/>
              <w:right w:val="nil"/>
            </w:tcBorders>
          </w:tcPr>
          <w:p>
            <w:pPr>
              <w:pStyle w:val="0"/>
              <w:jc w:val="center"/>
            </w:pPr>
            <w:r>
              <w:rPr>
                <w:sz w:val="20"/>
              </w:rPr>
              <w:t xml:space="preserve">413,6</w:t>
            </w:r>
          </w:p>
        </w:tc>
      </w:tr>
      <w:tr>
        <w:tc>
          <w:tcPr>
            <w:tcW w:w="2154" w:type="dxa"/>
            <w:tcBorders>
              <w:top w:val="nil"/>
              <w:left w:val="nil"/>
              <w:bottom w:val="nil"/>
              <w:right w:val="nil"/>
            </w:tcBorders>
          </w:tcPr>
          <w:p>
            <w:pPr>
              <w:pStyle w:val="0"/>
            </w:pPr>
            <w:r>
              <w:rPr>
                <w:sz w:val="20"/>
              </w:rPr>
              <w:t xml:space="preserve">Собственные доходы</w:t>
            </w:r>
          </w:p>
        </w:tc>
        <w:tc>
          <w:tcPr>
            <w:tcW w:w="1020" w:type="dxa"/>
            <w:vAlign w:val="center"/>
            <w:tcBorders>
              <w:top w:val="nil"/>
              <w:left w:val="nil"/>
              <w:bottom w:val="nil"/>
              <w:right w:val="nil"/>
            </w:tcBorders>
          </w:tcPr>
          <w:p>
            <w:pPr>
              <w:pStyle w:val="0"/>
              <w:jc w:val="center"/>
            </w:pPr>
            <w:r>
              <w:rPr>
                <w:sz w:val="20"/>
              </w:rPr>
              <w:t xml:space="preserve">6 126,8</w:t>
            </w:r>
          </w:p>
        </w:tc>
        <w:tc>
          <w:tcPr>
            <w:tcW w:w="1020" w:type="dxa"/>
            <w:vAlign w:val="center"/>
            <w:tcBorders>
              <w:top w:val="nil"/>
              <w:left w:val="nil"/>
              <w:bottom w:val="nil"/>
              <w:right w:val="nil"/>
            </w:tcBorders>
          </w:tcPr>
          <w:p>
            <w:pPr>
              <w:pStyle w:val="0"/>
              <w:jc w:val="center"/>
            </w:pPr>
            <w:r>
              <w:rPr>
                <w:sz w:val="20"/>
              </w:rPr>
              <w:t xml:space="preserve">6 214,9</w:t>
            </w:r>
          </w:p>
        </w:tc>
        <w:tc>
          <w:tcPr>
            <w:tcW w:w="1020" w:type="dxa"/>
            <w:vAlign w:val="center"/>
            <w:tcBorders>
              <w:top w:val="nil"/>
              <w:left w:val="nil"/>
              <w:bottom w:val="nil"/>
              <w:right w:val="nil"/>
            </w:tcBorders>
          </w:tcPr>
          <w:p>
            <w:pPr>
              <w:pStyle w:val="0"/>
              <w:jc w:val="center"/>
            </w:pPr>
            <w:r>
              <w:rPr>
                <w:sz w:val="20"/>
              </w:rPr>
              <w:t xml:space="preserve">6 637,8</w:t>
            </w:r>
          </w:p>
        </w:tc>
        <w:tc>
          <w:tcPr>
            <w:tcW w:w="1191" w:type="dxa"/>
            <w:vAlign w:val="center"/>
            <w:tcBorders>
              <w:top w:val="nil"/>
              <w:left w:val="nil"/>
              <w:bottom w:val="nil"/>
              <w:right w:val="nil"/>
            </w:tcBorders>
          </w:tcPr>
          <w:p>
            <w:pPr>
              <w:pStyle w:val="0"/>
              <w:jc w:val="center"/>
            </w:pPr>
            <w:r>
              <w:rPr>
                <w:sz w:val="20"/>
              </w:rPr>
              <w:t xml:space="preserve">7 028,9</w:t>
            </w:r>
          </w:p>
        </w:tc>
        <w:tc>
          <w:tcPr>
            <w:tcW w:w="1247" w:type="dxa"/>
            <w:vAlign w:val="center"/>
            <w:tcBorders>
              <w:top w:val="nil"/>
              <w:left w:val="nil"/>
              <w:bottom w:val="nil"/>
              <w:right w:val="nil"/>
            </w:tcBorders>
          </w:tcPr>
          <w:p>
            <w:pPr>
              <w:pStyle w:val="0"/>
              <w:jc w:val="center"/>
            </w:pPr>
            <w:r>
              <w:rPr>
                <w:sz w:val="20"/>
              </w:rPr>
              <w:t xml:space="preserve">8 338,2</w:t>
            </w:r>
          </w:p>
        </w:tc>
        <w:tc>
          <w:tcPr>
            <w:tcW w:w="1020" w:type="dxa"/>
            <w:vAlign w:val="center"/>
            <w:tcBorders>
              <w:top w:val="nil"/>
              <w:left w:val="nil"/>
              <w:bottom w:val="nil"/>
              <w:right w:val="nil"/>
            </w:tcBorders>
          </w:tcPr>
          <w:p>
            <w:pPr>
              <w:pStyle w:val="0"/>
              <w:jc w:val="center"/>
            </w:pPr>
            <w:r>
              <w:rPr>
                <w:sz w:val="20"/>
              </w:rPr>
              <w:t xml:space="preserve">10 092,9</w:t>
            </w:r>
          </w:p>
        </w:tc>
        <w:tc>
          <w:tcPr>
            <w:tcW w:w="1020" w:type="dxa"/>
            <w:vAlign w:val="center"/>
            <w:tcBorders>
              <w:top w:val="nil"/>
              <w:left w:val="nil"/>
              <w:bottom w:val="nil"/>
              <w:right w:val="nil"/>
            </w:tcBorders>
          </w:tcPr>
          <w:p>
            <w:pPr>
              <w:pStyle w:val="0"/>
              <w:jc w:val="center"/>
            </w:pPr>
            <w:r>
              <w:rPr>
                <w:sz w:val="20"/>
              </w:rPr>
              <w:t xml:space="preserve">10 594,6</w:t>
            </w:r>
          </w:p>
        </w:tc>
        <w:tc>
          <w:tcPr>
            <w:tcW w:w="1020" w:type="dxa"/>
            <w:vAlign w:val="center"/>
            <w:tcBorders>
              <w:top w:val="nil"/>
              <w:left w:val="nil"/>
              <w:bottom w:val="nil"/>
              <w:right w:val="nil"/>
            </w:tcBorders>
          </w:tcPr>
          <w:p>
            <w:pPr>
              <w:pStyle w:val="0"/>
              <w:jc w:val="center"/>
            </w:pPr>
            <w:r>
              <w:rPr>
                <w:sz w:val="20"/>
              </w:rPr>
              <w:t xml:space="preserve">11 346,8</w:t>
            </w:r>
          </w:p>
        </w:tc>
      </w:tr>
      <w:tr>
        <w:tc>
          <w:tcPr>
            <w:tcW w:w="2154" w:type="dxa"/>
            <w:tcBorders>
              <w:top w:val="nil"/>
              <w:left w:val="nil"/>
              <w:bottom w:val="nil"/>
              <w:right w:val="nil"/>
            </w:tcBorders>
          </w:tcPr>
          <w:p>
            <w:pPr>
              <w:pStyle w:val="0"/>
            </w:pPr>
            <w:r>
              <w:rPr>
                <w:sz w:val="20"/>
              </w:rPr>
              <w:t xml:space="preserve">Расходы</w:t>
            </w:r>
          </w:p>
        </w:tc>
        <w:tc>
          <w:tcPr>
            <w:tcW w:w="1020" w:type="dxa"/>
            <w:vAlign w:val="center"/>
            <w:tcBorders>
              <w:top w:val="nil"/>
              <w:left w:val="nil"/>
              <w:bottom w:val="nil"/>
              <w:right w:val="nil"/>
            </w:tcBorders>
          </w:tcPr>
          <w:p>
            <w:pPr>
              <w:pStyle w:val="0"/>
              <w:jc w:val="center"/>
            </w:pPr>
            <w:r>
              <w:rPr>
                <w:sz w:val="20"/>
              </w:rPr>
              <w:t xml:space="preserve">9 302,4</w:t>
            </w:r>
          </w:p>
        </w:tc>
        <w:tc>
          <w:tcPr>
            <w:tcW w:w="1020" w:type="dxa"/>
            <w:vAlign w:val="center"/>
            <w:tcBorders>
              <w:top w:val="nil"/>
              <w:left w:val="nil"/>
              <w:bottom w:val="nil"/>
              <w:right w:val="nil"/>
            </w:tcBorders>
          </w:tcPr>
          <w:p>
            <w:pPr>
              <w:pStyle w:val="0"/>
              <w:jc w:val="center"/>
            </w:pPr>
            <w:r>
              <w:rPr>
                <w:sz w:val="20"/>
              </w:rPr>
              <w:t xml:space="preserve">10 730,7</w:t>
            </w:r>
          </w:p>
        </w:tc>
        <w:tc>
          <w:tcPr>
            <w:tcW w:w="1020" w:type="dxa"/>
            <w:vAlign w:val="center"/>
            <w:tcBorders>
              <w:top w:val="nil"/>
              <w:left w:val="nil"/>
              <w:bottom w:val="nil"/>
              <w:right w:val="nil"/>
            </w:tcBorders>
          </w:tcPr>
          <w:p>
            <w:pPr>
              <w:pStyle w:val="0"/>
              <w:jc w:val="center"/>
            </w:pPr>
            <w:r>
              <w:rPr>
                <w:sz w:val="20"/>
              </w:rPr>
              <w:t xml:space="preserve">11 405,7</w:t>
            </w:r>
          </w:p>
        </w:tc>
        <w:tc>
          <w:tcPr>
            <w:tcW w:w="1191" w:type="dxa"/>
            <w:vAlign w:val="center"/>
            <w:tcBorders>
              <w:top w:val="nil"/>
              <w:left w:val="nil"/>
              <w:bottom w:val="nil"/>
              <w:right w:val="nil"/>
            </w:tcBorders>
          </w:tcPr>
          <w:p>
            <w:pPr>
              <w:pStyle w:val="0"/>
              <w:jc w:val="center"/>
            </w:pPr>
            <w:r>
              <w:rPr>
                <w:sz w:val="20"/>
              </w:rPr>
              <w:t xml:space="preserve">12 487,5</w:t>
            </w:r>
          </w:p>
        </w:tc>
        <w:tc>
          <w:tcPr>
            <w:tcW w:w="1247" w:type="dxa"/>
            <w:vAlign w:val="center"/>
            <w:tcBorders>
              <w:top w:val="nil"/>
              <w:left w:val="nil"/>
              <w:bottom w:val="nil"/>
              <w:right w:val="nil"/>
            </w:tcBorders>
          </w:tcPr>
          <w:p>
            <w:pPr>
              <w:pStyle w:val="0"/>
              <w:jc w:val="center"/>
            </w:pPr>
            <w:r>
              <w:rPr>
                <w:sz w:val="20"/>
              </w:rPr>
              <w:t xml:space="preserve">13 463,9</w:t>
            </w:r>
          </w:p>
        </w:tc>
        <w:tc>
          <w:tcPr>
            <w:tcW w:w="1020" w:type="dxa"/>
            <w:vAlign w:val="center"/>
            <w:tcBorders>
              <w:top w:val="nil"/>
              <w:left w:val="nil"/>
              <w:bottom w:val="nil"/>
              <w:right w:val="nil"/>
            </w:tcBorders>
          </w:tcPr>
          <w:p>
            <w:pPr>
              <w:pStyle w:val="0"/>
              <w:jc w:val="center"/>
            </w:pPr>
            <w:r>
              <w:rPr>
                <w:sz w:val="20"/>
              </w:rPr>
              <w:t xml:space="preserve">16 125,2</w:t>
            </w:r>
          </w:p>
        </w:tc>
        <w:tc>
          <w:tcPr>
            <w:tcW w:w="1020" w:type="dxa"/>
            <w:vAlign w:val="center"/>
            <w:tcBorders>
              <w:top w:val="nil"/>
              <w:left w:val="nil"/>
              <w:bottom w:val="nil"/>
              <w:right w:val="nil"/>
            </w:tcBorders>
          </w:tcPr>
          <w:p>
            <w:pPr>
              <w:pStyle w:val="0"/>
              <w:jc w:val="center"/>
            </w:pPr>
            <w:r>
              <w:rPr>
                <w:sz w:val="20"/>
              </w:rPr>
              <w:t xml:space="preserve">16 236,9</w:t>
            </w:r>
          </w:p>
        </w:tc>
        <w:tc>
          <w:tcPr>
            <w:tcW w:w="1020" w:type="dxa"/>
            <w:vAlign w:val="center"/>
            <w:tcBorders>
              <w:top w:val="nil"/>
              <w:left w:val="nil"/>
              <w:bottom w:val="nil"/>
              <w:right w:val="nil"/>
            </w:tcBorders>
          </w:tcPr>
          <w:p>
            <w:pPr>
              <w:pStyle w:val="0"/>
              <w:jc w:val="center"/>
            </w:pPr>
            <w:r>
              <w:rPr>
                <w:sz w:val="20"/>
              </w:rPr>
              <w:t xml:space="preserve">17 193,3</w:t>
            </w:r>
          </w:p>
        </w:tc>
      </w:tr>
      <w:tr>
        <w:tc>
          <w:tcPr>
            <w:tcW w:w="2154" w:type="dxa"/>
            <w:tcBorders>
              <w:top w:val="nil"/>
              <w:left w:val="nil"/>
              <w:bottom w:val="nil"/>
              <w:right w:val="nil"/>
            </w:tcBorders>
          </w:tcPr>
          <w:p>
            <w:pPr>
              <w:pStyle w:val="0"/>
              <w:ind w:left="567"/>
            </w:pPr>
            <w:r>
              <w:rPr>
                <w:sz w:val="20"/>
              </w:rPr>
              <w:t xml:space="preserve">переходящие от ПФР</w:t>
            </w:r>
          </w:p>
        </w:tc>
        <w:tc>
          <w:tcPr>
            <w:tcW w:w="1020" w:type="dxa"/>
            <w:vAlign w:val="center"/>
            <w:tcBorders>
              <w:top w:val="nil"/>
              <w:left w:val="nil"/>
              <w:bottom w:val="nil"/>
              <w:right w:val="nil"/>
            </w:tcBorders>
          </w:tcPr>
          <w:p>
            <w:pPr>
              <w:pStyle w:val="0"/>
              <w:jc w:val="center"/>
            </w:pPr>
            <w:r>
              <w:rPr>
                <w:sz w:val="20"/>
              </w:rPr>
              <w:t xml:space="preserve">8 564,3</w:t>
            </w:r>
          </w:p>
        </w:tc>
        <w:tc>
          <w:tcPr>
            <w:tcW w:w="1020" w:type="dxa"/>
            <w:vAlign w:val="center"/>
            <w:tcBorders>
              <w:top w:val="nil"/>
              <w:left w:val="nil"/>
              <w:bottom w:val="nil"/>
              <w:right w:val="nil"/>
            </w:tcBorders>
          </w:tcPr>
          <w:p>
            <w:pPr>
              <w:pStyle w:val="0"/>
              <w:jc w:val="center"/>
            </w:pPr>
            <w:r>
              <w:rPr>
                <w:sz w:val="20"/>
              </w:rPr>
              <w:t xml:space="preserve">9 691,9</w:t>
            </w:r>
          </w:p>
        </w:tc>
        <w:tc>
          <w:tcPr>
            <w:tcW w:w="1020" w:type="dxa"/>
            <w:vAlign w:val="center"/>
            <w:tcBorders>
              <w:top w:val="nil"/>
              <w:left w:val="nil"/>
              <w:bottom w:val="nil"/>
              <w:right w:val="nil"/>
            </w:tcBorders>
          </w:tcPr>
          <w:p>
            <w:pPr>
              <w:pStyle w:val="0"/>
              <w:jc w:val="center"/>
            </w:pPr>
            <w:r>
              <w:rPr>
                <w:sz w:val="20"/>
              </w:rPr>
              <w:t xml:space="preserve">10 088,8</w:t>
            </w:r>
          </w:p>
        </w:tc>
        <w:tc>
          <w:tcPr>
            <w:tcW w:w="1191" w:type="dxa"/>
            <w:vAlign w:val="center"/>
            <w:tcBorders>
              <w:top w:val="nil"/>
              <w:left w:val="nil"/>
              <w:bottom w:val="nil"/>
              <w:right w:val="nil"/>
            </w:tcBorders>
          </w:tcPr>
          <w:p>
            <w:pPr>
              <w:pStyle w:val="0"/>
              <w:jc w:val="center"/>
            </w:pPr>
            <w:r>
              <w:rPr>
                <w:sz w:val="20"/>
              </w:rPr>
              <w:t xml:space="preserve">11 338,0</w:t>
            </w:r>
          </w:p>
        </w:tc>
        <w:tc>
          <w:tcPr>
            <w:tcW w:w="1247" w:type="dxa"/>
            <w:vAlign w:val="center"/>
            <w:tcBorders>
              <w:top w:val="nil"/>
              <w:left w:val="nil"/>
              <w:bottom w:val="nil"/>
              <w:right w:val="nil"/>
            </w:tcBorders>
          </w:tcPr>
          <w:p>
            <w:pPr>
              <w:pStyle w:val="0"/>
              <w:jc w:val="center"/>
            </w:pPr>
            <w:r>
              <w:rPr>
                <w:sz w:val="20"/>
              </w:rPr>
              <w:t xml:space="preserve">12 315,7</w:t>
            </w:r>
          </w:p>
        </w:tc>
        <w:tc>
          <w:tcPr>
            <w:tcW w:w="1020" w:type="dxa"/>
            <w:vAlign w:val="center"/>
            <w:tcBorders>
              <w:top w:val="nil"/>
              <w:left w:val="nil"/>
              <w:bottom w:val="nil"/>
              <w:right w:val="nil"/>
            </w:tcBorders>
          </w:tcPr>
          <w:p>
            <w:pPr>
              <w:pStyle w:val="0"/>
              <w:jc w:val="center"/>
            </w:pPr>
            <w:r>
              <w:rPr>
                <w:sz w:val="20"/>
              </w:rPr>
              <w:t xml:space="preserve">14 607,5</w:t>
            </w:r>
          </w:p>
        </w:tc>
        <w:tc>
          <w:tcPr>
            <w:tcW w:w="1020" w:type="dxa"/>
            <w:vAlign w:val="center"/>
            <w:tcBorders>
              <w:top w:val="nil"/>
              <w:left w:val="nil"/>
              <w:bottom w:val="nil"/>
              <w:right w:val="nil"/>
            </w:tcBorders>
          </w:tcPr>
          <w:p>
            <w:pPr>
              <w:pStyle w:val="0"/>
              <w:jc w:val="center"/>
            </w:pPr>
            <w:r>
              <w:rPr>
                <w:sz w:val="20"/>
              </w:rPr>
              <w:t xml:space="preserve">14 685,5</w:t>
            </w:r>
          </w:p>
        </w:tc>
        <w:tc>
          <w:tcPr>
            <w:tcW w:w="1020" w:type="dxa"/>
            <w:vAlign w:val="center"/>
            <w:tcBorders>
              <w:top w:val="nil"/>
              <w:left w:val="nil"/>
              <w:bottom w:val="nil"/>
              <w:right w:val="nil"/>
            </w:tcBorders>
          </w:tcPr>
          <w:p>
            <w:pPr>
              <w:pStyle w:val="0"/>
              <w:jc w:val="center"/>
            </w:pPr>
            <w:r>
              <w:rPr>
                <w:sz w:val="20"/>
              </w:rPr>
              <w:t xml:space="preserve">15 549,3</w:t>
            </w:r>
          </w:p>
        </w:tc>
      </w:tr>
      <w:tr>
        <w:tc>
          <w:tcPr>
            <w:tcW w:w="2154" w:type="dxa"/>
            <w:tcBorders>
              <w:top w:val="nil"/>
              <w:left w:val="nil"/>
              <w:bottom w:val="nil"/>
              <w:right w:val="nil"/>
            </w:tcBorders>
          </w:tcPr>
          <w:p>
            <w:pPr>
              <w:pStyle w:val="0"/>
              <w:ind w:left="567"/>
            </w:pPr>
            <w:r>
              <w:rPr>
                <w:sz w:val="20"/>
              </w:rPr>
              <w:t xml:space="preserve">переходящие от ФСС</w:t>
            </w:r>
          </w:p>
        </w:tc>
        <w:tc>
          <w:tcPr>
            <w:tcW w:w="1020" w:type="dxa"/>
            <w:vAlign w:val="center"/>
            <w:tcBorders>
              <w:top w:val="nil"/>
              <w:left w:val="nil"/>
              <w:bottom w:val="nil"/>
              <w:right w:val="nil"/>
            </w:tcBorders>
          </w:tcPr>
          <w:p>
            <w:pPr>
              <w:pStyle w:val="0"/>
              <w:jc w:val="center"/>
            </w:pPr>
            <w:r>
              <w:rPr>
                <w:sz w:val="20"/>
              </w:rPr>
              <w:t xml:space="preserve">738,1</w:t>
            </w:r>
          </w:p>
        </w:tc>
        <w:tc>
          <w:tcPr>
            <w:tcW w:w="1020" w:type="dxa"/>
            <w:vAlign w:val="center"/>
            <w:tcBorders>
              <w:top w:val="nil"/>
              <w:left w:val="nil"/>
              <w:bottom w:val="nil"/>
              <w:right w:val="nil"/>
            </w:tcBorders>
          </w:tcPr>
          <w:p>
            <w:pPr>
              <w:pStyle w:val="0"/>
              <w:jc w:val="center"/>
            </w:pPr>
            <w:r>
              <w:rPr>
                <w:sz w:val="20"/>
              </w:rPr>
              <w:t xml:space="preserve">1 038,8</w:t>
            </w:r>
          </w:p>
        </w:tc>
        <w:tc>
          <w:tcPr>
            <w:tcW w:w="1020" w:type="dxa"/>
            <w:vAlign w:val="center"/>
            <w:tcBorders>
              <w:top w:val="nil"/>
              <w:left w:val="nil"/>
              <w:bottom w:val="nil"/>
              <w:right w:val="nil"/>
            </w:tcBorders>
          </w:tcPr>
          <w:p>
            <w:pPr>
              <w:pStyle w:val="0"/>
              <w:jc w:val="center"/>
            </w:pPr>
            <w:r>
              <w:rPr>
                <w:sz w:val="20"/>
              </w:rPr>
              <w:t xml:space="preserve">1 316,9</w:t>
            </w:r>
          </w:p>
        </w:tc>
        <w:tc>
          <w:tcPr>
            <w:tcW w:w="1191" w:type="dxa"/>
            <w:vAlign w:val="center"/>
            <w:tcBorders>
              <w:top w:val="nil"/>
              <w:left w:val="nil"/>
              <w:bottom w:val="nil"/>
              <w:right w:val="nil"/>
            </w:tcBorders>
          </w:tcPr>
          <w:p>
            <w:pPr>
              <w:pStyle w:val="0"/>
              <w:jc w:val="center"/>
            </w:pPr>
            <w:r>
              <w:rPr>
                <w:sz w:val="20"/>
              </w:rPr>
              <w:t xml:space="preserve">1 149,4</w:t>
            </w:r>
          </w:p>
        </w:tc>
        <w:tc>
          <w:tcPr>
            <w:tcW w:w="1247" w:type="dxa"/>
            <w:vAlign w:val="center"/>
            <w:tcBorders>
              <w:top w:val="nil"/>
              <w:left w:val="nil"/>
              <w:bottom w:val="nil"/>
              <w:right w:val="nil"/>
            </w:tcBorders>
          </w:tcPr>
          <w:p>
            <w:pPr>
              <w:pStyle w:val="0"/>
              <w:jc w:val="center"/>
            </w:pPr>
            <w:r>
              <w:rPr>
                <w:sz w:val="20"/>
              </w:rPr>
              <w:t xml:space="preserve">1 148,3</w:t>
            </w:r>
          </w:p>
        </w:tc>
        <w:tc>
          <w:tcPr>
            <w:tcW w:w="1020" w:type="dxa"/>
            <w:vAlign w:val="center"/>
            <w:tcBorders>
              <w:top w:val="nil"/>
              <w:left w:val="nil"/>
              <w:bottom w:val="nil"/>
              <w:right w:val="nil"/>
            </w:tcBorders>
          </w:tcPr>
          <w:p>
            <w:pPr>
              <w:pStyle w:val="0"/>
              <w:jc w:val="center"/>
            </w:pPr>
            <w:r>
              <w:rPr>
                <w:sz w:val="20"/>
              </w:rPr>
              <w:t xml:space="preserve">1 517,7</w:t>
            </w:r>
          </w:p>
        </w:tc>
        <w:tc>
          <w:tcPr>
            <w:tcW w:w="1020" w:type="dxa"/>
            <w:vAlign w:val="center"/>
            <w:tcBorders>
              <w:top w:val="nil"/>
              <w:left w:val="nil"/>
              <w:bottom w:val="nil"/>
              <w:right w:val="nil"/>
            </w:tcBorders>
          </w:tcPr>
          <w:p>
            <w:pPr>
              <w:pStyle w:val="0"/>
              <w:jc w:val="center"/>
            </w:pPr>
            <w:r>
              <w:rPr>
                <w:sz w:val="20"/>
              </w:rPr>
              <w:t xml:space="preserve">1 551,4</w:t>
            </w:r>
          </w:p>
        </w:tc>
        <w:tc>
          <w:tcPr>
            <w:tcW w:w="1020" w:type="dxa"/>
            <w:vAlign w:val="center"/>
            <w:tcBorders>
              <w:top w:val="nil"/>
              <w:left w:val="nil"/>
              <w:bottom w:val="nil"/>
              <w:right w:val="nil"/>
            </w:tcBorders>
          </w:tcPr>
          <w:p>
            <w:pPr>
              <w:pStyle w:val="0"/>
              <w:jc w:val="center"/>
            </w:pPr>
            <w:r>
              <w:rPr>
                <w:sz w:val="20"/>
              </w:rPr>
              <w:t xml:space="preserve">1 644,0</w:t>
            </w:r>
          </w:p>
        </w:tc>
      </w:tr>
      <w:tr>
        <w:tc>
          <w:tcPr>
            <w:tcW w:w="2154" w:type="dxa"/>
            <w:tcBorders>
              <w:top w:val="nil"/>
              <w:left w:val="nil"/>
              <w:bottom w:val="nil"/>
              <w:right w:val="nil"/>
            </w:tcBorders>
          </w:tcPr>
          <w:p>
            <w:pPr>
              <w:pStyle w:val="0"/>
            </w:pPr>
            <w:r>
              <w:rPr>
                <w:sz w:val="20"/>
              </w:rPr>
              <w:t xml:space="preserve">Дефицит/профицит</w:t>
            </w:r>
          </w:p>
        </w:tc>
        <w:tc>
          <w:tcPr>
            <w:tcW w:w="1020" w:type="dxa"/>
            <w:vAlign w:val="center"/>
            <w:tcBorders>
              <w:top w:val="nil"/>
              <w:left w:val="nil"/>
              <w:bottom w:val="nil"/>
              <w:right w:val="nil"/>
            </w:tcBorders>
          </w:tcPr>
          <w:p>
            <w:pPr>
              <w:pStyle w:val="0"/>
              <w:jc w:val="center"/>
            </w:pPr>
            <w:r>
              <w:rPr>
                <w:sz w:val="20"/>
              </w:rPr>
              <w:t xml:space="preserve">188,4</w:t>
            </w:r>
          </w:p>
        </w:tc>
        <w:tc>
          <w:tcPr>
            <w:tcW w:w="1020" w:type="dxa"/>
            <w:vAlign w:val="center"/>
            <w:tcBorders>
              <w:top w:val="nil"/>
              <w:left w:val="nil"/>
              <w:bottom w:val="nil"/>
              <w:right w:val="nil"/>
            </w:tcBorders>
          </w:tcPr>
          <w:p>
            <w:pPr>
              <w:pStyle w:val="0"/>
              <w:jc w:val="center"/>
            </w:pPr>
            <w:r>
              <w:rPr>
                <w:sz w:val="20"/>
              </w:rPr>
              <w:t xml:space="preserve">431,6</w:t>
            </w:r>
          </w:p>
        </w:tc>
        <w:tc>
          <w:tcPr>
            <w:tcW w:w="1020" w:type="dxa"/>
            <w:vAlign w:val="center"/>
            <w:tcBorders>
              <w:top w:val="nil"/>
              <w:left w:val="nil"/>
              <w:bottom w:val="nil"/>
              <w:right w:val="nil"/>
            </w:tcBorders>
          </w:tcPr>
          <w:p>
            <w:pPr>
              <w:pStyle w:val="0"/>
              <w:jc w:val="center"/>
            </w:pPr>
            <w:r>
              <w:rPr>
                <w:sz w:val="20"/>
              </w:rPr>
              <w:t xml:space="preserve">-226,8</w:t>
            </w:r>
          </w:p>
        </w:tc>
        <w:tc>
          <w:tcPr>
            <w:tcW w:w="1191" w:type="dxa"/>
            <w:vAlign w:val="center"/>
            <w:tcBorders>
              <w:top w:val="nil"/>
              <w:left w:val="nil"/>
              <w:bottom w:val="nil"/>
              <w:right w:val="nil"/>
            </w:tcBorders>
          </w:tcPr>
          <w:p>
            <w:pPr>
              <w:pStyle w:val="0"/>
              <w:jc w:val="center"/>
            </w:pPr>
            <w:r>
              <w:rPr>
                <w:sz w:val="20"/>
              </w:rPr>
              <w:t xml:space="preserve">968,2</w:t>
            </w:r>
          </w:p>
        </w:tc>
        <w:tc>
          <w:tcPr>
            <w:tcW w:w="1247" w:type="dxa"/>
            <w:vAlign w:val="center"/>
            <w:tcBorders>
              <w:top w:val="nil"/>
              <w:left w:val="nil"/>
              <w:bottom w:val="nil"/>
              <w:right w:val="nil"/>
            </w:tcBorders>
          </w:tcPr>
          <w:p>
            <w:pPr>
              <w:pStyle w:val="0"/>
              <w:jc w:val="center"/>
            </w:pPr>
            <w:r>
              <w:rPr>
                <w:sz w:val="20"/>
              </w:rPr>
              <w:t xml:space="preserve">-1 320,5</w:t>
            </w:r>
          </w:p>
        </w:tc>
        <w:tc>
          <w:tcPr>
            <w:tcW w:w="1020" w:type="dxa"/>
            <w:vAlign w:val="center"/>
            <w:tcBorders>
              <w:top w:val="nil"/>
              <w:left w:val="nil"/>
              <w:bottom w:val="nil"/>
              <w:right w:val="nil"/>
            </w:tcBorders>
          </w:tcPr>
          <w:p>
            <w:pPr>
              <w:pStyle w:val="0"/>
              <w:jc w:val="center"/>
            </w:pPr>
            <w:r>
              <w:rPr>
                <w:sz w:val="20"/>
              </w:rPr>
              <w:t xml:space="preserve">-202,8</w:t>
            </w:r>
          </w:p>
        </w:tc>
        <w:tc>
          <w:tcPr>
            <w:tcW w:w="1020" w:type="dxa"/>
            <w:vAlign w:val="center"/>
            <w:tcBorders>
              <w:top w:val="nil"/>
              <w:left w:val="nil"/>
              <w:bottom w:val="nil"/>
              <w:right w:val="nil"/>
            </w:tcBorders>
          </w:tcPr>
          <w:p>
            <w:pPr>
              <w:pStyle w:val="0"/>
              <w:jc w:val="center"/>
            </w:pPr>
            <w:r>
              <w:rPr>
                <w:sz w:val="20"/>
              </w:rPr>
              <w:t xml:space="preserve">77,7</w:t>
            </w:r>
          </w:p>
        </w:tc>
        <w:tc>
          <w:tcPr>
            <w:tcW w:w="1020" w:type="dxa"/>
            <w:vAlign w:val="center"/>
            <w:tcBorders>
              <w:top w:val="nil"/>
              <w:left w:val="nil"/>
              <w:bottom w:val="nil"/>
              <w:right w:val="nil"/>
            </w:tcBorders>
          </w:tcPr>
          <w:p>
            <w:pPr>
              <w:pStyle w:val="0"/>
              <w:jc w:val="center"/>
            </w:pPr>
            <w:r>
              <w:rPr>
                <w:sz w:val="20"/>
              </w:rPr>
              <w:t xml:space="preserve">91,9</w:t>
            </w:r>
          </w:p>
        </w:tc>
      </w:tr>
      <w:tr>
        <w:tc>
          <w:tcPr>
            <w:tcW w:w="2154" w:type="dxa"/>
            <w:tcBorders>
              <w:top w:val="nil"/>
              <w:left w:val="nil"/>
              <w:bottom w:val="nil"/>
              <w:right w:val="nil"/>
            </w:tcBorders>
          </w:tcPr>
          <w:p>
            <w:pPr>
              <w:pStyle w:val="0"/>
              <w:ind w:left="567"/>
            </w:pPr>
            <w:r>
              <w:rPr>
                <w:sz w:val="20"/>
              </w:rPr>
              <w:t xml:space="preserve">в части расходов/доходов, переходящих от ПФР </w:t>
            </w:r>
            <w:hyperlink w:history="0" w:anchor="P2439" w:tooltip="&lt;****&gt; дефицит в 2023 году формируется по расходам, связанным с отдельными переданными СФР полномочиями, и будет покрыт за счет неиспользованных остатков МБТ из ФБ по состоянию на 1 сентября 2023 г.">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155,9</w:t>
            </w:r>
          </w:p>
        </w:tc>
        <w:tc>
          <w:tcPr>
            <w:tcW w:w="1020" w:type="dxa"/>
            <w:vAlign w:val="center"/>
            <w:tcBorders>
              <w:top w:val="nil"/>
              <w:left w:val="nil"/>
              <w:bottom w:val="nil"/>
              <w:right w:val="nil"/>
            </w:tcBorders>
          </w:tcPr>
          <w:p>
            <w:pPr>
              <w:pStyle w:val="0"/>
              <w:jc w:val="center"/>
            </w:pPr>
            <w:r>
              <w:rPr>
                <w:sz w:val="20"/>
              </w:rPr>
              <w:t xml:space="preserve">567,0</w:t>
            </w:r>
          </w:p>
        </w:tc>
        <w:tc>
          <w:tcPr>
            <w:tcW w:w="1020" w:type="dxa"/>
            <w:vAlign w:val="center"/>
            <w:tcBorders>
              <w:top w:val="nil"/>
              <w:left w:val="nil"/>
              <w:bottom w:val="nil"/>
              <w:right w:val="nil"/>
            </w:tcBorders>
          </w:tcPr>
          <w:p>
            <w:pPr>
              <w:pStyle w:val="0"/>
              <w:jc w:val="center"/>
            </w:pPr>
            <w:r>
              <w:rPr>
                <w:sz w:val="20"/>
              </w:rPr>
              <w:t xml:space="preserve">-338,4</w:t>
            </w:r>
          </w:p>
        </w:tc>
        <w:tc>
          <w:tcPr>
            <w:tcW w:w="1191" w:type="dxa"/>
            <w:vAlign w:val="center"/>
            <w:tcBorders>
              <w:top w:val="nil"/>
              <w:left w:val="nil"/>
              <w:bottom w:val="nil"/>
              <w:right w:val="nil"/>
            </w:tcBorders>
          </w:tcPr>
          <w:p>
            <w:pPr>
              <w:pStyle w:val="0"/>
              <w:jc w:val="center"/>
            </w:pPr>
            <w:r>
              <w:rPr>
                <w:sz w:val="20"/>
              </w:rPr>
              <w:t xml:space="preserve">1 088,0</w:t>
            </w:r>
          </w:p>
        </w:tc>
        <w:tc>
          <w:tcPr>
            <w:tcW w:w="1247" w:type="dxa"/>
            <w:vAlign w:val="center"/>
            <w:tcBorders>
              <w:top w:val="nil"/>
              <w:left w:val="nil"/>
              <w:bottom w:val="nil"/>
              <w:right w:val="nil"/>
            </w:tcBorders>
          </w:tcPr>
          <w:p>
            <w:pPr>
              <w:pStyle w:val="0"/>
              <w:jc w:val="center"/>
            </w:pPr>
            <w:r>
              <w:rPr>
                <w:sz w:val="20"/>
              </w:rPr>
              <w:t xml:space="preserve">-1 468,2</w:t>
            </w:r>
          </w:p>
        </w:tc>
        <w:tc>
          <w:tcPr>
            <w:tcW w:w="1020" w:type="dxa"/>
            <w:vAlign w:val="center"/>
            <w:tcBorders>
              <w:top w:val="nil"/>
              <w:left w:val="nil"/>
              <w:bottom w:val="nil"/>
              <w:right w:val="nil"/>
            </w:tcBorders>
          </w:tcPr>
          <w:p>
            <w:pPr>
              <w:pStyle w:val="0"/>
              <w:jc w:val="center"/>
            </w:pPr>
            <w:r>
              <w:rPr>
                <w:sz w:val="20"/>
              </w:rPr>
              <w:t xml:space="preserve">-233,6</w:t>
            </w:r>
          </w:p>
        </w:tc>
        <w:tc>
          <w:tcPr>
            <w:tcW w:w="1020" w:type="dxa"/>
            <w:vAlign w:val="center"/>
            <w:tcBorders>
              <w:top w:val="nil"/>
              <w:left w:val="nil"/>
              <w:bottom w:val="nil"/>
              <w:right w:val="nil"/>
            </w:tcBorders>
          </w:tcPr>
          <w:p>
            <w:pPr>
              <w:pStyle w:val="0"/>
              <w:jc w:val="center"/>
            </w:pPr>
            <w:r>
              <w:rPr>
                <w:sz w:val="20"/>
              </w:rPr>
              <w:t xml:space="preserve">0,0</w:t>
            </w:r>
          </w:p>
        </w:tc>
        <w:tc>
          <w:tcPr>
            <w:tcW w:w="1020" w:type="dxa"/>
            <w:vAlign w:val="center"/>
            <w:tcBorders>
              <w:top w:val="nil"/>
              <w:left w:val="nil"/>
              <w:bottom w:val="nil"/>
              <w:right w:val="nil"/>
            </w:tcBorders>
          </w:tcPr>
          <w:p>
            <w:pPr>
              <w:pStyle w:val="0"/>
              <w:jc w:val="center"/>
            </w:pPr>
            <w:r>
              <w:rPr>
                <w:sz w:val="20"/>
              </w:rPr>
              <w:t xml:space="preserve">0,0</w:t>
            </w:r>
          </w:p>
        </w:tc>
      </w:tr>
      <w:tr>
        <w:tc>
          <w:tcPr>
            <w:tcW w:w="2154" w:type="dxa"/>
            <w:tcBorders>
              <w:top w:val="nil"/>
              <w:left w:val="nil"/>
              <w:bottom w:val="nil"/>
              <w:right w:val="nil"/>
            </w:tcBorders>
          </w:tcPr>
          <w:p>
            <w:pPr>
              <w:pStyle w:val="0"/>
              <w:ind w:left="567"/>
            </w:pPr>
            <w:r>
              <w:rPr>
                <w:sz w:val="20"/>
              </w:rPr>
              <w:t xml:space="preserve">в части расходов/доходов, переходящих от ФСС</w:t>
            </w:r>
          </w:p>
        </w:tc>
        <w:tc>
          <w:tcPr>
            <w:tcW w:w="1020" w:type="dxa"/>
            <w:vAlign w:val="center"/>
            <w:tcBorders>
              <w:top w:val="nil"/>
              <w:left w:val="nil"/>
              <w:bottom w:val="nil"/>
              <w:right w:val="nil"/>
            </w:tcBorders>
          </w:tcPr>
          <w:p>
            <w:pPr>
              <w:pStyle w:val="0"/>
              <w:jc w:val="center"/>
            </w:pPr>
            <w:r>
              <w:rPr>
                <w:sz w:val="20"/>
              </w:rPr>
              <w:t xml:space="preserve">32,5</w:t>
            </w:r>
          </w:p>
        </w:tc>
        <w:tc>
          <w:tcPr>
            <w:tcW w:w="1020" w:type="dxa"/>
            <w:vAlign w:val="center"/>
            <w:tcBorders>
              <w:top w:val="nil"/>
              <w:left w:val="nil"/>
              <w:bottom w:val="nil"/>
              <w:right w:val="nil"/>
            </w:tcBorders>
          </w:tcPr>
          <w:p>
            <w:pPr>
              <w:pStyle w:val="0"/>
              <w:jc w:val="center"/>
            </w:pPr>
            <w:r>
              <w:rPr>
                <w:sz w:val="20"/>
              </w:rPr>
              <w:t xml:space="preserve">-135,4</w:t>
            </w:r>
          </w:p>
        </w:tc>
        <w:tc>
          <w:tcPr>
            <w:tcW w:w="1020" w:type="dxa"/>
            <w:vAlign w:val="center"/>
            <w:tcBorders>
              <w:top w:val="nil"/>
              <w:left w:val="nil"/>
              <w:bottom w:val="nil"/>
              <w:right w:val="nil"/>
            </w:tcBorders>
          </w:tcPr>
          <w:p>
            <w:pPr>
              <w:pStyle w:val="0"/>
              <w:jc w:val="center"/>
            </w:pPr>
            <w:r>
              <w:rPr>
                <w:sz w:val="20"/>
              </w:rPr>
              <w:t xml:space="preserve">111,6</w:t>
            </w:r>
          </w:p>
        </w:tc>
        <w:tc>
          <w:tcPr>
            <w:tcW w:w="1191" w:type="dxa"/>
            <w:vAlign w:val="center"/>
            <w:tcBorders>
              <w:top w:val="nil"/>
              <w:left w:val="nil"/>
              <w:bottom w:val="nil"/>
              <w:right w:val="nil"/>
            </w:tcBorders>
          </w:tcPr>
          <w:p>
            <w:pPr>
              <w:pStyle w:val="0"/>
              <w:jc w:val="center"/>
            </w:pPr>
            <w:r>
              <w:rPr>
                <w:sz w:val="20"/>
              </w:rPr>
              <w:t xml:space="preserve">-119,9</w:t>
            </w:r>
          </w:p>
        </w:tc>
        <w:tc>
          <w:tcPr>
            <w:tcW w:w="1247" w:type="dxa"/>
            <w:vAlign w:val="center"/>
            <w:tcBorders>
              <w:top w:val="nil"/>
              <w:left w:val="nil"/>
              <w:bottom w:val="nil"/>
              <w:right w:val="nil"/>
            </w:tcBorders>
          </w:tcPr>
          <w:p>
            <w:pPr>
              <w:pStyle w:val="0"/>
              <w:jc w:val="center"/>
            </w:pPr>
            <w:r>
              <w:rPr>
                <w:sz w:val="20"/>
              </w:rPr>
              <w:t xml:space="preserve">147,8</w:t>
            </w:r>
          </w:p>
        </w:tc>
        <w:tc>
          <w:tcPr>
            <w:tcW w:w="1020" w:type="dxa"/>
            <w:vAlign w:val="center"/>
            <w:tcBorders>
              <w:top w:val="nil"/>
              <w:left w:val="nil"/>
              <w:bottom w:val="nil"/>
              <w:right w:val="nil"/>
            </w:tcBorders>
          </w:tcPr>
          <w:p>
            <w:pPr>
              <w:pStyle w:val="0"/>
              <w:jc w:val="center"/>
            </w:pPr>
            <w:r>
              <w:rPr>
                <w:sz w:val="20"/>
              </w:rPr>
              <w:t xml:space="preserve">30,9</w:t>
            </w:r>
          </w:p>
        </w:tc>
        <w:tc>
          <w:tcPr>
            <w:tcW w:w="1020" w:type="dxa"/>
            <w:vAlign w:val="center"/>
            <w:tcBorders>
              <w:top w:val="nil"/>
              <w:left w:val="nil"/>
              <w:bottom w:val="nil"/>
              <w:right w:val="nil"/>
            </w:tcBorders>
          </w:tcPr>
          <w:p>
            <w:pPr>
              <w:pStyle w:val="0"/>
              <w:jc w:val="center"/>
            </w:pPr>
            <w:r>
              <w:rPr>
                <w:sz w:val="20"/>
              </w:rPr>
              <w:t xml:space="preserve">77,7</w:t>
            </w:r>
          </w:p>
        </w:tc>
        <w:tc>
          <w:tcPr>
            <w:tcW w:w="1020" w:type="dxa"/>
            <w:vAlign w:val="center"/>
            <w:tcBorders>
              <w:top w:val="nil"/>
              <w:left w:val="nil"/>
              <w:bottom w:val="nil"/>
              <w:right w:val="nil"/>
            </w:tcBorders>
          </w:tcPr>
          <w:p>
            <w:pPr>
              <w:pStyle w:val="0"/>
              <w:jc w:val="center"/>
            </w:pPr>
            <w:r>
              <w:rPr>
                <w:sz w:val="20"/>
              </w:rPr>
              <w:t xml:space="preserve">91,9</w:t>
            </w:r>
          </w:p>
        </w:tc>
      </w:tr>
      <w:tr>
        <w:tc>
          <w:tcPr>
            <w:gridSpan w:val="9"/>
            <w:tcW w:w="10712" w:type="dxa"/>
            <w:tcBorders>
              <w:top w:val="nil"/>
              <w:left w:val="nil"/>
              <w:bottom w:val="nil"/>
              <w:right w:val="nil"/>
            </w:tcBorders>
          </w:tcPr>
          <w:p>
            <w:pPr>
              <w:pStyle w:val="0"/>
              <w:ind w:left="850"/>
            </w:pPr>
            <w:r>
              <w:rPr>
                <w:sz w:val="20"/>
              </w:rPr>
              <w:t xml:space="preserve">Справочно: с учетом межбюджетных трансфертов из федерального бюджета по накопительной составляющей пенсионной системы</w:t>
            </w:r>
          </w:p>
        </w:tc>
      </w:tr>
      <w:tr>
        <w:tc>
          <w:tcPr>
            <w:tcW w:w="2154" w:type="dxa"/>
            <w:tcBorders>
              <w:top w:val="nil"/>
              <w:left w:val="nil"/>
              <w:bottom w:val="nil"/>
              <w:right w:val="nil"/>
            </w:tcBorders>
          </w:tcPr>
          <w:p>
            <w:pPr>
              <w:pStyle w:val="0"/>
            </w:pPr>
            <w:r>
              <w:rPr>
                <w:sz w:val="20"/>
              </w:rPr>
              <w:t xml:space="preserve">Доходы</w:t>
            </w:r>
          </w:p>
        </w:tc>
        <w:tc>
          <w:tcPr>
            <w:tcW w:w="1020" w:type="dxa"/>
            <w:vAlign w:val="center"/>
            <w:tcBorders>
              <w:top w:val="nil"/>
              <w:left w:val="nil"/>
              <w:bottom w:val="nil"/>
              <w:right w:val="nil"/>
            </w:tcBorders>
          </w:tcPr>
          <w:p>
            <w:pPr>
              <w:pStyle w:val="0"/>
              <w:jc w:val="center"/>
            </w:pPr>
            <w:r>
              <w:rPr>
                <w:sz w:val="20"/>
              </w:rPr>
              <w:t xml:space="preserve">9 551,6</w:t>
            </w:r>
          </w:p>
        </w:tc>
        <w:tc>
          <w:tcPr>
            <w:tcW w:w="1020" w:type="dxa"/>
            <w:vAlign w:val="center"/>
            <w:tcBorders>
              <w:top w:val="nil"/>
              <w:left w:val="nil"/>
              <w:bottom w:val="nil"/>
              <w:right w:val="nil"/>
            </w:tcBorders>
          </w:tcPr>
          <w:p>
            <w:pPr>
              <w:pStyle w:val="0"/>
              <w:jc w:val="center"/>
            </w:pPr>
            <w:r>
              <w:rPr>
                <w:sz w:val="20"/>
              </w:rPr>
              <w:t xml:space="preserve">11 206,7</w:t>
            </w:r>
          </w:p>
        </w:tc>
        <w:tc>
          <w:tcPr>
            <w:tcW w:w="1020" w:type="dxa"/>
            <w:vAlign w:val="center"/>
            <w:tcBorders>
              <w:top w:val="nil"/>
              <w:left w:val="nil"/>
              <w:bottom w:val="nil"/>
              <w:right w:val="nil"/>
            </w:tcBorders>
          </w:tcPr>
          <w:p>
            <w:pPr>
              <w:pStyle w:val="0"/>
              <w:jc w:val="center"/>
            </w:pPr>
            <w:r>
              <w:rPr>
                <w:sz w:val="20"/>
              </w:rPr>
              <w:t xml:space="preserve">11 222,8</w:t>
            </w:r>
          </w:p>
        </w:tc>
        <w:tc>
          <w:tcPr>
            <w:tcW w:w="1191" w:type="dxa"/>
            <w:vAlign w:val="center"/>
            <w:tcBorders>
              <w:top w:val="nil"/>
              <w:left w:val="nil"/>
              <w:bottom w:val="nil"/>
              <w:right w:val="nil"/>
            </w:tcBorders>
          </w:tcPr>
          <w:p>
            <w:pPr>
              <w:pStyle w:val="0"/>
              <w:jc w:val="center"/>
            </w:pPr>
            <w:r>
              <w:rPr>
                <w:sz w:val="20"/>
              </w:rPr>
              <w:t xml:space="preserve">13 507,4</w:t>
            </w:r>
          </w:p>
        </w:tc>
        <w:tc>
          <w:tcPr>
            <w:tcW w:w="1247" w:type="dxa"/>
            <w:vAlign w:val="center"/>
            <w:tcBorders>
              <w:top w:val="nil"/>
              <w:left w:val="nil"/>
              <w:bottom w:val="nil"/>
              <w:right w:val="nil"/>
            </w:tcBorders>
          </w:tcPr>
          <w:p>
            <w:pPr>
              <w:pStyle w:val="0"/>
              <w:jc w:val="center"/>
            </w:pPr>
            <w:r>
              <w:rPr>
                <w:sz w:val="20"/>
              </w:rPr>
              <w:t xml:space="preserve">12 225,0</w:t>
            </w:r>
          </w:p>
        </w:tc>
        <w:tc>
          <w:tcPr>
            <w:tcW w:w="1020" w:type="dxa"/>
            <w:vAlign w:val="center"/>
            <w:tcBorders>
              <w:top w:val="nil"/>
              <w:left w:val="nil"/>
              <w:bottom w:val="nil"/>
              <w:right w:val="nil"/>
            </w:tcBorders>
          </w:tcPr>
          <w:p>
            <w:pPr>
              <w:pStyle w:val="0"/>
              <w:jc w:val="center"/>
            </w:pPr>
            <w:r>
              <w:rPr>
                <w:sz w:val="20"/>
              </w:rPr>
              <w:t xml:space="preserve">16 019,3</w:t>
            </w:r>
          </w:p>
        </w:tc>
        <w:tc>
          <w:tcPr>
            <w:tcW w:w="1020" w:type="dxa"/>
            <w:vAlign w:val="center"/>
            <w:tcBorders>
              <w:top w:val="nil"/>
              <w:left w:val="nil"/>
              <w:bottom w:val="nil"/>
              <w:right w:val="nil"/>
            </w:tcBorders>
          </w:tcPr>
          <w:p>
            <w:pPr>
              <w:pStyle w:val="0"/>
              <w:jc w:val="center"/>
            </w:pPr>
            <w:r>
              <w:rPr>
                <w:sz w:val="20"/>
              </w:rPr>
              <w:t xml:space="preserve">16 413,8</w:t>
            </w:r>
          </w:p>
        </w:tc>
        <w:tc>
          <w:tcPr>
            <w:tcW w:w="1020" w:type="dxa"/>
            <w:vAlign w:val="center"/>
            <w:tcBorders>
              <w:top w:val="nil"/>
              <w:left w:val="nil"/>
              <w:bottom w:val="nil"/>
              <w:right w:val="nil"/>
            </w:tcBorders>
          </w:tcPr>
          <w:p>
            <w:pPr>
              <w:pStyle w:val="0"/>
              <w:jc w:val="center"/>
            </w:pPr>
            <w:r>
              <w:rPr>
                <w:sz w:val="20"/>
              </w:rPr>
              <w:t xml:space="preserve">17 386,8</w:t>
            </w:r>
          </w:p>
        </w:tc>
      </w:tr>
      <w:tr>
        <w:tc>
          <w:tcPr>
            <w:tcW w:w="2154" w:type="dxa"/>
            <w:tcBorders>
              <w:top w:val="nil"/>
              <w:left w:val="nil"/>
              <w:bottom w:val="single" w:sz="4"/>
              <w:right w:val="nil"/>
            </w:tcBorders>
          </w:tcPr>
          <w:p>
            <w:pPr>
              <w:pStyle w:val="0"/>
            </w:pPr>
            <w:r>
              <w:rPr>
                <w:sz w:val="20"/>
              </w:rPr>
              <w:t xml:space="preserve">Расходы</w:t>
            </w:r>
          </w:p>
        </w:tc>
        <w:tc>
          <w:tcPr>
            <w:tcW w:w="1020" w:type="dxa"/>
            <w:vAlign w:val="center"/>
            <w:tcBorders>
              <w:top w:val="nil"/>
              <w:left w:val="nil"/>
              <w:bottom w:val="single" w:sz="4"/>
              <w:right w:val="nil"/>
            </w:tcBorders>
          </w:tcPr>
          <w:p>
            <w:pPr>
              <w:pStyle w:val="0"/>
              <w:jc w:val="center"/>
            </w:pPr>
            <w:r>
              <w:rPr>
                <w:sz w:val="20"/>
              </w:rPr>
              <w:t xml:space="preserve">9 365,2</w:t>
            </w:r>
          </w:p>
        </w:tc>
        <w:tc>
          <w:tcPr>
            <w:tcW w:w="1020" w:type="dxa"/>
            <w:vAlign w:val="center"/>
            <w:tcBorders>
              <w:top w:val="nil"/>
              <w:left w:val="nil"/>
              <w:bottom w:val="single" w:sz="4"/>
              <w:right w:val="nil"/>
            </w:tcBorders>
          </w:tcPr>
          <w:p>
            <w:pPr>
              <w:pStyle w:val="0"/>
              <w:jc w:val="center"/>
            </w:pPr>
            <w:r>
              <w:rPr>
                <w:sz w:val="20"/>
              </w:rPr>
              <w:t xml:space="preserve">10 766,5</w:t>
            </w:r>
          </w:p>
        </w:tc>
        <w:tc>
          <w:tcPr>
            <w:tcW w:w="1020" w:type="dxa"/>
            <w:vAlign w:val="center"/>
            <w:tcBorders>
              <w:top w:val="nil"/>
              <w:left w:val="nil"/>
              <w:bottom w:val="single" w:sz="4"/>
              <w:right w:val="nil"/>
            </w:tcBorders>
          </w:tcPr>
          <w:p>
            <w:pPr>
              <w:pStyle w:val="0"/>
              <w:jc w:val="center"/>
            </w:pPr>
            <w:r>
              <w:rPr>
                <w:sz w:val="20"/>
              </w:rPr>
              <w:t xml:space="preserve">11 441,9</w:t>
            </w:r>
          </w:p>
        </w:tc>
        <w:tc>
          <w:tcPr>
            <w:tcW w:w="1191" w:type="dxa"/>
            <w:vAlign w:val="center"/>
            <w:tcBorders>
              <w:top w:val="nil"/>
              <w:left w:val="nil"/>
              <w:bottom w:val="single" w:sz="4"/>
              <w:right w:val="nil"/>
            </w:tcBorders>
          </w:tcPr>
          <w:p>
            <w:pPr>
              <w:pStyle w:val="0"/>
              <w:jc w:val="center"/>
            </w:pPr>
            <w:r>
              <w:rPr>
                <w:sz w:val="20"/>
              </w:rPr>
              <w:t xml:space="preserve">12 523,7</w:t>
            </w:r>
          </w:p>
        </w:tc>
        <w:tc>
          <w:tcPr>
            <w:tcW w:w="1247" w:type="dxa"/>
            <w:vAlign w:val="center"/>
            <w:tcBorders>
              <w:top w:val="nil"/>
              <w:left w:val="nil"/>
              <w:bottom w:val="single" w:sz="4"/>
              <w:right w:val="nil"/>
            </w:tcBorders>
          </w:tcPr>
          <w:p>
            <w:pPr>
              <w:pStyle w:val="0"/>
              <w:jc w:val="center"/>
            </w:pPr>
            <w:r>
              <w:rPr>
                <w:sz w:val="20"/>
              </w:rPr>
              <w:t xml:space="preserve">13 510,5</w:t>
            </w:r>
          </w:p>
        </w:tc>
        <w:tc>
          <w:tcPr>
            <w:tcW w:w="1020" w:type="dxa"/>
            <w:vAlign w:val="center"/>
            <w:tcBorders>
              <w:top w:val="nil"/>
              <w:left w:val="nil"/>
              <w:bottom w:val="single" w:sz="4"/>
              <w:right w:val="nil"/>
            </w:tcBorders>
          </w:tcPr>
          <w:p>
            <w:pPr>
              <w:pStyle w:val="0"/>
              <w:jc w:val="center"/>
            </w:pPr>
            <w:r>
              <w:rPr>
                <w:sz w:val="20"/>
              </w:rPr>
              <w:t xml:space="preserve">16 178,1</w:t>
            </w:r>
          </w:p>
        </w:tc>
        <w:tc>
          <w:tcPr>
            <w:tcW w:w="1020" w:type="dxa"/>
            <w:vAlign w:val="center"/>
            <w:tcBorders>
              <w:top w:val="nil"/>
              <w:left w:val="nil"/>
              <w:bottom w:val="single" w:sz="4"/>
              <w:right w:val="nil"/>
            </w:tcBorders>
          </w:tcPr>
          <w:p>
            <w:pPr>
              <w:pStyle w:val="0"/>
              <w:jc w:val="center"/>
            </w:pPr>
            <w:r>
              <w:rPr>
                <w:sz w:val="20"/>
              </w:rPr>
              <w:t xml:space="preserve">16 293,7</w:t>
            </w:r>
          </w:p>
        </w:tc>
        <w:tc>
          <w:tcPr>
            <w:tcW w:w="1020" w:type="dxa"/>
            <w:vAlign w:val="center"/>
            <w:tcBorders>
              <w:top w:val="nil"/>
              <w:left w:val="nil"/>
              <w:bottom w:val="single" w:sz="4"/>
              <w:right w:val="nil"/>
            </w:tcBorders>
          </w:tcPr>
          <w:p>
            <w:pPr>
              <w:pStyle w:val="0"/>
              <w:jc w:val="center"/>
            </w:pPr>
            <w:r>
              <w:rPr>
                <w:sz w:val="20"/>
              </w:rPr>
              <w:t xml:space="preserve">17 255,5</w:t>
            </w:r>
          </w:p>
        </w:tc>
      </w:tr>
    </w:tbl>
    <w:p>
      <w:pPr>
        <w:sectPr>
          <w:headerReference w:type="default" r:id="rId28"/>
          <w:headerReference w:type="first" r:id="rId28"/>
          <w:footerReference w:type="default" r:id="rId29"/>
          <w:footerReference w:type="first" r:id="rId2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2436" w:name="P2436"/>
    <w:bookmarkEnd w:id="2436"/>
    <w:p>
      <w:pPr>
        <w:pStyle w:val="0"/>
        <w:spacing w:before="200" w:line-rule="auto"/>
        <w:ind w:firstLine="540"/>
        <w:jc w:val="both"/>
      </w:pPr>
      <w:r>
        <w:rPr>
          <w:sz w:val="20"/>
        </w:rPr>
        <w:t xml:space="preserve">&lt;*&gt; без учета накопительной составляющей пенсионной системы;</w:t>
      </w:r>
    </w:p>
    <w:bookmarkStart w:id="2437" w:name="P2437"/>
    <w:bookmarkEnd w:id="2437"/>
    <w:p>
      <w:pPr>
        <w:pStyle w:val="0"/>
        <w:spacing w:before="200" w:line-rule="auto"/>
        <w:ind w:firstLine="540"/>
        <w:jc w:val="both"/>
      </w:pPr>
      <w:r>
        <w:rPr>
          <w:sz w:val="20"/>
        </w:rPr>
        <w:t xml:space="preserve">&lt;**&gt; отчетные данные об исполнении бюджетов ПФР и ФСС как обособленных юридических лиц;</w:t>
      </w:r>
    </w:p>
    <w:bookmarkStart w:id="2438" w:name="P2438"/>
    <w:bookmarkEnd w:id="2438"/>
    <w:p>
      <w:pPr>
        <w:pStyle w:val="0"/>
        <w:spacing w:before="200" w:line-rule="auto"/>
        <w:ind w:firstLine="540"/>
        <w:jc w:val="both"/>
      </w:pPr>
      <w:r>
        <w:rPr>
          <w:sz w:val="20"/>
        </w:rPr>
        <w:t xml:space="preserve">&lt;***&gt; параметры с учетом показателей сводной бюджетной росписи федерального бюджета по состоянию на 1 сентября 2023 г.;</w:t>
      </w:r>
    </w:p>
    <w:bookmarkStart w:id="2439" w:name="P2439"/>
    <w:bookmarkEnd w:id="2439"/>
    <w:p>
      <w:pPr>
        <w:pStyle w:val="0"/>
        <w:spacing w:before="200" w:line-rule="auto"/>
        <w:ind w:firstLine="540"/>
        <w:jc w:val="both"/>
      </w:pPr>
      <w:r>
        <w:rPr>
          <w:sz w:val="20"/>
        </w:rPr>
        <w:t xml:space="preserve">&lt;****&gt; дефицит в 2023 году формируется по расходам, связанным с отдельными переданными СФР полномочиями, и будет покрыт за счет неиспользованных остатков МБТ из ФБ по состоянию на 1 сентября 2023 г.</w:t>
      </w:r>
    </w:p>
    <w:p>
      <w:pPr>
        <w:pStyle w:val="0"/>
        <w:jc w:val="both"/>
      </w:pPr>
      <w:r>
        <w:rPr>
          <w:sz w:val="20"/>
        </w:rPr>
      </w:r>
    </w:p>
    <w:p>
      <w:pPr>
        <w:pStyle w:val="2"/>
        <w:outlineLvl w:val="3"/>
        <w:ind w:firstLine="540"/>
        <w:jc w:val="both"/>
      </w:pPr>
      <w:r>
        <w:rPr>
          <w:sz w:val="20"/>
        </w:rPr>
        <w:t xml:space="preserve">Федеральный фонд обязательного медицинского страхования</w:t>
      </w:r>
    </w:p>
    <w:p>
      <w:pPr>
        <w:pStyle w:val="0"/>
        <w:spacing w:before="200" w:line-rule="auto"/>
        <w:ind w:firstLine="540"/>
        <w:jc w:val="both"/>
      </w:pPr>
      <w:r>
        <w:rPr>
          <w:sz w:val="20"/>
        </w:rPr>
        <w:t xml:space="preserve">В 2024 - 2026 годах решение задач по развитию Фонда обязательного медицинского страхования (ФОМС) направлено на обеспечение сбалансированности и устойчивости системы, дальнейшее укрепление ее финансовой стабильности, создание условий для реализации переданных полномочий субъектам Российской Федерации по организации обязательного медицинского страхования (ОМС) с целью повышения доступности и качества медицинской помощи, развития высокотехнологической медицинской помощи, повышения эффективности бюджетных расходов.</w:t>
      </w:r>
    </w:p>
    <w:p>
      <w:pPr>
        <w:pStyle w:val="0"/>
        <w:spacing w:before="200" w:line-rule="auto"/>
        <w:ind w:firstLine="540"/>
        <w:jc w:val="both"/>
      </w:pPr>
      <w:r>
        <w:rPr>
          <w:sz w:val="20"/>
        </w:rPr>
        <w:t xml:space="preserve">Увеличение доходов Фонда будет осуществляться за счет поступающих сумм страховых взносов на ОМС работающего и неработающего населения, налоговых доходов, а также межбюджетных трансфертов из федерального бюджета. Дополнительным источником увеличения поступлений является вовлечение в экономику самозанятых граждан.</w:t>
      </w:r>
    </w:p>
    <w:p>
      <w:pPr>
        <w:pStyle w:val="0"/>
        <w:spacing w:before="200" w:line-rule="auto"/>
        <w:ind w:firstLine="540"/>
        <w:jc w:val="both"/>
      </w:pPr>
      <w:r>
        <w:rPr>
          <w:sz w:val="20"/>
        </w:rPr>
        <w:t xml:space="preserve">На период 2024 - 2026 годов поступление страховых взносов на обязательное медицинское страхование работающего населения по основной категории плательщиков будет исчисляться в пределах установленной единой предельной величины базы по тарифу 5,49%, свыше установленной единой предельной величины базы - 2,7633%. Все льготные категории плательщиков страховых взносов, имеющих право применять пониженные тарифы по ним, объединены в три группы (0%, 7,6%, 15%).</w:t>
      </w:r>
    </w:p>
    <w:p>
      <w:pPr>
        <w:pStyle w:val="0"/>
        <w:spacing w:before="200" w:line-rule="auto"/>
        <w:ind w:firstLine="540"/>
        <w:jc w:val="both"/>
      </w:pPr>
      <w:r>
        <w:rPr>
          <w:sz w:val="20"/>
        </w:rPr>
        <w:t xml:space="preserve">Поступление страховых взносов на ОМС в фиксированном размере от плательщиков, не производящих выплаты физическим лицам, определено исходя из среднегодовой численности данной категории плательщиков, совокупного фиксированного размера 49 500 рублей и норматива отчисления в Фонд - 19,8922%.</w:t>
      </w:r>
    </w:p>
    <w:p>
      <w:pPr>
        <w:pStyle w:val="0"/>
        <w:spacing w:before="200" w:line-rule="auto"/>
        <w:ind w:firstLine="540"/>
        <w:jc w:val="both"/>
      </w:pPr>
      <w:r>
        <w:rPr>
          <w:sz w:val="20"/>
        </w:rPr>
        <w:t xml:space="preserve">Для плательщиков, производящих выплаты в пользу прокуроров, сотрудников Следственного комитета Российской Федерации, судей федеральных судов, мировых судей, объем поступления страховых взносов на ОМС работающего населения определен по тарифу 5,1%.</w:t>
      </w:r>
    </w:p>
    <w:p>
      <w:pPr>
        <w:pStyle w:val="0"/>
        <w:spacing w:before="200" w:line-rule="auto"/>
        <w:ind w:firstLine="540"/>
        <w:jc w:val="both"/>
      </w:pPr>
      <w:r>
        <w:rPr>
          <w:sz w:val="20"/>
        </w:rPr>
        <w:t xml:space="preserve">В доходах бюджета Фонда учтены поступления страховых взносах на ОМС работающего населения, уплачиваемых плательщиками страховых взносов, осуществляющими свою деятельность на новых регионах Российской Федерации.</w:t>
      </w:r>
    </w:p>
    <w:p>
      <w:pPr>
        <w:pStyle w:val="0"/>
        <w:spacing w:before="200" w:line-rule="auto"/>
        <w:ind w:firstLine="540"/>
        <w:jc w:val="both"/>
      </w:pPr>
      <w:r>
        <w:rPr>
          <w:sz w:val="20"/>
        </w:rPr>
        <w:t xml:space="preserve">Основной статьей расходов бюджета Фонда является субвенция, которая предоставляется бюджетам территориальных фондов ОМС в целях финансового обеспечения базовой программы ОМС на территориях субъектов Российской Федерации. Объем субвенции в среднесрочной перспективе определен с учетом коэффициента доступности медицинской помощи, благодаря которому распределение субвенции осуществляется равномерно в зависимости от расселения населения на территории Российской Федерации.</w:t>
      </w:r>
    </w:p>
    <w:p>
      <w:pPr>
        <w:pStyle w:val="0"/>
        <w:spacing w:before="200" w:line-rule="auto"/>
        <w:ind w:firstLine="540"/>
        <w:jc w:val="both"/>
      </w:pPr>
      <w:r>
        <w:rPr>
          <w:sz w:val="20"/>
        </w:rPr>
        <w:t xml:space="preserve">На оказание высокотехнологичной медицинской помощи, не включенной в базовую программу ОМС, в бюджете Фонда планируется выделение целевых средств с учетом увеличения на темп роста заработной платы и индекс потребительских цен по прогнозу социально-экономического развития Российской Федерации. Кроме того, в 2024 - 2026 гг. предусмотрены целевые средства на финансовое обеспечение специализированной, в том числе высокотехнологичной, медицинской помощи, включенной в базовую программу ОМС, которые окажут влияние на повышение доступности медицинской помощи больным со сложными и тяжелыми случаями заболеваний, независимо от места их проживания. Объемы финансового обеспечения определены с учетом включения новых методов высокотехнологичной медицинской помощи с использованием ряда уникальных методов лечения, применяемых при сердечно-сосудистой хирургии и трансплантации органов.</w:t>
      </w:r>
    </w:p>
    <w:p>
      <w:pPr>
        <w:pStyle w:val="0"/>
        <w:spacing w:before="200" w:line-rule="auto"/>
        <w:ind w:firstLine="540"/>
        <w:jc w:val="both"/>
      </w:pPr>
      <w:r>
        <w:rPr>
          <w:sz w:val="20"/>
        </w:rPr>
        <w:t xml:space="preserve">В рамках демографической политики в 2024 - 2026 годах планируется предоставление межбюджетных трансфертов из бюджета Фонда бюджету Фонда пенсионного и социального страхования Российской Федерации на оплату медицинской помощи женщинам в период беременности, родов и в послеродовой период, а также проведение профилактических медицинских осмотров ребенка в течение первого года жизни.</w:t>
      </w:r>
    </w:p>
    <w:p>
      <w:pPr>
        <w:pStyle w:val="0"/>
        <w:spacing w:before="200" w:line-rule="auto"/>
        <w:ind w:firstLine="540"/>
        <w:jc w:val="both"/>
      </w:pPr>
      <w:r>
        <w:rPr>
          <w:sz w:val="20"/>
        </w:rPr>
        <w:t xml:space="preserve">В бюджете Фонда также предусмотрены зарезервированные средства, которые будут использованы по следующим направлениям:</w:t>
      </w:r>
    </w:p>
    <w:p>
      <w:pPr>
        <w:pStyle w:val="0"/>
        <w:spacing w:before="200" w:line-rule="auto"/>
        <w:ind w:firstLine="540"/>
        <w:jc w:val="both"/>
      </w:pPr>
      <w:r>
        <w:rPr>
          <w:sz w:val="20"/>
        </w:rPr>
        <w:t xml:space="preserve">- софинансирование расходов на оплату труда врачей и среднего медицинского персонала в целях устранения кадрового дефицита;</w:t>
      </w:r>
    </w:p>
    <w:p>
      <w:pPr>
        <w:pStyle w:val="0"/>
        <w:spacing w:before="200" w:line-rule="auto"/>
        <w:ind w:firstLine="540"/>
        <w:jc w:val="both"/>
      </w:pPr>
      <w:r>
        <w:rPr>
          <w:sz w:val="20"/>
        </w:rPr>
        <w:t xml:space="preserve">- выплаты стимулирующего характера за выявление онкологических заболеваний в ходе проведения диспансеризации и профилактических осмотров населения;</w:t>
      </w:r>
    </w:p>
    <w:p>
      <w:pPr>
        <w:pStyle w:val="0"/>
        <w:spacing w:before="200" w:line-rule="auto"/>
        <w:ind w:firstLine="540"/>
        <w:jc w:val="both"/>
      </w:pPr>
      <w:r>
        <w:rPr>
          <w:sz w:val="20"/>
        </w:rPr>
        <w:t xml:space="preserve">- финансовое обеспечение расходов по оказанию медицинской помощи лицам, застрахованным по обязательному медицинскому страхованию, проживающим на новых территориях Российской Федерации, в рамках базовой программы обязательного медицинского страхования;</w:t>
      </w:r>
    </w:p>
    <w:p>
      <w:pPr>
        <w:pStyle w:val="0"/>
        <w:spacing w:before="200" w:line-rule="auto"/>
        <w:ind w:firstLine="540"/>
        <w:jc w:val="both"/>
      </w:pPr>
      <w:r>
        <w:rPr>
          <w:sz w:val="20"/>
        </w:rPr>
        <w:t xml:space="preserve">- финансовое обеспечение отдельных решений Правительства Российской Федерации.</w:t>
      </w:r>
    </w:p>
    <w:p>
      <w:pPr>
        <w:pStyle w:val="0"/>
        <w:jc w:val="both"/>
      </w:pPr>
      <w:r>
        <w:rPr>
          <w:sz w:val="20"/>
        </w:rPr>
      </w:r>
    </w:p>
    <w:p>
      <w:pPr>
        <w:pStyle w:val="0"/>
        <w:ind w:firstLine="540"/>
        <w:jc w:val="both"/>
      </w:pPr>
      <w:r>
        <w:rPr>
          <w:sz w:val="20"/>
        </w:rPr>
        <w:t xml:space="preserve">Таблица 4.3.2. Основные характеристики бюджета ФОМС в 2019 - 2026 гг.</w:t>
      </w:r>
    </w:p>
    <w:p>
      <w:pPr>
        <w:pStyle w:val="0"/>
        <w:jc w:val="both"/>
      </w:pPr>
      <w:r>
        <w:rPr>
          <w:sz w:val="20"/>
        </w:rPr>
      </w:r>
    </w:p>
    <w:p>
      <w:pPr>
        <w:pStyle w:val="0"/>
        <w:jc w:val="right"/>
      </w:pPr>
      <w:r>
        <w:rPr>
          <w:sz w:val="20"/>
        </w:rPr>
        <w:t xml:space="preserve">млрд рублей</w:t>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tblBorders>
        <w:tblCellMar>
          <w:top w:w="102" w:type="dxa"/>
          <w:left w:w="62" w:type="dxa"/>
          <w:bottom w:w="102" w:type="dxa"/>
          <w:right w:w="62" w:type="dxa"/>
        </w:tblCellMar>
      </w:tblPr>
      <w:tblGrid>
        <w:gridCol w:w="2154"/>
        <w:gridCol w:w="1020"/>
        <w:gridCol w:w="1020"/>
        <w:gridCol w:w="1020"/>
        <w:gridCol w:w="1191"/>
        <w:gridCol w:w="1247"/>
        <w:gridCol w:w="1020"/>
        <w:gridCol w:w="1020"/>
        <w:gridCol w:w="1020"/>
      </w:tblGrid>
      <w:tr>
        <w:tblPrEx>
          <w:tblBorders>
            <w:insideH w:val="single" w:sz="4"/>
          </w:tblBorders>
        </w:tblPrEx>
        <w:tc>
          <w:tcPr>
            <w:tcW w:w="2154" w:type="dxa"/>
            <w:tcBorders>
              <w:top w:val="single" w:sz="4"/>
              <w:left w:val="nil"/>
              <w:bottom w:val="single" w:sz="4"/>
              <w:right w:val="nil"/>
            </w:tcBorders>
          </w:tcPr>
          <w:p>
            <w:pPr>
              <w:pStyle w:val="0"/>
              <w:jc w:val="center"/>
            </w:pPr>
            <w:r>
              <w:rPr>
                <w:sz w:val="20"/>
              </w:rPr>
              <w:t xml:space="preserve">Показатель</w:t>
            </w:r>
          </w:p>
        </w:tc>
        <w:tc>
          <w:tcPr>
            <w:tcW w:w="1020" w:type="dxa"/>
            <w:tcBorders>
              <w:top w:val="single" w:sz="4"/>
              <w:left w:val="nil"/>
              <w:bottom w:val="single" w:sz="4"/>
              <w:right w:val="nil"/>
            </w:tcBorders>
          </w:tcPr>
          <w:p>
            <w:pPr>
              <w:pStyle w:val="0"/>
              <w:jc w:val="center"/>
            </w:pPr>
            <w:r>
              <w:rPr>
                <w:sz w:val="20"/>
              </w:rPr>
              <w:t xml:space="preserve">2019</w:t>
            </w:r>
          </w:p>
        </w:tc>
        <w:tc>
          <w:tcPr>
            <w:tcW w:w="1020" w:type="dxa"/>
            <w:tcBorders>
              <w:top w:val="single" w:sz="4"/>
              <w:left w:val="nil"/>
              <w:bottom w:val="single" w:sz="4"/>
              <w:right w:val="nil"/>
            </w:tcBorders>
          </w:tcPr>
          <w:p>
            <w:pPr>
              <w:pStyle w:val="0"/>
              <w:jc w:val="center"/>
            </w:pPr>
            <w:r>
              <w:rPr>
                <w:sz w:val="20"/>
              </w:rPr>
              <w:t xml:space="preserve">2020</w:t>
            </w:r>
          </w:p>
        </w:tc>
        <w:tc>
          <w:tcPr>
            <w:tcW w:w="1020" w:type="dxa"/>
            <w:tcBorders>
              <w:top w:val="single" w:sz="4"/>
              <w:left w:val="nil"/>
              <w:bottom w:val="single" w:sz="4"/>
              <w:right w:val="nil"/>
            </w:tcBorders>
          </w:tcPr>
          <w:p>
            <w:pPr>
              <w:pStyle w:val="0"/>
              <w:jc w:val="center"/>
            </w:pPr>
            <w:r>
              <w:rPr>
                <w:sz w:val="20"/>
              </w:rPr>
              <w:t xml:space="preserve">2021</w:t>
            </w:r>
          </w:p>
        </w:tc>
        <w:tc>
          <w:tcPr>
            <w:tcW w:w="1191" w:type="dxa"/>
            <w:tcBorders>
              <w:top w:val="single" w:sz="4"/>
              <w:left w:val="nil"/>
              <w:bottom w:val="single" w:sz="4"/>
              <w:right w:val="nil"/>
            </w:tcBorders>
          </w:tcPr>
          <w:p>
            <w:pPr>
              <w:pStyle w:val="0"/>
              <w:jc w:val="center"/>
            </w:pPr>
            <w:r>
              <w:rPr>
                <w:sz w:val="20"/>
              </w:rPr>
              <w:t xml:space="preserve">2022</w:t>
            </w:r>
          </w:p>
        </w:tc>
        <w:tc>
          <w:tcPr>
            <w:tcW w:w="1247" w:type="dxa"/>
            <w:tcBorders>
              <w:top w:val="single" w:sz="4"/>
              <w:left w:val="nil"/>
              <w:bottom w:val="single" w:sz="4"/>
              <w:right w:val="nil"/>
            </w:tcBorders>
          </w:tcPr>
          <w:p>
            <w:pPr>
              <w:pStyle w:val="0"/>
              <w:jc w:val="center"/>
            </w:pPr>
            <w:r>
              <w:rPr>
                <w:sz w:val="20"/>
              </w:rPr>
              <w:t xml:space="preserve">2023 </w:t>
            </w:r>
            <w:hyperlink w:history="0" w:anchor="P2525" w:tooltip="&lt;*&gt; оценка">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2024</w:t>
            </w:r>
          </w:p>
        </w:tc>
        <w:tc>
          <w:tcPr>
            <w:tcW w:w="1020" w:type="dxa"/>
            <w:tcBorders>
              <w:top w:val="single" w:sz="4"/>
              <w:left w:val="nil"/>
              <w:bottom w:val="single" w:sz="4"/>
              <w:right w:val="nil"/>
            </w:tcBorders>
          </w:tcPr>
          <w:p>
            <w:pPr>
              <w:pStyle w:val="0"/>
              <w:jc w:val="center"/>
            </w:pPr>
            <w:r>
              <w:rPr>
                <w:sz w:val="20"/>
              </w:rPr>
              <w:t xml:space="preserve">2025</w:t>
            </w:r>
          </w:p>
        </w:tc>
        <w:tc>
          <w:tcPr>
            <w:tcW w:w="1020" w:type="dxa"/>
            <w:tcBorders>
              <w:top w:val="single" w:sz="4"/>
              <w:left w:val="nil"/>
              <w:bottom w:val="single" w:sz="4"/>
              <w:right w:val="nil"/>
            </w:tcBorders>
          </w:tcPr>
          <w:p>
            <w:pPr>
              <w:pStyle w:val="0"/>
              <w:jc w:val="center"/>
            </w:pPr>
            <w:r>
              <w:rPr>
                <w:sz w:val="20"/>
              </w:rPr>
              <w:t xml:space="preserve">2026</w:t>
            </w:r>
          </w:p>
        </w:tc>
      </w:tr>
      <w:tr>
        <w:tc>
          <w:tcPr>
            <w:tcW w:w="2154" w:type="dxa"/>
            <w:tcBorders>
              <w:top w:val="single" w:sz="4"/>
              <w:left w:val="nil"/>
              <w:bottom w:val="nil"/>
              <w:right w:val="nil"/>
            </w:tcBorders>
          </w:tcPr>
          <w:p>
            <w:pPr>
              <w:pStyle w:val="0"/>
            </w:pPr>
            <w:r>
              <w:rPr>
                <w:sz w:val="20"/>
              </w:rPr>
              <w:t xml:space="preserve">Доходы</w:t>
            </w:r>
          </w:p>
        </w:tc>
        <w:tc>
          <w:tcPr>
            <w:tcW w:w="1020" w:type="dxa"/>
            <w:vAlign w:val="center"/>
            <w:tcBorders>
              <w:top w:val="single" w:sz="4"/>
              <w:left w:val="nil"/>
              <w:bottom w:val="nil"/>
              <w:right w:val="nil"/>
            </w:tcBorders>
          </w:tcPr>
          <w:p>
            <w:pPr>
              <w:pStyle w:val="0"/>
              <w:jc w:val="center"/>
            </w:pPr>
            <w:r>
              <w:rPr>
                <w:sz w:val="20"/>
              </w:rPr>
              <w:t xml:space="preserve">2 124,0</w:t>
            </w:r>
          </w:p>
        </w:tc>
        <w:tc>
          <w:tcPr>
            <w:tcW w:w="1020" w:type="dxa"/>
            <w:vAlign w:val="center"/>
            <w:tcBorders>
              <w:top w:val="single" w:sz="4"/>
              <w:left w:val="nil"/>
              <w:bottom w:val="nil"/>
              <w:right w:val="nil"/>
            </w:tcBorders>
          </w:tcPr>
          <w:p>
            <w:pPr>
              <w:pStyle w:val="0"/>
              <w:jc w:val="center"/>
            </w:pPr>
            <w:r>
              <w:rPr>
                <w:sz w:val="20"/>
              </w:rPr>
              <w:t xml:space="preserve">2 392,7</w:t>
            </w:r>
          </w:p>
        </w:tc>
        <w:tc>
          <w:tcPr>
            <w:tcW w:w="1020" w:type="dxa"/>
            <w:vAlign w:val="center"/>
            <w:tcBorders>
              <w:top w:val="single" w:sz="4"/>
              <w:left w:val="nil"/>
              <w:bottom w:val="nil"/>
              <w:right w:val="nil"/>
            </w:tcBorders>
          </w:tcPr>
          <w:p>
            <w:pPr>
              <w:pStyle w:val="0"/>
              <w:jc w:val="center"/>
            </w:pPr>
            <w:r>
              <w:rPr>
                <w:sz w:val="20"/>
              </w:rPr>
              <w:t xml:space="preserve">2 631,4</w:t>
            </w:r>
          </w:p>
        </w:tc>
        <w:tc>
          <w:tcPr>
            <w:tcW w:w="1191" w:type="dxa"/>
            <w:vAlign w:val="center"/>
            <w:tcBorders>
              <w:top w:val="single" w:sz="4"/>
              <w:left w:val="nil"/>
              <w:bottom w:val="nil"/>
              <w:right w:val="nil"/>
            </w:tcBorders>
          </w:tcPr>
          <w:p>
            <w:pPr>
              <w:pStyle w:val="0"/>
              <w:jc w:val="center"/>
            </w:pPr>
            <w:r>
              <w:rPr>
                <w:sz w:val="20"/>
              </w:rPr>
              <w:t xml:space="preserve">2 919,4</w:t>
            </w:r>
          </w:p>
        </w:tc>
        <w:tc>
          <w:tcPr>
            <w:tcW w:w="1247" w:type="dxa"/>
            <w:vAlign w:val="center"/>
            <w:tcBorders>
              <w:top w:val="single" w:sz="4"/>
              <w:left w:val="nil"/>
              <w:bottom w:val="nil"/>
              <w:right w:val="nil"/>
            </w:tcBorders>
          </w:tcPr>
          <w:p>
            <w:pPr>
              <w:pStyle w:val="0"/>
              <w:jc w:val="center"/>
            </w:pPr>
            <w:r>
              <w:rPr>
                <w:sz w:val="20"/>
              </w:rPr>
              <w:t xml:space="preserve">3 198,8</w:t>
            </w:r>
          </w:p>
        </w:tc>
        <w:tc>
          <w:tcPr>
            <w:tcW w:w="1020" w:type="dxa"/>
            <w:vAlign w:val="center"/>
            <w:tcBorders>
              <w:top w:val="single" w:sz="4"/>
              <w:left w:val="nil"/>
              <w:bottom w:val="nil"/>
              <w:right w:val="nil"/>
            </w:tcBorders>
          </w:tcPr>
          <w:p>
            <w:pPr>
              <w:pStyle w:val="0"/>
              <w:jc w:val="center"/>
            </w:pPr>
            <w:r>
              <w:rPr>
                <w:sz w:val="20"/>
              </w:rPr>
              <w:t xml:space="preserve">3 738,7</w:t>
            </w:r>
          </w:p>
        </w:tc>
        <w:tc>
          <w:tcPr>
            <w:tcW w:w="1020" w:type="dxa"/>
            <w:vAlign w:val="center"/>
            <w:tcBorders>
              <w:top w:val="single" w:sz="4"/>
              <w:left w:val="nil"/>
              <w:bottom w:val="nil"/>
              <w:right w:val="nil"/>
            </w:tcBorders>
          </w:tcPr>
          <w:p>
            <w:pPr>
              <w:pStyle w:val="0"/>
              <w:jc w:val="center"/>
            </w:pPr>
            <w:r>
              <w:rPr>
                <w:sz w:val="20"/>
              </w:rPr>
              <w:t xml:space="preserve">3 931,7</w:t>
            </w:r>
          </w:p>
        </w:tc>
        <w:tc>
          <w:tcPr>
            <w:tcW w:w="1020" w:type="dxa"/>
            <w:vAlign w:val="center"/>
            <w:tcBorders>
              <w:top w:val="single" w:sz="4"/>
              <w:left w:val="nil"/>
              <w:bottom w:val="nil"/>
              <w:right w:val="nil"/>
            </w:tcBorders>
          </w:tcPr>
          <w:p>
            <w:pPr>
              <w:pStyle w:val="0"/>
              <w:jc w:val="center"/>
            </w:pPr>
            <w:r>
              <w:rPr>
                <w:sz w:val="20"/>
              </w:rPr>
              <w:t xml:space="preserve">4 192,1</w:t>
            </w:r>
          </w:p>
        </w:tc>
      </w:tr>
      <w:tr>
        <w:tc>
          <w:tcPr>
            <w:tcW w:w="2154" w:type="dxa"/>
            <w:tcBorders>
              <w:top w:val="nil"/>
              <w:left w:val="nil"/>
              <w:bottom w:val="nil"/>
              <w:right w:val="nil"/>
            </w:tcBorders>
          </w:tcPr>
          <w:p>
            <w:pPr>
              <w:pStyle w:val="0"/>
            </w:pPr>
            <w:r>
              <w:rPr>
                <w:sz w:val="20"/>
              </w:rPr>
              <w:t xml:space="preserve">Страховые взносы на ОМС</w:t>
            </w:r>
          </w:p>
        </w:tc>
        <w:tc>
          <w:tcPr>
            <w:tcW w:w="1020" w:type="dxa"/>
            <w:vAlign w:val="center"/>
            <w:tcBorders>
              <w:top w:val="nil"/>
              <w:left w:val="nil"/>
              <w:bottom w:val="nil"/>
              <w:right w:val="nil"/>
            </w:tcBorders>
          </w:tcPr>
          <w:p>
            <w:pPr>
              <w:pStyle w:val="0"/>
              <w:jc w:val="center"/>
            </w:pPr>
            <w:r>
              <w:rPr>
                <w:sz w:val="20"/>
              </w:rPr>
              <w:t xml:space="preserve">2 043,0</w:t>
            </w:r>
          </w:p>
        </w:tc>
        <w:tc>
          <w:tcPr>
            <w:tcW w:w="1020" w:type="dxa"/>
            <w:vAlign w:val="center"/>
            <w:tcBorders>
              <w:top w:val="nil"/>
              <w:left w:val="nil"/>
              <w:bottom w:val="nil"/>
              <w:right w:val="nil"/>
            </w:tcBorders>
          </w:tcPr>
          <w:p>
            <w:pPr>
              <w:pStyle w:val="0"/>
              <w:jc w:val="center"/>
            </w:pPr>
            <w:r>
              <w:rPr>
                <w:sz w:val="20"/>
              </w:rPr>
              <w:t xml:space="preserve">2 132,8</w:t>
            </w:r>
          </w:p>
        </w:tc>
        <w:tc>
          <w:tcPr>
            <w:tcW w:w="1020" w:type="dxa"/>
            <w:vAlign w:val="center"/>
            <w:tcBorders>
              <w:top w:val="nil"/>
              <w:left w:val="nil"/>
              <w:bottom w:val="nil"/>
              <w:right w:val="nil"/>
            </w:tcBorders>
          </w:tcPr>
          <w:p>
            <w:pPr>
              <w:pStyle w:val="0"/>
              <w:jc w:val="center"/>
            </w:pPr>
            <w:r>
              <w:rPr>
                <w:sz w:val="20"/>
              </w:rPr>
              <w:t xml:space="preserve">2 316,1</w:t>
            </w:r>
          </w:p>
        </w:tc>
        <w:tc>
          <w:tcPr>
            <w:tcW w:w="1191" w:type="dxa"/>
            <w:vAlign w:val="center"/>
            <w:tcBorders>
              <w:top w:val="nil"/>
              <w:left w:val="nil"/>
              <w:bottom w:val="nil"/>
              <w:right w:val="nil"/>
            </w:tcBorders>
          </w:tcPr>
          <w:p>
            <w:pPr>
              <w:pStyle w:val="0"/>
              <w:jc w:val="center"/>
            </w:pPr>
            <w:r>
              <w:rPr>
                <w:sz w:val="20"/>
              </w:rPr>
              <w:t xml:space="preserve">2 413,2</w:t>
            </w:r>
          </w:p>
        </w:tc>
        <w:tc>
          <w:tcPr>
            <w:tcW w:w="1247" w:type="dxa"/>
            <w:vAlign w:val="center"/>
            <w:tcBorders>
              <w:top w:val="nil"/>
              <w:left w:val="nil"/>
              <w:bottom w:val="nil"/>
              <w:right w:val="nil"/>
            </w:tcBorders>
          </w:tcPr>
          <w:p>
            <w:pPr>
              <w:pStyle w:val="0"/>
              <w:jc w:val="center"/>
            </w:pPr>
            <w:r>
              <w:rPr>
                <w:sz w:val="20"/>
              </w:rPr>
              <w:t xml:space="preserve">2 731,0</w:t>
            </w:r>
          </w:p>
        </w:tc>
        <w:tc>
          <w:tcPr>
            <w:tcW w:w="1020" w:type="dxa"/>
            <w:vAlign w:val="center"/>
            <w:tcBorders>
              <w:top w:val="nil"/>
              <w:left w:val="nil"/>
              <w:bottom w:val="nil"/>
              <w:right w:val="nil"/>
            </w:tcBorders>
          </w:tcPr>
          <w:p>
            <w:pPr>
              <w:pStyle w:val="0"/>
              <w:jc w:val="center"/>
            </w:pPr>
            <w:r>
              <w:rPr>
                <w:sz w:val="20"/>
              </w:rPr>
              <w:t xml:space="preserve">3 213,6</w:t>
            </w:r>
          </w:p>
        </w:tc>
        <w:tc>
          <w:tcPr>
            <w:tcW w:w="1020" w:type="dxa"/>
            <w:vAlign w:val="center"/>
            <w:tcBorders>
              <w:top w:val="nil"/>
              <w:left w:val="nil"/>
              <w:bottom w:val="nil"/>
              <w:right w:val="nil"/>
            </w:tcBorders>
          </w:tcPr>
          <w:p>
            <w:pPr>
              <w:pStyle w:val="0"/>
              <w:jc w:val="center"/>
            </w:pPr>
            <w:r>
              <w:rPr>
                <w:sz w:val="20"/>
              </w:rPr>
              <w:t xml:space="preserve">3 378,7</w:t>
            </w:r>
          </w:p>
        </w:tc>
        <w:tc>
          <w:tcPr>
            <w:tcW w:w="1020" w:type="dxa"/>
            <w:vAlign w:val="center"/>
            <w:tcBorders>
              <w:top w:val="nil"/>
              <w:left w:val="nil"/>
              <w:bottom w:val="nil"/>
              <w:right w:val="nil"/>
            </w:tcBorders>
          </w:tcPr>
          <w:p>
            <w:pPr>
              <w:pStyle w:val="0"/>
              <w:jc w:val="center"/>
            </w:pPr>
            <w:r>
              <w:rPr>
                <w:sz w:val="20"/>
              </w:rPr>
              <w:t xml:space="preserve">3 607,0</w:t>
            </w:r>
          </w:p>
        </w:tc>
      </w:tr>
      <w:tr>
        <w:tc>
          <w:tcPr>
            <w:tcW w:w="2154" w:type="dxa"/>
            <w:tcBorders>
              <w:top w:val="nil"/>
              <w:left w:val="nil"/>
              <w:bottom w:val="nil"/>
              <w:right w:val="nil"/>
            </w:tcBorders>
          </w:tcPr>
          <w:p>
            <w:pPr>
              <w:pStyle w:val="0"/>
            </w:pPr>
            <w:r>
              <w:rPr>
                <w:sz w:val="20"/>
              </w:rPr>
              <w:t xml:space="preserve">Трансферты из ФБ</w:t>
            </w:r>
          </w:p>
        </w:tc>
        <w:tc>
          <w:tcPr>
            <w:tcW w:w="1020" w:type="dxa"/>
            <w:vAlign w:val="center"/>
            <w:tcBorders>
              <w:top w:val="nil"/>
              <w:left w:val="nil"/>
              <w:bottom w:val="nil"/>
              <w:right w:val="nil"/>
            </w:tcBorders>
          </w:tcPr>
          <w:p>
            <w:pPr>
              <w:pStyle w:val="0"/>
              <w:jc w:val="center"/>
            </w:pPr>
            <w:r>
              <w:rPr>
                <w:sz w:val="20"/>
              </w:rPr>
              <w:t xml:space="preserve">79,0</w:t>
            </w:r>
          </w:p>
        </w:tc>
        <w:tc>
          <w:tcPr>
            <w:tcW w:w="1020" w:type="dxa"/>
            <w:vAlign w:val="center"/>
            <w:tcBorders>
              <w:top w:val="nil"/>
              <w:left w:val="nil"/>
              <w:bottom w:val="nil"/>
              <w:right w:val="nil"/>
            </w:tcBorders>
          </w:tcPr>
          <w:p>
            <w:pPr>
              <w:pStyle w:val="0"/>
              <w:jc w:val="center"/>
            </w:pPr>
            <w:r>
              <w:rPr>
                <w:sz w:val="20"/>
              </w:rPr>
              <w:t xml:space="preserve">247,7</w:t>
            </w:r>
          </w:p>
        </w:tc>
        <w:tc>
          <w:tcPr>
            <w:tcW w:w="1020" w:type="dxa"/>
            <w:vAlign w:val="center"/>
            <w:tcBorders>
              <w:top w:val="nil"/>
              <w:left w:val="nil"/>
              <w:bottom w:val="nil"/>
              <w:right w:val="nil"/>
            </w:tcBorders>
          </w:tcPr>
          <w:p>
            <w:pPr>
              <w:pStyle w:val="0"/>
              <w:jc w:val="center"/>
            </w:pPr>
            <w:r>
              <w:rPr>
                <w:sz w:val="20"/>
              </w:rPr>
              <w:t xml:space="preserve">294,9</w:t>
            </w:r>
          </w:p>
        </w:tc>
        <w:tc>
          <w:tcPr>
            <w:tcW w:w="1191" w:type="dxa"/>
            <w:vAlign w:val="center"/>
            <w:tcBorders>
              <w:top w:val="nil"/>
              <w:left w:val="nil"/>
              <w:bottom w:val="nil"/>
              <w:right w:val="nil"/>
            </w:tcBorders>
          </w:tcPr>
          <w:p>
            <w:pPr>
              <w:pStyle w:val="0"/>
              <w:jc w:val="center"/>
            </w:pPr>
            <w:r>
              <w:rPr>
                <w:sz w:val="20"/>
              </w:rPr>
              <w:t xml:space="preserve">474,2</w:t>
            </w:r>
          </w:p>
        </w:tc>
        <w:tc>
          <w:tcPr>
            <w:tcW w:w="1247" w:type="dxa"/>
            <w:vAlign w:val="center"/>
            <w:tcBorders>
              <w:top w:val="nil"/>
              <w:left w:val="nil"/>
              <w:bottom w:val="nil"/>
              <w:right w:val="nil"/>
            </w:tcBorders>
          </w:tcPr>
          <w:p>
            <w:pPr>
              <w:pStyle w:val="0"/>
              <w:jc w:val="center"/>
            </w:pPr>
            <w:r>
              <w:rPr>
                <w:sz w:val="20"/>
              </w:rPr>
              <w:t xml:space="preserve">429,0</w:t>
            </w:r>
          </w:p>
        </w:tc>
        <w:tc>
          <w:tcPr>
            <w:tcW w:w="1020" w:type="dxa"/>
            <w:vAlign w:val="center"/>
            <w:tcBorders>
              <w:top w:val="nil"/>
              <w:left w:val="nil"/>
              <w:bottom w:val="nil"/>
              <w:right w:val="nil"/>
            </w:tcBorders>
          </w:tcPr>
          <w:p>
            <w:pPr>
              <w:pStyle w:val="0"/>
              <w:jc w:val="center"/>
            </w:pPr>
            <w:r>
              <w:rPr>
                <w:sz w:val="20"/>
              </w:rPr>
              <w:t xml:space="preserve">486,6</w:t>
            </w:r>
          </w:p>
        </w:tc>
        <w:tc>
          <w:tcPr>
            <w:tcW w:w="1020" w:type="dxa"/>
            <w:vAlign w:val="center"/>
            <w:tcBorders>
              <w:top w:val="nil"/>
              <w:left w:val="nil"/>
              <w:bottom w:val="nil"/>
              <w:right w:val="nil"/>
            </w:tcBorders>
          </w:tcPr>
          <w:p>
            <w:pPr>
              <w:pStyle w:val="0"/>
              <w:jc w:val="center"/>
            </w:pPr>
            <w:r>
              <w:rPr>
                <w:sz w:val="20"/>
              </w:rPr>
              <w:t xml:space="preserve">504,3</w:t>
            </w:r>
          </w:p>
        </w:tc>
        <w:tc>
          <w:tcPr>
            <w:tcW w:w="1020" w:type="dxa"/>
            <w:vAlign w:val="center"/>
            <w:tcBorders>
              <w:top w:val="nil"/>
              <w:left w:val="nil"/>
              <w:bottom w:val="nil"/>
              <w:right w:val="nil"/>
            </w:tcBorders>
          </w:tcPr>
          <w:p>
            <w:pPr>
              <w:pStyle w:val="0"/>
              <w:jc w:val="center"/>
            </w:pPr>
            <w:r>
              <w:rPr>
                <w:sz w:val="20"/>
              </w:rPr>
              <w:t xml:space="preserve">526,2</w:t>
            </w:r>
          </w:p>
        </w:tc>
      </w:tr>
      <w:tr>
        <w:tc>
          <w:tcPr>
            <w:tcW w:w="2154" w:type="dxa"/>
            <w:tcBorders>
              <w:top w:val="nil"/>
              <w:left w:val="nil"/>
              <w:bottom w:val="nil"/>
              <w:right w:val="nil"/>
            </w:tcBorders>
          </w:tcPr>
          <w:p>
            <w:pPr>
              <w:pStyle w:val="0"/>
              <w:ind w:firstLine="283"/>
            </w:pPr>
            <w:r>
              <w:rPr>
                <w:sz w:val="20"/>
              </w:rPr>
              <w:t xml:space="preserve">в т.ч. на выпадающие доходы</w:t>
            </w:r>
          </w:p>
        </w:tc>
        <w:tc>
          <w:tcPr>
            <w:tcW w:w="1020" w:type="dxa"/>
            <w:vAlign w:val="center"/>
            <w:tcBorders>
              <w:top w:val="nil"/>
              <w:left w:val="nil"/>
              <w:bottom w:val="nil"/>
              <w:right w:val="nil"/>
            </w:tcBorders>
          </w:tcPr>
          <w:p>
            <w:pPr>
              <w:pStyle w:val="0"/>
              <w:jc w:val="center"/>
            </w:pPr>
            <w:r>
              <w:rPr>
                <w:sz w:val="20"/>
              </w:rPr>
              <w:t xml:space="preserve">9,0</w:t>
            </w:r>
          </w:p>
        </w:tc>
        <w:tc>
          <w:tcPr>
            <w:tcW w:w="1020" w:type="dxa"/>
            <w:vAlign w:val="center"/>
            <w:tcBorders>
              <w:top w:val="nil"/>
              <w:left w:val="nil"/>
              <w:bottom w:val="nil"/>
              <w:right w:val="nil"/>
            </w:tcBorders>
          </w:tcPr>
          <w:p>
            <w:pPr>
              <w:pStyle w:val="0"/>
              <w:jc w:val="center"/>
            </w:pPr>
            <w:r>
              <w:rPr>
                <w:sz w:val="20"/>
              </w:rPr>
              <w:t xml:space="preserve">12,0</w:t>
            </w:r>
          </w:p>
        </w:tc>
        <w:tc>
          <w:tcPr>
            <w:tcW w:w="1020" w:type="dxa"/>
            <w:vAlign w:val="center"/>
            <w:tcBorders>
              <w:top w:val="nil"/>
              <w:left w:val="nil"/>
              <w:bottom w:val="nil"/>
              <w:right w:val="nil"/>
            </w:tcBorders>
          </w:tcPr>
          <w:p>
            <w:pPr>
              <w:pStyle w:val="0"/>
              <w:jc w:val="center"/>
            </w:pPr>
            <w:r>
              <w:rPr>
                <w:sz w:val="20"/>
              </w:rPr>
              <w:t xml:space="preserve">35,5</w:t>
            </w:r>
          </w:p>
        </w:tc>
        <w:tc>
          <w:tcPr>
            <w:tcW w:w="1191" w:type="dxa"/>
            <w:vAlign w:val="center"/>
            <w:tcBorders>
              <w:top w:val="nil"/>
              <w:left w:val="nil"/>
              <w:bottom w:val="nil"/>
              <w:right w:val="nil"/>
            </w:tcBorders>
          </w:tcPr>
          <w:p>
            <w:pPr>
              <w:pStyle w:val="0"/>
              <w:jc w:val="center"/>
            </w:pPr>
            <w:r>
              <w:rPr>
                <w:sz w:val="20"/>
              </w:rPr>
              <w:t xml:space="preserve">47,5</w:t>
            </w:r>
          </w:p>
        </w:tc>
        <w:tc>
          <w:tcPr>
            <w:tcW w:w="1247" w:type="dxa"/>
            <w:vAlign w:val="center"/>
            <w:tcBorders>
              <w:top w:val="nil"/>
              <w:left w:val="nil"/>
              <w:bottom w:val="nil"/>
              <w:right w:val="nil"/>
            </w:tcBorders>
          </w:tcPr>
          <w:p>
            <w:pPr>
              <w:pStyle w:val="0"/>
              <w:jc w:val="center"/>
            </w:pPr>
            <w:r>
              <w:rPr>
                <w:sz w:val="20"/>
              </w:rPr>
              <w:t xml:space="preserve">149,4</w:t>
            </w:r>
          </w:p>
        </w:tc>
        <w:tc>
          <w:tcPr>
            <w:tcW w:w="1020" w:type="dxa"/>
            <w:vAlign w:val="center"/>
            <w:tcBorders>
              <w:top w:val="nil"/>
              <w:left w:val="nil"/>
              <w:bottom w:val="nil"/>
              <w:right w:val="nil"/>
            </w:tcBorders>
          </w:tcPr>
          <w:p>
            <w:pPr>
              <w:pStyle w:val="0"/>
              <w:jc w:val="center"/>
            </w:pPr>
            <w:r>
              <w:rPr>
                <w:sz w:val="20"/>
              </w:rPr>
              <w:t xml:space="preserve">198,2</w:t>
            </w:r>
          </w:p>
        </w:tc>
        <w:tc>
          <w:tcPr>
            <w:tcW w:w="1020" w:type="dxa"/>
            <w:vAlign w:val="center"/>
            <w:tcBorders>
              <w:top w:val="nil"/>
              <w:left w:val="nil"/>
              <w:bottom w:val="nil"/>
              <w:right w:val="nil"/>
            </w:tcBorders>
          </w:tcPr>
          <w:p>
            <w:pPr>
              <w:pStyle w:val="0"/>
              <w:jc w:val="center"/>
            </w:pPr>
            <w:r>
              <w:rPr>
                <w:sz w:val="20"/>
              </w:rPr>
              <w:t xml:space="preserve">209,3</w:t>
            </w:r>
          </w:p>
        </w:tc>
        <w:tc>
          <w:tcPr>
            <w:tcW w:w="1020" w:type="dxa"/>
            <w:vAlign w:val="center"/>
            <w:tcBorders>
              <w:top w:val="nil"/>
              <w:left w:val="nil"/>
              <w:bottom w:val="nil"/>
              <w:right w:val="nil"/>
            </w:tcBorders>
          </w:tcPr>
          <w:p>
            <w:pPr>
              <w:pStyle w:val="0"/>
              <w:jc w:val="center"/>
            </w:pPr>
            <w:r>
              <w:rPr>
                <w:sz w:val="20"/>
              </w:rPr>
              <w:t xml:space="preserve">224,5</w:t>
            </w:r>
          </w:p>
        </w:tc>
      </w:tr>
      <w:tr>
        <w:tc>
          <w:tcPr>
            <w:tcW w:w="2154" w:type="dxa"/>
            <w:tcBorders>
              <w:top w:val="nil"/>
              <w:left w:val="nil"/>
              <w:bottom w:val="nil"/>
              <w:right w:val="nil"/>
            </w:tcBorders>
          </w:tcPr>
          <w:p>
            <w:pPr>
              <w:pStyle w:val="0"/>
            </w:pPr>
            <w:r>
              <w:rPr>
                <w:sz w:val="20"/>
              </w:rPr>
              <w:t xml:space="preserve">Расходы</w:t>
            </w:r>
          </w:p>
        </w:tc>
        <w:tc>
          <w:tcPr>
            <w:tcW w:w="1020" w:type="dxa"/>
            <w:vAlign w:val="center"/>
            <w:tcBorders>
              <w:top w:val="nil"/>
              <w:left w:val="nil"/>
              <w:bottom w:val="nil"/>
              <w:right w:val="nil"/>
            </w:tcBorders>
          </w:tcPr>
          <w:p>
            <w:pPr>
              <w:pStyle w:val="0"/>
              <w:jc w:val="center"/>
            </w:pPr>
            <w:r>
              <w:rPr>
                <w:sz w:val="20"/>
              </w:rPr>
              <w:t xml:space="preserve">2 186,7</w:t>
            </w:r>
          </w:p>
        </w:tc>
        <w:tc>
          <w:tcPr>
            <w:tcW w:w="1020" w:type="dxa"/>
            <w:vAlign w:val="center"/>
            <w:tcBorders>
              <w:top w:val="nil"/>
              <w:left w:val="nil"/>
              <w:bottom w:val="nil"/>
              <w:right w:val="nil"/>
            </w:tcBorders>
          </w:tcPr>
          <w:p>
            <w:pPr>
              <w:pStyle w:val="0"/>
              <w:jc w:val="center"/>
            </w:pPr>
            <w:r>
              <w:rPr>
                <w:sz w:val="20"/>
              </w:rPr>
              <w:t xml:space="preserve">2 360,5</w:t>
            </w:r>
          </w:p>
        </w:tc>
        <w:tc>
          <w:tcPr>
            <w:tcW w:w="1020" w:type="dxa"/>
            <w:vAlign w:val="center"/>
            <w:tcBorders>
              <w:top w:val="nil"/>
              <w:left w:val="nil"/>
              <w:bottom w:val="nil"/>
              <w:right w:val="nil"/>
            </w:tcBorders>
          </w:tcPr>
          <w:p>
            <w:pPr>
              <w:pStyle w:val="0"/>
              <w:jc w:val="center"/>
            </w:pPr>
            <w:r>
              <w:rPr>
                <w:sz w:val="20"/>
              </w:rPr>
              <w:t xml:space="preserve">2 569,5</w:t>
            </w:r>
          </w:p>
        </w:tc>
        <w:tc>
          <w:tcPr>
            <w:tcW w:w="1191" w:type="dxa"/>
            <w:vAlign w:val="center"/>
            <w:tcBorders>
              <w:top w:val="nil"/>
              <w:left w:val="nil"/>
              <w:bottom w:val="nil"/>
              <w:right w:val="nil"/>
            </w:tcBorders>
          </w:tcPr>
          <w:p>
            <w:pPr>
              <w:pStyle w:val="0"/>
              <w:jc w:val="center"/>
            </w:pPr>
            <w:r>
              <w:rPr>
                <w:sz w:val="20"/>
              </w:rPr>
              <w:t xml:space="preserve">2 797,1</w:t>
            </w:r>
          </w:p>
        </w:tc>
        <w:tc>
          <w:tcPr>
            <w:tcW w:w="1247" w:type="dxa"/>
            <w:vAlign w:val="center"/>
            <w:tcBorders>
              <w:top w:val="nil"/>
              <w:left w:val="nil"/>
              <w:bottom w:val="nil"/>
              <w:right w:val="nil"/>
            </w:tcBorders>
          </w:tcPr>
          <w:p>
            <w:pPr>
              <w:pStyle w:val="0"/>
              <w:jc w:val="center"/>
            </w:pPr>
            <w:r>
              <w:rPr>
                <w:sz w:val="20"/>
              </w:rPr>
              <w:t xml:space="preserve">3 235,4</w:t>
            </w:r>
          </w:p>
        </w:tc>
        <w:tc>
          <w:tcPr>
            <w:tcW w:w="1020" w:type="dxa"/>
            <w:vAlign w:val="center"/>
            <w:tcBorders>
              <w:top w:val="nil"/>
              <w:left w:val="nil"/>
              <w:bottom w:val="nil"/>
              <w:right w:val="nil"/>
            </w:tcBorders>
          </w:tcPr>
          <w:p>
            <w:pPr>
              <w:pStyle w:val="0"/>
              <w:jc w:val="center"/>
            </w:pPr>
            <w:r>
              <w:rPr>
                <w:sz w:val="20"/>
              </w:rPr>
              <w:t xml:space="preserve">3 885,8</w:t>
            </w:r>
          </w:p>
        </w:tc>
        <w:tc>
          <w:tcPr>
            <w:tcW w:w="1020" w:type="dxa"/>
            <w:vAlign w:val="center"/>
            <w:tcBorders>
              <w:top w:val="nil"/>
              <w:left w:val="nil"/>
              <w:bottom w:val="nil"/>
              <w:right w:val="nil"/>
            </w:tcBorders>
          </w:tcPr>
          <w:p>
            <w:pPr>
              <w:pStyle w:val="0"/>
              <w:jc w:val="center"/>
            </w:pPr>
            <w:r>
              <w:rPr>
                <w:sz w:val="20"/>
              </w:rPr>
              <w:t xml:space="preserve">3 965,5</w:t>
            </w:r>
          </w:p>
        </w:tc>
        <w:tc>
          <w:tcPr>
            <w:tcW w:w="1020" w:type="dxa"/>
            <w:vAlign w:val="center"/>
            <w:tcBorders>
              <w:top w:val="nil"/>
              <w:left w:val="nil"/>
              <w:bottom w:val="nil"/>
              <w:right w:val="nil"/>
            </w:tcBorders>
          </w:tcPr>
          <w:p>
            <w:pPr>
              <w:pStyle w:val="0"/>
              <w:jc w:val="center"/>
            </w:pPr>
            <w:r>
              <w:rPr>
                <w:sz w:val="20"/>
              </w:rPr>
              <w:t xml:space="preserve">4 210,3</w:t>
            </w:r>
          </w:p>
        </w:tc>
      </w:tr>
      <w:tr>
        <w:tc>
          <w:tcPr>
            <w:tcW w:w="2154" w:type="dxa"/>
            <w:tcBorders>
              <w:top w:val="nil"/>
              <w:left w:val="nil"/>
              <w:bottom w:val="single" w:sz="4"/>
              <w:right w:val="nil"/>
            </w:tcBorders>
          </w:tcPr>
          <w:p>
            <w:pPr>
              <w:pStyle w:val="0"/>
            </w:pPr>
            <w:r>
              <w:rPr>
                <w:sz w:val="20"/>
              </w:rPr>
              <w:t xml:space="preserve">Дефицит/профицит</w:t>
            </w:r>
          </w:p>
        </w:tc>
        <w:tc>
          <w:tcPr>
            <w:tcW w:w="1020" w:type="dxa"/>
            <w:vAlign w:val="center"/>
            <w:tcBorders>
              <w:top w:val="nil"/>
              <w:left w:val="nil"/>
              <w:bottom w:val="single" w:sz="4"/>
              <w:right w:val="nil"/>
            </w:tcBorders>
          </w:tcPr>
          <w:p>
            <w:pPr>
              <w:pStyle w:val="0"/>
              <w:jc w:val="center"/>
            </w:pPr>
            <w:r>
              <w:rPr>
                <w:sz w:val="20"/>
              </w:rPr>
              <w:t xml:space="preserve">-62,7</w:t>
            </w:r>
          </w:p>
        </w:tc>
        <w:tc>
          <w:tcPr>
            <w:tcW w:w="1020" w:type="dxa"/>
            <w:vAlign w:val="center"/>
            <w:tcBorders>
              <w:top w:val="nil"/>
              <w:left w:val="nil"/>
              <w:bottom w:val="single" w:sz="4"/>
              <w:right w:val="nil"/>
            </w:tcBorders>
          </w:tcPr>
          <w:p>
            <w:pPr>
              <w:pStyle w:val="0"/>
              <w:jc w:val="center"/>
            </w:pPr>
            <w:r>
              <w:rPr>
                <w:sz w:val="20"/>
              </w:rPr>
              <w:t xml:space="preserve">32,2</w:t>
            </w:r>
          </w:p>
        </w:tc>
        <w:tc>
          <w:tcPr>
            <w:tcW w:w="1020" w:type="dxa"/>
            <w:vAlign w:val="center"/>
            <w:tcBorders>
              <w:top w:val="nil"/>
              <w:left w:val="nil"/>
              <w:bottom w:val="single" w:sz="4"/>
              <w:right w:val="nil"/>
            </w:tcBorders>
          </w:tcPr>
          <w:p>
            <w:pPr>
              <w:pStyle w:val="0"/>
              <w:jc w:val="center"/>
            </w:pPr>
            <w:r>
              <w:rPr>
                <w:sz w:val="20"/>
              </w:rPr>
              <w:t xml:space="preserve">61,9</w:t>
            </w:r>
          </w:p>
        </w:tc>
        <w:tc>
          <w:tcPr>
            <w:tcW w:w="1191" w:type="dxa"/>
            <w:vAlign w:val="center"/>
            <w:tcBorders>
              <w:top w:val="nil"/>
              <w:left w:val="nil"/>
              <w:bottom w:val="single" w:sz="4"/>
              <w:right w:val="nil"/>
            </w:tcBorders>
          </w:tcPr>
          <w:p>
            <w:pPr>
              <w:pStyle w:val="0"/>
              <w:jc w:val="center"/>
            </w:pPr>
            <w:r>
              <w:rPr>
                <w:sz w:val="20"/>
              </w:rPr>
              <w:t xml:space="preserve">122,4</w:t>
            </w:r>
          </w:p>
        </w:tc>
        <w:tc>
          <w:tcPr>
            <w:tcW w:w="1247" w:type="dxa"/>
            <w:vAlign w:val="center"/>
            <w:tcBorders>
              <w:top w:val="nil"/>
              <w:left w:val="nil"/>
              <w:bottom w:val="single" w:sz="4"/>
              <w:right w:val="nil"/>
            </w:tcBorders>
          </w:tcPr>
          <w:p>
            <w:pPr>
              <w:pStyle w:val="0"/>
              <w:jc w:val="center"/>
            </w:pPr>
            <w:r>
              <w:rPr>
                <w:sz w:val="20"/>
              </w:rPr>
              <w:t xml:space="preserve">-36,6</w:t>
            </w:r>
          </w:p>
        </w:tc>
        <w:tc>
          <w:tcPr>
            <w:tcW w:w="1020" w:type="dxa"/>
            <w:vAlign w:val="center"/>
            <w:tcBorders>
              <w:top w:val="nil"/>
              <w:left w:val="nil"/>
              <w:bottom w:val="single" w:sz="4"/>
              <w:right w:val="nil"/>
            </w:tcBorders>
          </w:tcPr>
          <w:p>
            <w:pPr>
              <w:pStyle w:val="0"/>
              <w:jc w:val="center"/>
            </w:pPr>
            <w:r>
              <w:rPr>
                <w:sz w:val="20"/>
              </w:rPr>
              <w:t xml:space="preserve">-147,1</w:t>
            </w:r>
          </w:p>
        </w:tc>
        <w:tc>
          <w:tcPr>
            <w:tcW w:w="1020" w:type="dxa"/>
            <w:vAlign w:val="center"/>
            <w:tcBorders>
              <w:top w:val="nil"/>
              <w:left w:val="nil"/>
              <w:bottom w:val="single" w:sz="4"/>
              <w:right w:val="nil"/>
            </w:tcBorders>
          </w:tcPr>
          <w:p>
            <w:pPr>
              <w:pStyle w:val="0"/>
              <w:jc w:val="center"/>
            </w:pPr>
            <w:r>
              <w:rPr>
                <w:sz w:val="20"/>
              </w:rPr>
              <w:t xml:space="preserve">-33,8</w:t>
            </w:r>
          </w:p>
        </w:tc>
        <w:tc>
          <w:tcPr>
            <w:tcW w:w="1020" w:type="dxa"/>
            <w:vAlign w:val="center"/>
            <w:tcBorders>
              <w:top w:val="nil"/>
              <w:left w:val="nil"/>
              <w:bottom w:val="single" w:sz="4"/>
              <w:right w:val="nil"/>
            </w:tcBorders>
          </w:tcPr>
          <w:p>
            <w:pPr>
              <w:pStyle w:val="0"/>
              <w:jc w:val="center"/>
            </w:pPr>
            <w:r>
              <w:rPr>
                <w:sz w:val="20"/>
              </w:rPr>
              <w:t xml:space="preserve">-18,2</w:t>
            </w:r>
          </w:p>
        </w:tc>
      </w:tr>
    </w:tbl>
    <w:p>
      <w:pPr>
        <w:pStyle w:val="0"/>
        <w:jc w:val="both"/>
      </w:pPr>
      <w:r>
        <w:rPr>
          <w:sz w:val="20"/>
        </w:rPr>
      </w:r>
    </w:p>
    <w:p>
      <w:pPr>
        <w:pStyle w:val="0"/>
        <w:ind w:firstLine="540"/>
        <w:jc w:val="both"/>
      </w:pPr>
      <w:r>
        <w:rPr>
          <w:sz w:val="20"/>
        </w:rPr>
        <w:t xml:space="preserve">--------------------------------</w:t>
      </w:r>
    </w:p>
    <w:bookmarkStart w:id="2525" w:name="P2525"/>
    <w:bookmarkEnd w:id="2525"/>
    <w:p>
      <w:pPr>
        <w:pStyle w:val="0"/>
        <w:spacing w:before="200" w:line-rule="auto"/>
        <w:ind w:firstLine="540"/>
        <w:jc w:val="both"/>
      </w:pPr>
      <w:r>
        <w:rPr>
          <w:sz w:val="20"/>
        </w:rPr>
        <w:t xml:space="preserve">&lt;*&gt; оценка</w:t>
      </w:r>
    </w:p>
    <w:p>
      <w:pPr>
        <w:pStyle w:val="0"/>
        <w:jc w:val="both"/>
      </w:pPr>
      <w:r>
        <w:rPr>
          <w:sz w:val="20"/>
        </w:rPr>
      </w:r>
    </w:p>
    <w:p>
      <w:pPr>
        <w:pStyle w:val="2"/>
        <w:outlineLvl w:val="2"/>
        <w:ind w:firstLine="540"/>
        <w:jc w:val="both"/>
      </w:pPr>
      <w:r>
        <w:rPr>
          <w:sz w:val="20"/>
        </w:rPr>
        <w:t xml:space="preserve">4.4. БЮДЖЕТЫ БЮДЖЕТНОЙ СИСТЕМЫ</w:t>
      </w:r>
    </w:p>
    <w:p>
      <w:pPr>
        <w:pStyle w:val="0"/>
        <w:jc w:val="both"/>
      </w:pPr>
      <w:r>
        <w:rPr>
          <w:sz w:val="20"/>
        </w:rPr>
      </w:r>
    </w:p>
    <w:p>
      <w:pPr>
        <w:pStyle w:val="0"/>
        <w:ind w:firstLine="540"/>
        <w:jc w:val="both"/>
      </w:pPr>
      <w:r>
        <w:rPr>
          <w:sz w:val="20"/>
        </w:rPr>
        <w:t xml:space="preserve">Динамика основных параметров бюджетной системы в 2024 - 2026 гг. характеризуется увеличением доходов в номинальном выражении с 68,8 трлн рублей в 2024 г. до 71,9 трлн рублей в 2026 г. Вместе с тем, на фоне роста ВВП и снижения нефтегазовых доходов федерального бюджета в 2024 - 2026 гг. наблюдается сокращение доходов бюджетов бюджетной системы с 37,1% ВВП в 2024 г. до 34,8% ВВП в 2026 г.</w:t>
      </w:r>
    </w:p>
    <w:p>
      <w:pPr>
        <w:pStyle w:val="0"/>
        <w:spacing w:before="200" w:line-rule="auto"/>
        <w:ind w:firstLine="540"/>
        <w:jc w:val="both"/>
      </w:pPr>
      <w:r>
        <w:rPr>
          <w:sz w:val="20"/>
        </w:rPr>
        <w:t xml:space="preserve">Объем расходов по отношению к ВВП составляет 38,2% ВВП в 2024 г., 36,0% в 2025 г. и 35,5% в 2026 г. В 2023 - 2025 гг. ожидается дефицит в размере 1,1% ВВП в 2024 г., 0,4% ВВП - в 2025 г. и 0,7% ВВП - в 2026 г.</w:t>
      </w:r>
    </w:p>
    <w:p>
      <w:pPr>
        <w:pStyle w:val="0"/>
        <w:jc w:val="both"/>
      </w:pPr>
      <w:r>
        <w:rPr>
          <w:sz w:val="20"/>
        </w:rPr>
      </w:r>
    </w:p>
    <w:p>
      <w:pPr>
        <w:pStyle w:val="0"/>
        <w:ind w:firstLine="540"/>
        <w:jc w:val="both"/>
      </w:pPr>
      <w:r>
        <w:rPr>
          <w:sz w:val="20"/>
        </w:rPr>
        <w:t xml:space="preserve">Таблица 4.4.1. Основные параметры бюджетов бюджетной системы в 2019 - 2026 гг. </w:t>
      </w:r>
      <w:hyperlink w:history="0" w:anchor="P2771" w:tooltip="&lt;*&gt; без учета накопительной составляющей пенсионной системы;">
        <w:r>
          <w:rPr>
            <w:sz w:val="20"/>
            <w:color w:val="0000ff"/>
          </w:rPr>
          <w:t xml:space="preserve">&lt;*&gt;</w:t>
        </w:r>
      </w:hyperlink>
    </w:p>
    <w:p>
      <w:pPr>
        <w:pStyle w:val="0"/>
        <w:jc w:val="both"/>
      </w:pPr>
      <w:r>
        <w:rPr>
          <w:sz w:val="20"/>
        </w:rPr>
      </w:r>
    </w:p>
    <w:p>
      <w:pPr>
        <w:pStyle w:val="0"/>
        <w:jc w:val="right"/>
      </w:pPr>
      <w:r>
        <w:rPr>
          <w:sz w:val="20"/>
        </w:rPr>
        <w:t xml:space="preserve">млрд рублей</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2154"/>
        <w:gridCol w:w="1020"/>
        <w:gridCol w:w="1020"/>
        <w:gridCol w:w="1020"/>
        <w:gridCol w:w="1191"/>
        <w:gridCol w:w="1247"/>
        <w:gridCol w:w="1020"/>
        <w:gridCol w:w="1020"/>
        <w:gridCol w:w="1020"/>
      </w:tblGrid>
      <w:tr>
        <w:tblPrEx>
          <w:tblBorders>
            <w:insideH w:val="single" w:sz="4"/>
          </w:tblBorders>
        </w:tblPrEx>
        <w:tc>
          <w:tcPr>
            <w:tcW w:w="2154" w:type="dxa"/>
            <w:tcBorders>
              <w:top w:val="single" w:sz="4"/>
              <w:left w:val="nil"/>
              <w:bottom w:val="single" w:sz="4"/>
              <w:right w:val="nil"/>
            </w:tcBorders>
          </w:tcPr>
          <w:p>
            <w:pPr>
              <w:pStyle w:val="0"/>
              <w:jc w:val="center"/>
            </w:pPr>
            <w:r>
              <w:rPr>
                <w:sz w:val="20"/>
              </w:rPr>
              <w:t xml:space="preserve">Показатель</w:t>
            </w:r>
          </w:p>
        </w:tc>
        <w:tc>
          <w:tcPr>
            <w:tcW w:w="1020" w:type="dxa"/>
            <w:tcBorders>
              <w:top w:val="single" w:sz="4"/>
              <w:left w:val="nil"/>
              <w:bottom w:val="single" w:sz="4"/>
              <w:right w:val="nil"/>
            </w:tcBorders>
          </w:tcPr>
          <w:p>
            <w:pPr>
              <w:pStyle w:val="0"/>
              <w:jc w:val="center"/>
            </w:pPr>
            <w:r>
              <w:rPr>
                <w:sz w:val="20"/>
              </w:rPr>
              <w:t xml:space="preserve">2019</w:t>
            </w:r>
          </w:p>
        </w:tc>
        <w:tc>
          <w:tcPr>
            <w:tcW w:w="1020" w:type="dxa"/>
            <w:tcBorders>
              <w:top w:val="single" w:sz="4"/>
              <w:left w:val="nil"/>
              <w:bottom w:val="single" w:sz="4"/>
              <w:right w:val="nil"/>
            </w:tcBorders>
          </w:tcPr>
          <w:p>
            <w:pPr>
              <w:pStyle w:val="0"/>
              <w:jc w:val="center"/>
            </w:pPr>
            <w:r>
              <w:rPr>
                <w:sz w:val="20"/>
              </w:rPr>
              <w:t xml:space="preserve">2020</w:t>
            </w:r>
          </w:p>
        </w:tc>
        <w:tc>
          <w:tcPr>
            <w:tcW w:w="1020" w:type="dxa"/>
            <w:tcBorders>
              <w:top w:val="single" w:sz="4"/>
              <w:left w:val="nil"/>
              <w:bottom w:val="single" w:sz="4"/>
              <w:right w:val="nil"/>
            </w:tcBorders>
          </w:tcPr>
          <w:p>
            <w:pPr>
              <w:pStyle w:val="0"/>
              <w:jc w:val="center"/>
            </w:pPr>
            <w:r>
              <w:rPr>
                <w:sz w:val="20"/>
              </w:rPr>
              <w:t xml:space="preserve">2021</w:t>
            </w:r>
          </w:p>
        </w:tc>
        <w:tc>
          <w:tcPr>
            <w:tcW w:w="1191" w:type="dxa"/>
            <w:tcBorders>
              <w:top w:val="single" w:sz="4"/>
              <w:left w:val="nil"/>
              <w:bottom w:val="single" w:sz="4"/>
              <w:right w:val="nil"/>
            </w:tcBorders>
          </w:tcPr>
          <w:p>
            <w:pPr>
              <w:pStyle w:val="0"/>
              <w:jc w:val="center"/>
            </w:pPr>
            <w:r>
              <w:rPr>
                <w:sz w:val="20"/>
              </w:rPr>
              <w:t xml:space="preserve">2022</w:t>
            </w:r>
          </w:p>
        </w:tc>
        <w:tc>
          <w:tcPr>
            <w:tcW w:w="1247" w:type="dxa"/>
            <w:tcBorders>
              <w:top w:val="single" w:sz="4"/>
              <w:left w:val="nil"/>
              <w:bottom w:val="single" w:sz="4"/>
              <w:right w:val="nil"/>
            </w:tcBorders>
          </w:tcPr>
          <w:p>
            <w:pPr>
              <w:pStyle w:val="0"/>
              <w:jc w:val="center"/>
            </w:pPr>
            <w:r>
              <w:rPr>
                <w:sz w:val="20"/>
              </w:rPr>
              <w:t xml:space="preserve">2023 </w:t>
            </w:r>
            <w:hyperlink w:history="0" w:anchor="P2772" w:tooltip="&lt;**&gt; оценка;">
              <w:r>
                <w:rPr>
                  <w:sz w:val="20"/>
                  <w:color w:val="0000ff"/>
                </w:rPr>
                <w:t xml:space="preserve">&lt;**&gt;</w:t>
              </w:r>
            </w:hyperlink>
          </w:p>
        </w:tc>
        <w:tc>
          <w:tcPr>
            <w:tcW w:w="1020" w:type="dxa"/>
            <w:tcBorders>
              <w:top w:val="single" w:sz="4"/>
              <w:left w:val="nil"/>
              <w:bottom w:val="single" w:sz="4"/>
              <w:right w:val="nil"/>
            </w:tcBorders>
          </w:tcPr>
          <w:p>
            <w:pPr>
              <w:pStyle w:val="0"/>
              <w:jc w:val="center"/>
            </w:pPr>
            <w:r>
              <w:rPr>
                <w:sz w:val="20"/>
              </w:rPr>
              <w:t xml:space="preserve">2024</w:t>
            </w:r>
          </w:p>
        </w:tc>
        <w:tc>
          <w:tcPr>
            <w:tcW w:w="1020" w:type="dxa"/>
            <w:tcBorders>
              <w:top w:val="single" w:sz="4"/>
              <w:left w:val="nil"/>
              <w:bottom w:val="single" w:sz="4"/>
              <w:right w:val="nil"/>
            </w:tcBorders>
          </w:tcPr>
          <w:p>
            <w:pPr>
              <w:pStyle w:val="0"/>
              <w:jc w:val="center"/>
            </w:pPr>
            <w:r>
              <w:rPr>
                <w:sz w:val="20"/>
              </w:rPr>
              <w:t xml:space="preserve">2025</w:t>
            </w:r>
          </w:p>
        </w:tc>
        <w:tc>
          <w:tcPr>
            <w:tcW w:w="1020" w:type="dxa"/>
            <w:tcBorders>
              <w:top w:val="single" w:sz="4"/>
              <w:left w:val="nil"/>
              <w:bottom w:val="single" w:sz="4"/>
              <w:right w:val="nil"/>
            </w:tcBorders>
          </w:tcPr>
          <w:p>
            <w:pPr>
              <w:pStyle w:val="0"/>
              <w:jc w:val="center"/>
            </w:pPr>
            <w:r>
              <w:rPr>
                <w:sz w:val="20"/>
              </w:rPr>
              <w:t xml:space="preserve">2026</w:t>
            </w:r>
          </w:p>
        </w:tc>
      </w:tr>
      <w:tr>
        <w:tc>
          <w:tcPr>
            <w:tcW w:w="2154" w:type="dxa"/>
            <w:tcBorders>
              <w:top w:val="single" w:sz="4"/>
              <w:left w:val="nil"/>
              <w:bottom w:val="nil"/>
              <w:right w:val="nil"/>
            </w:tcBorders>
          </w:tcPr>
          <w:p>
            <w:pPr>
              <w:pStyle w:val="0"/>
            </w:pPr>
            <w:r>
              <w:rPr>
                <w:sz w:val="20"/>
              </w:rPr>
              <w:t xml:space="preserve">Доходы, всего</w:t>
            </w:r>
          </w:p>
        </w:tc>
        <w:tc>
          <w:tcPr>
            <w:tcW w:w="1020" w:type="dxa"/>
            <w:vAlign w:val="center"/>
            <w:tcBorders>
              <w:top w:val="single" w:sz="4"/>
              <w:left w:val="nil"/>
              <w:bottom w:val="nil"/>
              <w:right w:val="nil"/>
            </w:tcBorders>
          </w:tcPr>
          <w:p>
            <w:pPr>
              <w:pStyle w:val="0"/>
              <w:jc w:val="center"/>
            </w:pPr>
            <w:r>
              <w:rPr>
                <w:sz w:val="20"/>
              </w:rPr>
              <w:t xml:space="preserve">39 431</w:t>
            </w:r>
          </w:p>
        </w:tc>
        <w:tc>
          <w:tcPr>
            <w:tcW w:w="1020" w:type="dxa"/>
            <w:vAlign w:val="center"/>
            <w:tcBorders>
              <w:top w:val="single" w:sz="4"/>
              <w:left w:val="nil"/>
              <w:bottom w:val="nil"/>
              <w:right w:val="nil"/>
            </w:tcBorders>
          </w:tcPr>
          <w:p>
            <w:pPr>
              <w:pStyle w:val="0"/>
              <w:jc w:val="center"/>
            </w:pPr>
            <w:r>
              <w:rPr>
                <w:sz w:val="20"/>
              </w:rPr>
              <w:t xml:space="preserve">38 166</w:t>
            </w:r>
          </w:p>
        </w:tc>
        <w:tc>
          <w:tcPr>
            <w:tcW w:w="1020" w:type="dxa"/>
            <w:vAlign w:val="center"/>
            <w:tcBorders>
              <w:top w:val="single" w:sz="4"/>
              <w:left w:val="nil"/>
              <w:bottom w:val="nil"/>
              <w:right w:val="nil"/>
            </w:tcBorders>
          </w:tcPr>
          <w:p>
            <w:pPr>
              <w:pStyle w:val="0"/>
              <w:jc w:val="center"/>
            </w:pPr>
            <w:r>
              <w:rPr>
                <w:sz w:val="20"/>
              </w:rPr>
              <w:t xml:space="preserve">48 082</w:t>
            </w:r>
          </w:p>
        </w:tc>
        <w:tc>
          <w:tcPr>
            <w:tcW w:w="1191" w:type="dxa"/>
            <w:vAlign w:val="center"/>
            <w:tcBorders>
              <w:top w:val="single" w:sz="4"/>
              <w:left w:val="nil"/>
              <w:bottom w:val="nil"/>
              <w:right w:val="nil"/>
            </w:tcBorders>
          </w:tcPr>
          <w:p>
            <w:pPr>
              <w:pStyle w:val="0"/>
              <w:jc w:val="center"/>
            </w:pPr>
            <w:r>
              <w:rPr>
                <w:sz w:val="20"/>
              </w:rPr>
              <w:t xml:space="preserve">53 033</w:t>
            </w:r>
          </w:p>
        </w:tc>
        <w:tc>
          <w:tcPr>
            <w:tcW w:w="1247" w:type="dxa"/>
            <w:vAlign w:val="center"/>
            <w:tcBorders>
              <w:top w:val="single" w:sz="4"/>
              <w:left w:val="nil"/>
              <w:bottom w:val="nil"/>
              <w:right w:val="nil"/>
            </w:tcBorders>
          </w:tcPr>
          <w:p>
            <w:pPr>
              <w:pStyle w:val="0"/>
              <w:jc w:val="center"/>
            </w:pPr>
            <w:r>
              <w:rPr>
                <w:sz w:val="20"/>
              </w:rPr>
              <w:t xml:space="preserve">57 244</w:t>
            </w:r>
          </w:p>
        </w:tc>
        <w:tc>
          <w:tcPr>
            <w:tcW w:w="1020" w:type="dxa"/>
            <w:vAlign w:val="center"/>
            <w:tcBorders>
              <w:top w:val="single" w:sz="4"/>
              <w:left w:val="nil"/>
              <w:bottom w:val="nil"/>
              <w:right w:val="nil"/>
            </w:tcBorders>
          </w:tcPr>
          <w:p>
            <w:pPr>
              <w:pStyle w:val="0"/>
              <w:jc w:val="center"/>
            </w:pPr>
            <w:r>
              <w:rPr>
                <w:sz w:val="20"/>
              </w:rPr>
              <w:t xml:space="preserve">66 813</w:t>
            </w:r>
          </w:p>
        </w:tc>
        <w:tc>
          <w:tcPr>
            <w:tcW w:w="1020" w:type="dxa"/>
            <w:vAlign w:val="center"/>
            <w:tcBorders>
              <w:top w:val="single" w:sz="4"/>
              <w:left w:val="nil"/>
              <w:bottom w:val="nil"/>
              <w:right w:val="nil"/>
            </w:tcBorders>
          </w:tcPr>
          <w:p>
            <w:pPr>
              <w:pStyle w:val="0"/>
              <w:jc w:val="center"/>
            </w:pPr>
            <w:r>
              <w:rPr>
                <w:sz w:val="20"/>
              </w:rPr>
              <w:t xml:space="preserve">67 783</w:t>
            </w:r>
          </w:p>
        </w:tc>
        <w:tc>
          <w:tcPr>
            <w:tcW w:w="1020" w:type="dxa"/>
            <w:vAlign w:val="center"/>
            <w:tcBorders>
              <w:top w:val="single" w:sz="4"/>
              <w:left w:val="nil"/>
              <w:bottom w:val="nil"/>
              <w:right w:val="nil"/>
            </w:tcBorders>
          </w:tcPr>
          <w:p>
            <w:pPr>
              <w:pStyle w:val="0"/>
              <w:jc w:val="center"/>
            </w:pPr>
            <w:r>
              <w:rPr>
                <w:sz w:val="20"/>
              </w:rPr>
              <w:t xml:space="preserve">70 420</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36,0</w:t>
            </w:r>
          </w:p>
        </w:tc>
        <w:tc>
          <w:tcPr>
            <w:tcW w:w="1020" w:type="dxa"/>
            <w:vAlign w:val="center"/>
            <w:tcBorders>
              <w:top w:val="nil"/>
              <w:left w:val="nil"/>
              <w:bottom w:val="nil"/>
              <w:right w:val="nil"/>
            </w:tcBorders>
          </w:tcPr>
          <w:p>
            <w:pPr>
              <w:pStyle w:val="0"/>
              <w:jc w:val="center"/>
            </w:pPr>
            <w:r>
              <w:rPr>
                <w:sz w:val="20"/>
              </w:rPr>
              <w:t xml:space="preserve">35,5</w:t>
            </w:r>
          </w:p>
        </w:tc>
        <w:tc>
          <w:tcPr>
            <w:tcW w:w="1020" w:type="dxa"/>
            <w:vAlign w:val="center"/>
            <w:tcBorders>
              <w:top w:val="nil"/>
              <w:left w:val="nil"/>
              <w:bottom w:val="nil"/>
              <w:right w:val="nil"/>
            </w:tcBorders>
          </w:tcPr>
          <w:p>
            <w:pPr>
              <w:pStyle w:val="0"/>
              <w:jc w:val="center"/>
            </w:pPr>
            <w:r>
              <w:rPr>
                <w:sz w:val="20"/>
              </w:rPr>
              <w:t xml:space="preserve">35,5</w:t>
            </w:r>
          </w:p>
        </w:tc>
        <w:tc>
          <w:tcPr>
            <w:tcW w:w="1191" w:type="dxa"/>
            <w:vAlign w:val="center"/>
            <w:tcBorders>
              <w:top w:val="nil"/>
              <w:left w:val="nil"/>
              <w:bottom w:val="nil"/>
              <w:right w:val="nil"/>
            </w:tcBorders>
          </w:tcPr>
          <w:p>
            <w:pPr>
              <w:pStyle w:val="0"/>
              <w:jc w:val="center"/>
            </w:pPr>
            <w:r>
              <w:rPr>
                <w:sz w:val="20"/>
              </w:rPr>
              <w:t xml:space="preserve">34,6</w:t>
            </w:r>
          </w:p>
        </w:tc>
        <w:tc>
          <w:tcPr>
            <w:tcW w:w="1247" w:type="dxa"/>
            <w:vAlign w:val="center"/>
            <w:tcBorders>
              <w:top w:val="nil"/>
              <w:left w:val="nil"/>
              <w:bottom w:val="nil"/>
              <w:right w:val="nil"/>
            </w:tcBorders>
          </w:tcPr>
          <w:p>
            <w:pPr>
              <w:pStyle w:val="0"/>
              <w:jc w:val="center"/>
            </w:pPr>
            <w:r>
              <w:rPr>
                <w:sz w:val="20"/>
              </w:rPr>
              <w:t xml:space="preserve">34,5</w:t>
            </w:r>
          </w:p>
        </w:tc>
        <w:tc>
          <w:tcPr>
            <w:tcW w:w="1020" w:type="dxa"/>
            <w:vAlign w:val="center"/>
            <w:tcBorders>
              <w:top w:val="nil"/>
              <w:left w:val="nil"/>
              <w:bottom w:val="nil"/>
              <w:right w:val="nil"/>
            </w:tcBorders>
          </w:tcPr>
          <w:p>
            <w:pPr>
              <w:pStyle w:val="0"/>
              <w:jc w:val="center"/>
            </w:pPr>
            <w:r>
              <w:rPr>
                <w:sz w:val="20"/>
              </w:rPr>
              <w:t xml:space="preserve">37,1</w:t>
            </w:r>
          </w:p>
        </w:tc>
        <w:tc>
          <w:tcPr>
            <w:tcW w:w="1020" w:type="dxa"/>
            <w:vAlign w:val="center"/>
            <w:tcBorders>
              <w:top w:val="nil"/>
              <w:left w:val="nil"/>
              <w:bottom w:val="nil"/>
              <w:right w:val="nil"/>
            </w:tcBorders>
          </w:tcPr>
          <w:p>
            <w:pPr>
              <w:pStyle w:val="0"/>
              <w:jc w:val="center"/>
            </w:pPr>
            <w:r>
              <w:rPr>
                <w:sz w:val="20"/>
              </w:rPr>
              <w:t xml:space="preserve">35,6</w:t>
            </w:r>
          </w:p>
        </w:tc>
        <w:tc>
          <w:tcPr>
            <w:tcW w:w="1020" w:type="dxa"/>
            <w:vAlign w:val="center"/>
            <w:tcBorders>
              <w:top w:val="nil"/>
              <w:left w:val="nil"/>
              <w:bottom w:val="nil"/>
              <w:right w:val="nil"/>
            </w:tcBorders>
          </w:tcPr>
          <w:p>
            <w:pPr>
              <w:pStyle w:val="0"/>
              <w:jc w:val="center"/>
            </w:pPr>
            <w:r>
              <w:rPr>
                <w:sz w:val="20"/>
              </w:rPr>
              <w:t xml:space="preserve">34,8</w:t>
            </w:r>
          </w:p>
        </w:tc>
      </w:tr>
      <w:tr>
        <w:tc>
          <w:tcPr>
            <w:tcW w:w="2154" w:type="dxa"/>
            <w:tcBorders>
              <w:top w:val="nil"/>
              <w:left w:val="nil"/>
              <w:bottom w:val="nil"/>
              <w:right w:val="nil"/>
            </w:tcBorders>
          </w:tcPr>
          <w:p>
            <w:pPr>
              <w:pStyle w:val="0"/>
            </w:pPr>
            <w:r>
              <w:rPr>
                <w:sz w:val="20"/>
              </w:rPr>
              <w:t xml:space="preserve">Федеральный бюджет</w:t>
            </w:r>
          </w:p>
        </w:tc>
        <w:tc>
          <w:tcPr>
            <w:tcW w:w="1020" w:type="dxa"/>
            <w:vAlign w:val="center"/>
            <w:tcBorders>
              <w:top w:val="nil"/>
              <w:left w:val="nil"/>
              <w:bottom w:val="nil"/>
              <w:right w:val="nil"/>
            </w:tcBorders>
          </w:tcPr>
          <w:p>
            <w:pPr>
              <w:pStyle w:val="0"/>
              <w:jc w:val="center"/>
            </w:pPr>
            <w:r>
              <w:rPr>
                <w:sz w:val="20"/>
              </w:rPr>
              <w:t xml:space="preserve">20 189</w:t>
            </w:r>
          </w:p>
        </w:tc>
        <w:tc>
          <w:tcPr>
            <w:tcW w:w="1020" w:type="dxa"/>
            <w:vAlign w:val="center"/>
            <w:tcBorders>
              <w:top w:val="nil"/>
              <w:left w:val="nil"/>
              <w:bottom w:val="nil"/>
              <w:right w:val="nil"/>
            </w:tcBorders>
          </w:tcPr>
          <w:p>
            <w:pPr>
              <w:pStyle w:val="0"/>
              <w:jc w:val="center"/>
            </w:pPr>
            <w:r>
              <w:rPr>
                <w:sz w:val="20"/>
              </w:rPr>
              <w:t xml:space="preserve">18 719</w:t>
            </w:r>
          </w:p>
        </w:tc>
        <w:tc>
          <w:tcPr>
            <w:tcW w:w="1020" w:type="dxa"/>
            <w:vAlign w:val="center"/>
            <w:tcBorders>
              <w:top w:val="nil"/>
              <w:left w:val="nil"/>
              <w:bottom w:val="nil"/>
              <w:right w:val="nil"/>
            </w:tcBorders>
          </w:tcPr>
          <w:p>
            <w:pPr>
              <w:pStyle w:val="0"/>
              <w:jc w:val="center"/>
            </w:pPr>
            <w:r>
              <w:rPr>
                <w:sz w:val="20"/>
              </w:rPr>
              <w:t xml:space="preserve">25 286</w:t>
            </w:r>
          </w:p>
        </w:tc>
        <w:tc>
          <w:tcPr>
            <w:tcW w:w="1191" w:type="dxa"/>
            <w:vAlign w:val="center"/>
            <w:tcBorders>
              <w:top w:val="nil"/>
              <w:left w:val="nil"/>
              <w:bottom w:val="nil"/>
              <w:right w:val="nil"/>
            </w:tcBorders>
          </w:tcPr>
          <w:p>
            <w:pPr>
              <w:pStyle w:val="0"/>
              <w:jc w:val="center"/>
            </w:pPr>
            <w:r>
              <w:rPr>
                <w:sz w:val="20"/>
              </w:rPr>
              <w:t xml:space="preserve">27 824</w:t>
            </w:r>
          </w:p>
        </w:tc>
        <w:tc>
          <w:tcPr>
            <w:tcW w:w="1247" w:type="dxa"/>
            <w:vAlign w:val="center"/>
            <w:tcBorders>
              <w:top w:val="nil"/>
              <w:left w:val="nil"/>
              <w:bottom w:val="nil"/>
              <w:right w:val="nil"/>
            </w:tcBorders>
          </w:tcPr>
          <w:p>
            <w:pPr>
              <w:pStyle w:val="0"/>
              <w:jc w:val="center"/>
            </w:pPr>
            <w:r>
              <w:rPr>
                <w:sz w:val="20"/>
              </w:rPr>
              <w:t xml:space="preserve">28 674</w:t>
            </w:r>
          </w:p>
        </w:tc>
        <w:tc>
          <w:tcPr>
            <w:tcW w:w="1020" w:type="dxa"/>
            <w:vAlign w:val="center"/>
            <w:tcBorders>
              <w:top w:val="nil"/>
              <w:left w:val="nil"/>
              <w:bottom w:val="nil"/>
              <w:right w:val="nil"/>
            </w:tcBorders>
          </w:tcPr>
          <w:p>
            <w:pPr>
              <w:pStyle w:val="0"/>
              <w:jc w:val="center"/>
            </w:pPr>
            <w:r>
              <w:rPr>
                <w:sz w:val="20"/>
              </w:rPr>
              <w:t xml:space="preserve">35 065</w:t>
            </w:r>
          </w:p>
        </w:tc>
        <w:tc>
          <w:tcPr>
            <w:tcW w:w="1020" w:type="dxa"/>
            <w:vAlign w:val="center"/>
            <w:tcBorders>
              <w:top w:val="nil"/>
              <w:left w:val="nil"/>
              <w:bottom w:val="nil"/>
              <w:right w:val="nil"/>
            </w:tcBorders>
          </w:tcPr>
          <w:p>
            <w:pPr>
              <w:pStyle w:val="0"/>
              <w:jc w:val="center"/>
            </w:pPr>
            <w:r>
              <w:rPr>
                <w:sz w:val="20"/>
              </w:rPr>
              <w:t xml:space="preserve">33 552</w:t>
            </w:r>
          </w:p>
        </w:tc>
        <w:tc>
          <w:tcPr>
            <w:tcW w:w="1020" w:type="dxa"/>
            <w:vAlign w:val="center"/>
            <w:tcBorders>
              <w:top w:val="nil"/>
              <w:left w:val="nil"/>
              <w:bottom w:val="nil"/>
              <w:right w:val="nil"/>
            </w:tcBorders>
          </w:tcPr>
          <w:p>
            <w:pPr>
              <w:pStyle w:val="0"/>
              <w:jc w:val="center"/>
            </w:pPr>
            <w:r>
              <w:rPr>
                <w:sz w:val="20"/>
              </w:rPr>
              <w:t xml:space="preserve">34 051</w:t>
            </w:r>
          </w:p>
        </w:tc>
      </w:tr>
      <w:tr>
        <w:tc>
          <w:tcPr>
            <w:tcW w:w="2154" w:type="dxa"/>
            <w:tcBorders>
              <w:top w:val="nil"/>
              <w:left w:val="nil"/>
              <w:bottom w:val="nil"/>
              <w:right w:val="nil"/>
            </w:tcBorders>
          </w:tcPr>
          <w:p>
            <w:pPr>
              <w:pStyle w:val="0"/>
              <w:ind w:left="283"/>
            </w:pPr>
            <w:r>
              <w:rPr>
                <w:sz w:val="20"/>
              </w:rPr>
              <w:t xml:space="preserve">без учета МБТ</w:t>
            </w:r>
          </w:p>
        </w:tc>
        <w:tc>
          <w:tcPr>
            <w:tcW w:w="1020" w:type="dxa"/>
            <w:vAlign w:val="center"/>
            <w:tcBorders>
              <w:top w:val="nil"/>
              <w:left w:val="nil"/>
              <w:bottom w:val="nil"/>
              <w:right w:val="nil"/>
            </w:tcBorders>
          </w:tcPr>
          <w:p>
            <w:pPr>
              <w:pStyle w:val="0"/>
              <w:jc w:val="center"/>
            </w:pPr>
            <w:r>
              <w:rPr>
                <w:sz w:val="20"/>
              </w:rPr>
              <w:t xml:space="preserve">20 140</w:t>
            </w:r>
          </w:p>
        </w:tc>
        <w:tc>
          <w:tcPr>
            <w:tcW w:w="1020" w:type="dxa"/>
            <w:vAlign w:val="center"/>
            <w:tcBorders>
              <w:top w:val="nil"/>
              <w:left w:val="nil"/>
              <w:bottom w:val="nil"/>
              <w:right w:val="nil"/>
            </w:tcBorders>
          </w:tcPr>
          <w:p>
            <w:pPr>
              <w:pStyle w:val="0"/>
              <w:jc w:val="center"/>
            </w:pPr>
            <w:r>
              <w:rPr>
                <w:sz w:val="20"/>
              </w:rPr>
              <w:t xml:space="preserve">18 681</w:t>
            </w:r>
          </w:p>
        </w:tc>
        <w:tc>
          <w:tcPr>
            <w:tcW w:w="1020" w:type="dxa"/>
            <w:vAlign w:val="center"/>
            <w:tcBorders>
              <w:top w:val="nil"/>
              <w:left w:val="nil"/>
              <w:bottom w:val="nil"/>
              <w:right w:val="nil"/>
            </w:tcBorders>
          </w:tcPr>
          <w:p>
            <w:pPr>
              <w:pStyle w:val="0"/>
              <w:jc w:val="center"/>
            </w:pPr>
            <w:r>
              <w:rPr>
                <w:sz w:val="20"/>
              </w:rPr>
              <w:t xml:space="preserve">25 238</w:t>
            </w:r>
          </w:p>
        </w:tc>
        <w:tc>
          <w:tcPr>
            <w:tcW w:w="1191" w:type="dxa"/>
            <w:vAlign w:val="center"/>
            <w:tcBorders>
              <w:top w:val="nil"/>
              <w:left w:val="nil"/>
              <w:bottom w:val="nil"/>
              <w:right w:val="nil"/>
            </w:tcBorders>
          </w:tcPr>
          <w:p>
            <w:pPr>
              <w:pStyle w:val="0"/>
              <w:jc w:val="center"/>
            </w:pPr>
            <w:r>
              <w:rPr>
                <w:sz w:val="20"/>
              </w:rPr>
              <w:t xml:space="preserve">27 803</w:t>
            </w:r>
          </w:p>
        </w:tc>
        <w:tc>
          <w:tcPr>
            <w:tcW w:w="1247" w:type="dxa"/>
            <w:vAlign w:val="center"/>
            <w:tcBorders>
              <w:top w:val="nil"/>
              <w:left w:val="nil"/>
              <w:bottom w:val="nil"/>
              <w:right w:val="nil"/>
            </w:tcBorders>
          </w:tcPr>
          <w:p>
            <w:pPr>
              <w:pStyle w:val="0"/>
              <w:jc w:val="center"/>
            </w:pPr>
            <w:r>
              <w:rPr>
                <w:sz w:val="20"/>
              </w:rPr>
              <w:t xml:space="preserve">28 610</w:t>
            </w:r>
          </w:p>
        </w:tc>
        <w:tc>
          <w:tcPr>
            <w:tcW w:w="1020" w:type="dxa"/>
            <w:vAlign w:val="center"/>
            <w:tcBorders>
              <w:top w:val="nil"/>
              <w:left w:val="nil"/>
              <w:bottom w:val="nil"/>
              <w:right w:val="nil"/>
            </w:tcBorders>
          </w:tcPr>
          <w:p>
            <w:pPr>
              <w:pStyle w:val="0"/>
              <w:jc w:val="center"/>
            </w:pPr>
            <w:r>
              <w:rPr>
                <w:sz w:val="20"/>
              </w:rPr>
              <w:t xml:space="preserve">34 289</w:t>
            </w:r>
          </w:p>
        </w:tc>
        <w:tc>
          <w:tcPr>
            <w:tcW w:w="1020" w:type="dxa"/>
            <w:vAlign w:val="center"/>
            <w:tcBorders>
              <w:top w:val="nil"/>
              <w:left w:val="nil"/>
              <w:bottom w:val="nil"/>
              <w:right w:val="nil"/>
            </w:tcBorders>
          </w:tcPr>
          <w:p>
            <w:pPr>
              <w:pStyle w:val="0"/>
              <w:jc w:val="center"/>
            </w:pPr>
            <w:r>
              <w:rPr>
                <w:sz w:val="20"/>
              </w:rPr>
              <w:t xml:space="preserve">33 546</w:t>
            </w:r>
          </w:p>
        </w:tc>
        <w:tc>
          <w:tcPr>
            <w:tcW w:w="1020" w:type="dxa"/>
            <w:vAlign w:val="center"/>
            <w:tcBorders>
              <w:top w:val="nil"/>
              <w:left w:val="nil"/>
              <w:bottom w:val="nil"/>
              <w:right w:val="nil"/>
            </w:tcBorders>
          </w:tcPr>
          <w:p>
            <w:pPr>
              <w:pStyle w:val="0"/>
              <w:jc w:val="center"/>
            </w:pPr>
            <w:r>
              <w:rPr>
                <w:sz w:val="20"/>
              </w:rPr>
              <w:t xml:space="preserve">34 049</w:t>
            </w:r>
          </w:p>
        </w:tc>
      </w:tr>
      <w:tr>
        <w:tc>
          <w:tcPr>
            <w:tcW w:w="2154" w:type="dxa"/>
            <w:tcBorders>
              <w:top w:val="nil"/>
              <w:left w:val="nil"/>
              <w:bottom w:val="nil"/>
              <w:right w:val="nil"/>
            </w:tcBorders>
          </w:tcPr>
          <w:p>
            <w:pPr>
              <w:pStyle w:val="0"/>
            </w:pPr>
            <w:r>
              <w:rPr>
                <w:sz w:val="20"/>
              </w:rPr>
              <w:t xml:space="preserve">Консолидированные бюджеты субъектов</w:t>
            </w:r>
          </w:p>
        </w:tc>
        <w:tc>
          <w:tcPr>
            <w:tcW w:w="1020" w:type="dxa"/>
            <w:vAlign w:val="center"/>
            <w:tcBorders>
              <w:top w:val="nil"/>
              <w:left w:val="nil"/>
              <w:bottom w:val="nil"/>
              <w:right w:val="nil"/>
            </w:tcBorders>
          </w:tcPr>
          <w:p>
            <w:pPr>
              <w:pStyle w:val="0"/>
              <w:jc w:val="center"/>
            </w:pPr>
            <w:r>
              <w:rPr>
                <w:sz w:val="20"/>
              </w:rPr>
              <w:t xml:space="preserve">13 572</w:t>
            </w:r>
          </w:p>
        </w:tc>
        <w:tc>
          <w:tcPr>
            <w:tcW w:w="1020" w:type="dxa"/>
            <w:vAlign w:val="center"/>
            <w:tcBorders>
              <w:top w:val="nil"/>
              <w:left w:val="nil"/>
              <w:bottom w:val="nil"/>
              <w:right w:val="nil"/>
            </w:tcBorders>
          </w:tcPr>
          <w:p>
            <w:pPr>
              <w:pStyle w:val="0"/>
              <w:jc w:val="center"/>
            </w:pPr>
            <w:r>
              <w:rPr>
                <w:sz w:val="20"/>
              </w:rPr>
              <w:t xml:space="preserve">14 901</w:t>
            </w:r>
          </w:p>
        </w:tc>
        <w:tc>
          <w:tcPr>
            <w:tcW w:w="1020" w:type="dxa"/>
            <w:vAlign w:val="center"/>
            <w:tcBorders>
              <w:top w:val="nil"/>
              <w:left w:val="nil"/>
              <w:bottom w:val="nil"/>
              <w:right w:val="nil"/>
            </w:tcBorders>
          </w:tcPr>
          <w:p>
            <w:pPr>
              <w:pStyle w:val="0"/>
              <w:jc w:val="center"/>
            </w:pPr>
            <w:r>
              <w:rPr>
                <w:sz w:val="20"/>
              </w:rPr>
              <w:t xml:space="preserve">17 546</w:t>
            </w:r>
          </w:p>
        </w:tc>
        <w:tc>
          <w:tcPr>
            <w:tcW w:w="1191" w:type="dxa"/>
            <w:vAlign w:val="center"/>
            <w:tcBorders>
              <w:top w:val="nil"/>
              <w:left w:val="nil"/>
              <w:bottom w:val="nil"/>
              <w:right w:val="nil"/>
            </w:tcBorders>
          </w:tcPr>
          <w:p>
            <w:pPr>
              <w:pStyle w:val="0"/>
              <w:jc w:val="center"/>
            </w:pPr>
            <w:r>
              <w:rPr>
                <w:sz w:val="20"/>
              </w:rPr>
              <w:t xml:space="preserve">19 677</w:t>
            </w:r>
          </w:p>
        </w:tc>
        <w:tc>
          <w:tcPr>
            <w:tcW w:w="1247" w:type="dxa"/>
            <w:vAlign w:val="center"/>
            <w:tcBorders>
              <w:top w:val="nil"/>
              <w:left w:val="nil"/>
              <w:bottom w:val="nil"/>
              <w:right w:val="nil"/>
            </w:tcBorders>
          </w:tcPr>
          <w:p>
            <w:pPr>
              <w:pStyle w:val="0"/>
              <w:jc w:val="center"/>
            </w:pPr>
            <w:r>
              <w:rPr>
                <w:sz w:val="20"/>
              </w:rPr>
              <w:t xml:space="preserve">21 375</w:t>
            </w:r>
          </w:p>
        </w:tc>
        <w:tc>
          <w:tcPr>
            <w:tcW w:w="1020" w:type="dxa"/>
            <w:vAlign w:val="center"/>
            <w:tcBorders>
              <w:top w:val="nil"/>
              <w:left w:val="nil"/>
              <w:bottom w:val="nil"/>
              <w:right w:val="nil"/>
            </w:tcBorders>
          </w:tcPr>
          <w:p>
            <w:pPr>
              <w:pStyle w:val="0"/>
              <w:jc w:val="center"/>
            </w:pPr>
            <w:r>
              <w:rPr>
                <w:sz w:val="20"/>
              </w:rPr>
              <w:t xml:space="preserve">22 402</w:t>
            </w:r>
          </w:p>
        </w:tc>
        <w:tc>
          <w:tcPr>
            <w:tcW w:w="1020" w:type="dxa"/>
            <w:vAlign w:val="center"/>
            <w:tcBorders>
              <w:top w:val="nil"/>
              <w:left w:val="nil"/>
              <w:bottom w:val="nil"/>
              <w:right w:val="nil"/>
            </w:tcBorders>
          </w:tcPr>
          <w:p>
            <w:pPr>
              <w:pStyle w:val="0"/>
              <w:jc w:val="center"/>
            </w:pPr>
            <w:r>
              <w:rPr>
                <w:sz w:val="20"/>
              </w:rPr>
              <w:t xml:space="preserve">23 018</w:t>
            </w:r>
          </w:p>
        </w:tc>
        <w:tc>
          <w:tcPr>
            <w:tcW w:w="1020" w:type="dxa"/>
            <w:vAlign w:val="center"/>
            <w:tcBorders>
              <w:top w:val="nil"/>
              <w:left w:val="nil"/>
              <w:bottom w:val="nil"/>
              <w:right w:val="nil"/>
            </w:tcBorders>
          </w:tcPr>
          <w:p>
            <w:pPr>
              <w:pStyle w:val="0"/>
              <w:jc w:val="center"/>
            </w:pPr>
            <w:r>
              <w:rPr>
                <w:sz w:val="20"/>
              </w:rPr>
              <w:t xml:space="preserve">24 147</w:t>
            </w:r>
          </w:p>
        </w:tc>
      </w:tr>
      <w:tr>
        <w:tc>
          <w:tcPr>
            <w:tcW w:w="2154" w:type="dxa"/>
            <w:tcBorders>
              <w:top w:val="nil"/>
              <w:left w:val="nil"/>
              <w:bottom w:val="nil"/>
              <w:right w:val="nil"/>
            </w:tcBorders>
          </w:tcPr>
          <w:p>
            <w:pPr>
              <w:pStyle w:val="0"/>
              <w:ind w:left="283"/>
            </w:pPr>
            <w:r>
              <w:rPr>
                <w:sz w:val="20"/>
              </w:rPr>
              <w:t xml:space="preserve">без учета МБТ</w:t>
            </w:r>
          </w:p>
        </w:tc>
        <w:tc>
          <w:tcPr>
            <w:tcW w:w="1020" w:type="dxa"/>
            <w:vAlign w:val="center"/>
            <w:tcBorders>
              <w:top w:val="nil"/>
              <w:left w:val="nil"/>
              <w:bottom w:val="nil"/>
              <w:right w:val="nil"/>
            </w:tcBorders>
          </w:tcPr>
          <w:p>
            <w:pPr>
              <w:pStyle w:val="0"/>
              <w:jc w:val="center"/>
            </w:pPr>
            <w:r>
              <w:rPr>
                <w:sz w:val="20"/>
              </w:rPr>
              <w:t xml:space="preserve">11 119</w:t>
            </w:r>
          </w:p>
        </w:tc>
        <w:tc>
          <w:tcPr>
            <w:tcW w:w="1020" w:type="dxa"/>
            <w:vAlign w:val="center"/>
            <w:tcBorders>
              <w:top w:val="nil"/>
              <w:left w:val="nil"/>
              <w:bottom w:val="nil"/>
              <w:right w:val="nil"/>
            </w:tcBorders>
          </w:tcPr>
          <w:p>
            <w:pPr>
              <w:pStyle w:val="0"/>
              <w:jc w:val="center"/>
            </w:pPr>
            <w:r>
              <w:rPr>
                <w:sz w:val="20"/>
              </w:rPr>
              <w:t xml:space="preserve">11 125</w:t>
            </w:r>
          </w:p>
        </w:tc>
        <w:tc>
          <w:tcPr>
            <w:tcW w:w="1020" w:type="dxa"/>
            <w:vAlign w:val="center"/>
            <w:tcBorders>
              <w:top w:val="nil"/>
              <w:left w:val="nil"/>
              <w:bottom w:val="nil"/>
              <w:right w:val="nil"/>
            </w:tcBorders>
          </w:tcPr>
          <w:p>
            <w:pPr>
              <w:pStyle w:val="0"/>
              <w:jc w:val="center"/>
            </w:pPr>
            <w:r>
              <w:rPr>
                <w:sz w:val="20"/>
              </w:rPr>
              <w:t xml:space="preserve">13 870</w:t>
            </w:r>
          </w:p>
        </w:tc>
        <w:tc>
          <w:tcPr>
            <w:tcW w:w="1191" w:type="dxa"/>
            <w:vAlign w:val="center"/>
            <w:tcBorders>
              <w:top w:val="nil"/>
              <w:left w:val="nil"/>
              <w:bottom w:val="nil"/>
              <w:right w:val="nil"/>
            </w:tcBorders>
          </w:tcPr>
          <w:p>
            <w:pPr>
              <w:pStyle w:val="0"/>
              <w:jc w:val="center"/>
            </w:pPr>
            <w:r>
              <w:rPr>
                <w:sz w:val="20"/>
              </w:rPr>
              <w:t xml:space="preserve">15 756</w:t>
            </w:r>
          </w:p>
        </w:tc>
        <w:tc>
          <w:tcPr>
            <w:tcW w:w="1247" w:type="dxa"/>
            <w:vAlign w:val="center"/>
            <w:tcBorders>
              <w:top w:val="nil"/>
              <w:left w:val="nil"/>
              <w:bottom w:val="nil"/>
              <w:right w:val="nil"/>
            </w:tcBorders>
          </w:tcPr>
          <w:p>
            <w:pPr>
              <w:pStyle w:val="0"/>
              <w:jc w:val="center"/>
            </w:pPr>
            <w:r>
              <w:rPr>
                <w:sz w:val="20"/>
              </w:rPr>
              <w:t xml:space="preserve">17 526</w:t>
            </w:r>
          </w:p>
        </w:tc>
        <w:tc>
          <w:tcPr>
            <w:tcW w:w="1020" w:type="dxa"/>
            <w:vAlign w:val="center"/>
            <w:tcBorders>
              <w:top w:val="nil"/>
              <w:left w:val="nil"/>
              <w:bottom w:val="nil"/>
              <w:right w:val="nil"/>
            </w:tcBorders>
          </w:tcPr>
          <w:p>
            <w:pPr>
              <w:pStyle w:val="0"/>
              <w:jc w:val="center"/>
            </w:pPr>
            <w:r>
              <w:rPr>
                <w:sz w:val="20"/>
              </w:rPr>
              <w:t xml:space="preserve">19 179</w:t>
            </w:r>
          </w:p>
        </w:tc>
        <w:tc>
          <w:tcPr>
            <w:tcW w:w="1020" w:type="dxa"/>
            <w:vAlign w:val="center"/>
            <w:tcBorders>
              <w:top w:val="nil"/>
              <w:left w:val="nil"/>
              <w:bottom w:val="nil"/>
              <w:right w:val="nil"/>
            </w:tcBorders>
          </w:tcPr>
          <w:p>
            <w:pPr>
              <w:pStyle w:val="0"/>
              <w:jc w:val="center"/>
            </w:pPr>
            <w:r>
              <w:rPr>
                <w:sz w:val="20"/>
              </w:rPr>
              <w:t xml:space="preserve">20 216</w:t>
            </w:r>
          </w:p>
        </w:tc>
        <w:tc>
          <w:tcPr>
            <w:tcW w:w="1020" w:type="dxa"/>
            <w:vAlign w:val="center"/>
            <w:tcBorders>
              <w:top w:val="nil"/>
              <w:left w:val="nil"/>
              <w:bottom w:val="nil"/>
              <w:right w:val="nil"/>
            </w:tcBorders>
          </w:tcPr>
          <w:p>
            <w:pPr>
              <w:pStyle w:val="0"/>
              <w:jc w:val="center"/>
            </w:pPr>
            <w:r>
              <w:rPr>
                <w:sz w:val="20"/>
              </w:rPr>
              <w:t xml:space="preserve">21 358</w:t>
            </w:r>
          </w:p>
        </w:tc>
      </w:tr>
      <w:tr>
        <w:tc>
          <w:tcPr>
            <w:tcW w:w="2154" w:type="dxa"/>
            <w:tcBorders>
              <w:top w:val="nil"/>
              <w:left w:val="nil"/>
              <w:bottom w:val="nil"/>
              <w:right w:val="nil"/>
            </w:tcBorders>
          </w:tcPr>
          <w:p>
            <w:pPr>
              <w:pStyle w:val="0"/>
            </w:pPr>
            <w:r>
              <w:rPr>
                <w:sz w:val="20"/>
              </w:rPr>
              <w:t xml:space="preserve">Государственные внебюджетные фонды</w:t>
            </w:r>
          </w:p>
        </w:tc>
        <w:tc>
          <w:tcPr>
            <w:tcW w:w="1020" w:type="dxa"/>
            <w:vAlign w:val="center"/>
            <w:tcBorders>
              <w:top w:val="nil"/>
              <w:left w:val="nil"/>
              <w:bottom w:val="nil"/>
              <w:right w:val="nil"/>
            </w:tcBorders>
          </w:tcPr>
          <w:p>
            <w:pPr>
              <w:pStyle w:val="0"/>
              <w:jc w:val="center"/>
            </w:pPr>
            <w:r>
              <w:rPr>
                <w:sz w:val="20"/>
              </w:rPr>
              <w:t xml:space="preserve">11 615</w:t>
            </w:r>
          </w:p>
        </w:tc>
        <w:tc>
          <w:tcPr>
            <w:tcW w:w="1020" w:type="dxa"/>
            <w:vAlign w:val="center"/>
            <w:tcBorders>
              <w:top w:val="nil"/>
              <w:left w:val="nil"/>
              <w:bottom w:val="nil"/>
              <w:right w:val="nil"/>
            </w:tcBorders>
          </w:tcPr>
          <w:p>
            <w:pPr>
              <w:pStyle w:val="0"/>
              <w:jc w:val="center"/>
            </w:pPr>
            <w:r>
              <w:rPr>
                <w:sz w:val="20"/>
              </w:rPr>
              <w:t xml:space="preserve">13 555</w:t>
            </w:r>
          </w:p>
        </w:tc>
        <w:tc>
          <w:tcPr>
            <w:tcW w:w="1020" w:type="dxa"/>
            <w:vAlign w:val="center"/>
            <w:tcBorders>
              <w:top w:val="nil"/>
              <w:left w:val="nil"/>
              <w:bottom w:val="nil"/>
              <w:right w:val="nil"/>
            </w:tcBorders>
          </w:tcPr>
          <w:p>
            <w:pPr>
              <w:pStyle w:val="0"/>
              <w:jc w:val="center"/>
            </w:pPr>
            <w:r>
              <w:rPr>
                <w:sz w:val="20"/>
              </w:rPr>
              <w:t xml:space="preserve">13 810</w:t>
            </w:r>
          </w:p>
        </w:tc>
        <w:tc>
          <w:tcPr>
            <w:tcW w:w="1191" w:type="dxa"/>
            <w:vAlign w:val="center"/>
            <w:tcBorders>
              <w:top w:val="nil"/>
              <w:left w:val="nil"/>
              <w:bottom w:val="nil"/>
              <w:right w:val="nil"/>
            </w:tcBorders>
          </w:tcPr>
          <w:p>
            <w:pPr>
              <w:pStyle w:val="0"/>
              <w:jc w:val="center"/>
            </w:pPr>
            <w:r>
              <w:rPr>
                <w:sz w:val="20"/>
              </w:rPr>
              <w:t xml:space="preserve">16 375</w:t>
            </w:r>
          </w:p>
        </w:tc>
        <w:tc>
          <w:tcPr>
            <w:tcW w:w="1247" w:type="dxa"/>
            <w:vAlign w:val="center"/>
            <w:tcBorders>
              <w:top w:val="nil"/>
              <w:left w:val="nil"/>
              <w:bottom w:val="nil"/>
              <w:right w:val="nil"/>
            </w:tcBorders>
          </w:tcPr>
          <w:p>
            <w:pPr>
              <w:pStyle w:val="0"/>
              <w:jc w:val="center"/>
            </w:pPr>
            <w:r>
              <w:rPr>
                <w:sz w:val="20"/>
              </w:rPr>
              <w:t xml:space="preserve">15 342</w:t>
            </w:r>
          </w:p>
        </w:tc>
        <w:tc>
          <w:tcPr>
            <w:tcW w:w="1020" w:type="dxa"/>
            <w:vAlign w:val="center"/>
            <w:tcBorders>
              <w:top w:val="nil"/>
              <w:left w:val="nil"/>
              <w:bottom w:val="nil"/>
              <w:right w:val="nil"/>
            </w:tcBorders>
          </w:tcPr>
          <w:p>
            <w:pPr>
              <w:pStyle w:val="0"/>
              <w:jc w:val="center"/>
            </w:pPr>
            <w:r>
              <w:rPr>
                <w:sz w:val="20"/>
              </w:rPr>
              <w:t xml:space="preserve">19 661</w:t>
            </w:r>
          </w:p>
        </w:tc>
        <w:tc>
          <w:tcPr>
            <w:tcW w:w="1020" w:type="dxa"/>
            <w:vAlign w:val="center"/>
            <w:tcBorders>
              <w:top w:val="nil"/>
              <w:left w:val="nil"/>
              <w:bottom w:val="nil"/>
              <w:right w:val="nil"/>
            </w:tcBorders>
          </w:tcPr>
          <w:p>
            <w:pPr>
              <w:pStyle w:val="0"/>
              <w:jc w:val="center"/>
            </w:pPr>
            <w:r>
              <w:rPr>
                <w:sz w:val="20"/>
              </w:rPr>
              <w:t xml:space="preserve">20 246</w:t>
            </w:r>
          </w:p>
        </w:tc>
        <w:tc>
          <w:tcPr>
            <w:tcW w:w="1020" w:type="dxa"/>
            <w:vAlign w:val="center"/>
            <w:tcBorders>
              <w:top w:val="nil"/>
              <w:left w:val="nil"/>
              <w:bottom w:val="nil"/>
              <w:right w:val="nil"/>
            </w:tcBorders>
          </w:tcPr>
          <w:p>
            <w:pPr>
              <w:pStyle w:val="0"/>
              <w:jc w:val="center"/>
            </w:pPr>
            <w:r>
              <w:rPr>
                <w:sz w:val="20"/>
              </w:rPr>
              <w:t xml:space="preserve">21 477</w:t>
            </w:r>
          </w:p>
        </w:tc>
      </w:tr>
      <w:tr>
        <w:tc>
          <w:tcPr>
            <w:tcW w:w="2154" w:type="dxa"/>
            <w:tcBorders>
              <w:top w:val="nil"/>
              <w:left w:val="nil"/>
              <w:bottom w:val="nil"/>
              <w:right w:val="nil"/>
            </w:tcBorders>
          </w:tcPr>
          <w:p>
            <w:pPr>
              <w:pStyle w:val="0"/>
              <w:ind w:left="283"/>
            </w:pPr>
            <w:r>
              <w:rPr>
                <w:sz w:val="20"/>
              </w:rPr>
              <w:t xml:space="preserve">без учета МБТ</w:t>
            </w:r>
          </w:p>
        </w:tc>
        <w:tc>
          <w:tcPr>
            <w:tcW w:w="1020" w:type="dxa"/>
            <w:vAlign w:val="center"/>
            <w:tcBorders>
              <w:top w:val="nil"/>
              <w:left w:val="nil"/>
              <w:bottom w:val="nil"/>
              <w:right w:val="nil"/>
            </w:tcBorders>
          </w:tcPr>
          <w:p>
            <w:pPr>
              <w:pStyle w:val="0"/>
              <w:jc w:val="center"/>
            </w:pPr>
            <w:r>
              <w:rPr>
                <w:sz w:val="20"/>
              </w:rPr>
              <w:t xml:space="preserve">8 172</w:t>
            </w:r>
          </w:p>
        </w:tc>
        <w:tc>
          <w:tcPr>
            <w:tcW w:w="1020" w:type="dxa"/>
            <w:vAlign w:val="center"/>
            <w:tcBorders>
              <w:top w:val="nil"/>
              <w:left w:val="nil"/>
              <w:bottom w:val="nil"/>
              <w:right w:val="nil"/>
            </w:tcBorders>
          </w:tcPr>
          <w:p>
            <w:pPr>
              <w:pStyle w:val="0"/>
              <w:jc w:val="center"/>
            </w:pPr>
            <w:r>
              <w:rPr>
                <w:sz w:val="20"/>
              </w:rPr>
              <w:t xml:space="preserve">8 360</w:t>
            </w:r>
          </w:p>
        </w:tc>
        <w:tc>
          <w:tcPr>
            <w:tcW w:w="1020" w:type="dxa"/>
            <w:vAlign w:val="center"/>
            <w:tcBorders>
              <w:top w:val="nil"/>
              <w:left w:val="nil"/>
              <w:bottom w:val="nil"/>
              <w:right w:val="nil"/>
            </w:tcBorders>
          </w:tcPr>
          <w:p>
            <w:pPr>
              <w:pStyle w:val="0"/>
              <w:jc w:val="center"/>
            </w:pPr>
            <w:r>
              <w:rPr>
                <w:sz w:val="20"/>
              </w:rPr>
              <w:t xml:space="preserve">8 974</w:t>
            </w:r>
          </w:p>
        </w:tc>
        <w:tc>
          <w:tcPr>
            <w:tcW w:w="1191" w:type="dxa"/>
            <w:vAlign w:val="center"/>
            <w:tcBorders>
              <w:top w:val="nil"/>
              <w:left w:val="nil"/>
              <w:bottom w:val="nil"/>
              <w:right w:val="nil"/>
            </w:tcBorders>
          </w:tcPr>
          <w:p>
            <w:pPr>
              <w:pStyle w:val="0"/>
              <w:jc w:val="center"/>
            </w:pPr>
            <w:r>
              <w:rPr>
                <w:sz w:val="20"/>
              </w:rPr>
              <w:t xml:space="preserve">9 474</w:t>
            </w:r>
          </w:p>
        </w:tc>
        <w:tc>
          <w:tcPr>
            <w:tcW w:w="1247" w:type="dxa"/>
            <w:vAlign w:val="center"/>
            <w:tcBorders>
              <w:top w:val="nil"/>
              <w:left w:val="nil"/>
              <w:bottom w:val="nil"/>
              <w:right w:val="nil"/>
            </w:tcBorders>
          </w:tcPr>
          <w:p>
            <w:pPr>
              <w:pStyle w:val="0"/>
              <w:jc w:val="center"/>
            </w:pPr>
            <w:r>
              <w:rPr>
                <w:sz w:val="20"/>
              </w:rPr>
              <w:t xml:space="preserve">11 108</w:t>
            </w:r>
          </w:p>
        </w:tc>
        <w:tc>
          <w:tcPr>
            <w:tcW w:w="1020" w:type="dxa"/>
            <w:vAlign w:val="center"/>
            <w:tcBorders>
              <w:top w:val="nil"/>
              <w:left w:val="nil"/>
              <w:bottom w:val="nil"/>
              <w:right w:val="nil"/>
            </w:tcBorders>
          </w:tcPr>
          <w:p>
            <w:pPr>
              <w:pStyle w:val="0"/>
              <w:jc w:val="center"/>
            </w:pPr>
            <w:r>
              <w:rPr>
                <w:sz w:val="20"/>
              </w:rPr>
              <w:t xml:space="preserve">13 345</w:t>
            </w:r>
          </w:p>
        </w:tc>
        <w:tc>
          <w:tcPr>
            <w:tcW w:w="1020" w:type="dxa"/>
            <w:vAlign w:val="center"/>
            <w:tcBorders>
              <w:top w:val="nil"/>
              <w:left w:val="nil"/>
              <w:bottom w:val="nil"/>
              <w:right w:val="nil"/>
            </w:tcBorders>
          </w:tcPr>
          <w:p>
            <w:pPr>
              <w:pStyle w:val="0"/>
              <w:jc w:val="center"/>
            </w:pPr>
            <w:r>
              <w:rPr>
                <w:sz w:val="20"/>
              </w:rPr>
              <w:t xml:space="preserve">14 022</w:t>
            </w:r>
          </w:p>
        </w:tc>
        <w:tc>
          <w:tcPr>
            <w:tcW w:w="1020" w:type="dxa"/>
            <w:vAlign w:val="center"/>
            <w:tcBorders>
              <w:top w:val="nil"/>
              <w:left w:val="nil"/>
              <w:bottom w:val="nil"/>
              <w:right w:val="nil"/>
            </w:tcBorders>
          </w:tcPr>
          <w:p>
            <w:pPr>
              <w:pStyle w:val="0"/>
              <w:jc w:val="center"/>
            </w:pPr>
            <w:r>
              <w:rPr>
                <w:sz w:val="20"/>
              </w:rPr>
              <w:t xml:space="preserve">15 013</w:t>
            </w:r>
          </w:p>
        </w:tc>
      </w:tr>
      <w:tr>
        <w:tc>
          <w:tcPr>
            <w:tcW w:w="2154" w:type="dxa"/>
            <w:tcBorders>
              <w:top w:val="nil"/>
              <w:left w:val="nil"/>
              <w:bottom w:val="nil"/>
              <w:right w:val="nil"/>
            </w:tcBorders>
          </w:tcPr>
          <w:p>
            <w:pPr>
              <w:pStyle w:val="0"/>
              <w:ind w:left="567"/>
            </w:pPr>
            <w:r>
              <w:rPr>
                <w:sz w:val="20"/>
              </w:rPr>
              <w:t xml:space="preserve">ПФР/ФСС </w:t>
            </w:r>
            <w:hyperlink w:history="0" w:anchor="P2773" w:tooltip="&lt;***&gt; до 2023 г. аналитическое объединение параметров ПФР и ФСС">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9 491</w:t>
            </w:r>
          </w:p>
        </w:tc>
        <w:tc>
          <w:tcPr>
            <w:tcW w:w="1020" w:type="dxa"/>
            <w:vAlign w:val="center"/>
            <w:tcBorders>
              <w:top w:val="nil"/>
              <w:left w:val="nil"/>
              <w:bottom w:val="nil"/>
              <w:right w:val="nil"/>
            </w:tcBorders>
          </w:tcPr>
          <w:p>
            <w:pPr>
              <w:pStyle w:val="0"/>
              <w:jc w:val="center"/>
            </w:pPr>
            <w:r>
              <w:rPr>
                <w:sz w:val="20"/>
              </w:rPr>
              <w:t xml:space="preserve">11 162</w:t>
            </w:r>
          </w:p>
        </w:tc>
        <w:tc>
          <w:tcPr>
            <w:tcW w:w="1020" w:type="dxa"/>
            <w:vAlign w:val="center"/>
            <w:tcBorders>
              <w:top w:val="nil"/>
              <w:left w:val="nil"/>
              <w:bottom w:val="nil"/>
              <w:right w:val="nil"/>
            </w:tcBorders>
          </w:tcPr>
          <w:p>
            <w:pPr>
              <w:pStyle w:val="0"/>
              <w:jc w:val="center"/>
            </w:pPr>
            <w:r>
              <w:rPr>
                <w:sz w:val="20"/>
              </w:rPr>
              <w:t xml:space="preserve">11 179</w:t>
            </w:r>
          </w:p>
        </w:tc>
        <w:tc>
          <w:tcPr>
            <w:tcW w:w="1191" w:type="dxa"/>
            <w:vAlign w:val="center"/>
            <w:tcBorders>
              <w:top w:val="nil"/>
              <w:left w:val="nil"/>
              <w:bottom w:val="nil"/>
              <w:right w:val="nil"/>
            </w:tcBorders>
          </w:tcPr>
          <w:p>
            <w:pPr>
              <w:pStyle w:val="0"/>
              <w:jc w:val="center"/>
            </w:pPr>
            <w:r>
              <w:rPr>
                <w:sz w:val="20"/>
              </w:rPr>
              <w:t xml:space="preserve">13 456</w:t>
            </w:r>
          </w:p>
        </w:tc>
        <w:tc>
          <w:tcPr>
            <w:tcW w:w="1247" w:type="dxa"/>
            <w:vAlign w:val="center"/>
            <w:tcBorders>
              <w:top w:val="nil"/>
              <w:left w:val="nil"/>
              <w:bottom w:val="nil"/>
              <w:right w:val="nil"/>
            </w:tcBorders>
          </w:tcPr>
          <w:p>
            <w:pPr>
              <w:pStyle w:val="0"/>
              <w:jc w:val="center"/>
            </w:pPr>
            <w:r>
              <w:rPr>
                <w:sz w:val="20"/>
              </w:rPr>
              <w:t xml:space="preserve">12 143</w:t>
            </w:r>
          </w:p>
        </w:tc>
        <w:tc>
          <w:tcPr>
            <w:tcW w:w="1020" w:type="dxa"/>
            <w:vAlign w:val="center"/>
            <w:tcBorders>
              <w:top w:val="nil"/>
              <w:left w:val="nil"/>
              <w:bottom w:val="nil"/>
              <w:right w:val="nil"/>
            </w:tcBorders>
          </w:tcPr>
          <w:p>
            <w:pPr>
              <w:pStyle w:val="0"/>
              <w:jc w:val="center"/>
            </w:pPr>
            <w:r>
              <w:rPr>
                <w:sz w:val="20"/>
              </w:rPr>
              <w:t xml:space="preserve">15 922</w:t>
            </w:r>
          </w:p>
        </w:tc>
        <w:tc>
          <w:tcPr>
            <w:tcW w:w="1020" w:type="dxa"/>
            <w:vAlign w:val="center"/>
            <w:tcBorders>
              <w:top w:val="nil"/>
              <w:left w:val="nil"/>
              <w:bottom w:val="nil"/>
              <w:right w:val="nil"/>
            </w:tcBorders>
          </w:tcPr>
          <w:p>
            <w:pPr>
              <w:pStyle w:val="0"/>
              <w:jc w:val="center"/>
            </w:pPr>
            <w:r>
              <w:rPr>
                <w:sz w:val="20"/>
              </w:rPr>
              <w:t xml:space="preserve">16 315</w:t>
            </w:r>
          </w:p>
        </w:tc>
        <w:tc>
          <w:tcPr>
            <w:tcW w:w="1020" w:type="dxa"/>
            <w:vAlign w:val="center"/>
            <w:tcBorders>
              <w:top w:val="nil"/>
              <w:left w:val="nil"/>
              <w:bottom w:val="nil"/>
              <w:right w:val="nil"/>
            </w:tcBorders>
          </w:tcPr>
          <w:p>
            <w:pPr>
              <w:pStyle w:val="0"/>
              <w:jc w:val="center"/>
            </w:pPr>
            <w:r>
              <w:rPr>
                <w:sz w:val="20"/>
              </w:rPr>
              <w:t xml:space="preserve">17 285</w:t>
            </w:r>
          </w:p>
        </w:tc>
      </w:tr>
      <w:tr>
        <w:tc>
          <w:tcPr>
            <w:tcW w:w="2154" w:type="dxa"/>
            <w:tcBorders>
              <w:top w:val="nil"/>
              <w:left w:val="nil"/>
              <w:bottom w:val="nil"/>
              <w:right w:val="nil"/>
            </w:tcBorders>
          </w:tcPr>
          <w:p>
            <w:pPr>
              <w:pStyle w:val="0"/>
              <w:ind w:left="850"/>
            </w:pPr>
            <w:r>
              <w:rPr>
                <w:sz w:val="20"/>
              </w:rPr>
              <w:t xml:space="preserve">без учета МБТ</w:t>
            </w:r>
          </w:p>
        </w:tc>
        <w:tc>
          <w:tcPr>
            <w:tcW w:w="1020" w:type="dxa"/>
            <w:vAlign w:val="center"/>
            <w:tcBorders>
              <w:top w:val="nil"/>
              <w:left w:val="nil"/>
              <w:bottom w:val="nil"/>
              <w:right w:val="nil"/>
            </w:tcBorders>
          </w:tcPr>
          <w:p>
            <w:pPr>
              <w:pStyle w:val="0"/>
              <w:jc w:val="center"/>
            </w:pPr>
            <w:r>
              <w:rPr>
                <w:sz w:val="20"/>
              </w:rPr>
              <w:t xml:space="preserve">6 127</w:t>
            </w:r>
          </w:p>
        </w:tc>
        <w:tc>
          <w:tcPr>
            <w:tcW w:w="1020" w:type="dxa"/>
            <w:vAlign w:val="center"/>
            <w:tcBorders>
              <w:top w:val="nil"/>
              <w:left w:val="nil"/>
              <w:bottom w:val="nil"/>
              <w:right w:val="nil"/>
            </w:tcBorders>
          </w:tcPr>
          <w:p>
            <w:pPr>
              <w:pStyle w:val="0"/>
              <w:jc w:val="center"/>
            </w:pPr>
            <w:r>
              <w:rPr>
                <w:sz w:val="20"/>
              </w:rPr>
              <w:t xml:space="preserve">6 215</w:t>
            </w:r>
          </w:p>
        </w:tc>
        <w:tc>
          <w:tcPr>
            <w:tcW w:w="1020" w:type="dxa"/>
            <w:vAlign w:val="center"/>
            <w:tcBorders>
              <w:top w:val="nil"/>
              <w:left w:val="nil"/>
              <w:bottom w:val="nil"/>
              <w:right w:val="nil"/>
            </w:tcBorders>
          </w:tcPr>
          <w:p>
            <w:pPr>
              <w:pStyle w:val="0"/>
              <w:jc w:val="center"/>
            </w:pPr>
            <w:r>
              <w:rPr>
                <w:sz w:val="20"/>
              </w:rPr>
              <w:t xml:space="preserve">6 638</w:t>
            </w:r>
          </w:p>
        </w:tc>
        <w:tc>
          <w:tcPr>
            <w:tcW w:w="1191" w:type="dxa"/>
            <w:vAlign w:val="center"/>
            <w:tcBorders>
              <w:top w:val="nil"/>
              <w:left w:val="nil"/>
              <w:bottom w:val="nil"/>
              <w:right w:val="nil"/>
            </w:tcBorders>
          </w:tcPr>
          <w:p>
            <w:pPr>
              <w:pStyle w:val="0"/>
              <w:jc w:val="center"/>
            </w:pPr>
            <w:r>
              <w:rPr>
                <w:sz w:val="20"/>
              </w:rPr>
              <w:t xml:space="preserve">7 029</w:t>
            </w:r>
          </w:p>
        </w:tc>
        <w:tc>
          <w:tcPr>
            <w:tcW w:w="1247" w:type="dxa"/>
            <w:vAlign w:val="center"/>
            <w:tcBorders>
              <w:top w:val="nil"/>
              <w:left w:val="nil"/>
              <w:bottom w:val="nil"/>
              <w:right w:val="nil"/>
            </w:tcBorders>
          </w:tcPr>
          <w:p>
            <w:pPr>
              <w:pStyle w:val="0"/>
              <w:jc w:val="center"/>
            </w:pPr>
            <w:r>
              <w:rPr>
                <w:sz w:val="20"/>
              </w:rPr>
              <w:t xml:space="preserve">8 338</w:t>
            </w:r>
          </w:p>
        </w:tc>
        <w:tc>
          <w:tcPr>
            <w:tcW w:w="1020" w:type="dxa"/>
            <w:vAlign w:val="center"/>
            <w:tcBorders>
              <w:top w:val="nil"/>
              <w:left w:val="nil"/>
              <w:bottom w:val="nil"/>
              <w:right w:val="nil"/>
            </w:tcBorders>
          </w:tcPr>
          <w:p>
            <w:pPr>
              <w:pStyle w:val="0"/>
              <w:jc w:val="center"/>
            </w:pPr>
            <w:r>
              <w:rPr>
                <w:sz w:val="20"/>
              </w:rPr>
              <w:t xml:space="preserve">10 093</w:t>
            </w:r>
          </w:p>
        </w:tc>
        <w:tc>
          <w:tcPr>
            <w:tcW w:w="1020" w:type="dxa"/>
            <w:vAlign w:val="center"/>
            <w:tcBorders>
              <w:top w:val="nil"/>
              <w:left w:val="nil"/>
              <w:bottom w:val="nil"/>
              <w:right w:val="nil"/>
            </w:tcBorders>
          </w:tcPr>
          <w:p>
            <w:pPr>
              <w:pStyle w:val="0"/>
              <w:jc w:val="center"/>
            </w:pPr>
            <w:r>
              <w:rPr>
                <w:sz w:val="20"/>
              </w:rPr>
              <w:t xml:space="preserve">10 595</w:t>
            </w:r>
          </w:p>
        </w:tc>
        <w:tc>
          <w:tcPr>
            <w:tcW w:w="1020" w:type="dxa"/>
            <w:vAlign w:val="center"/>
            <w:tcBorders>
              <w:top w:val="nil"/>
              <w:left w:val="nil"/>
              <w:bottom w:val="nil"/>
              <w:right w:val="nil"/>
            </w:tcBorders>
          </w:tcPr>
          <w:p>
            <w:pPr>
              <w:pStyle w:val="0"/>
              <w:jc w:val="center"/>
            </w:pPr>
            <w:r>
              <w:rPr>
                <w:sz w:val="20"/>
              </w:rPr>
              <w:t xml:space="preserve">11 347</w:t>
            </w:r>
          </w:p>
        </w:tc>
      </w:tr>
      <w:tr>
        <w:tc>
          <w:tcPr>
            <w:tcW w:w="2154" w:type="dxa"/>
            <w:tcBorders>
              <w:top w:val="nil"/>
              <w:left w:val="nil"/>
              <w:bottom w:val="nil"/>
              <w:right w:val="nil"/>
            </w:tcBorders>
          </w:tcPr>
          <w:p>
            <w:pPr>
              <w:pStyle w:val="0"/>
              <w:ind w:left="567"/>
            </w:pPr>
            <w:r>
              <w:rPr>
                <w:sz w:val="20"/>
              </w:rPr>
              <w:t xml:space="preserve">ФОМС</w:t>
            </w:r>
          </w:p>
        </w:tc>
        <w:tc>
          <w:tcPr>
            <w:tcW w:w="1020" w:type="dxa"/>
            <w:vAlign w:val="center"/>
            <w:tcBorders>
              <w:top w:val="nil"/>
              <w:left w:val="nil"/>
              <w:bottom w:val="nil"/>
              <w:right w:val="nil"/>
            </w:tcBorders>
          </w:tcPr>
          <w:p>
            <w:pPr>
              <w:pStyle w:val="0"/>
              <w:jc w:val="center"/>
            </w:pPr>
            <w:r>
              <w:rPr>
                <w:sz w:val="20"/>
              </w:rPr>
              <w:t xml:space="preserve">2 124</w:t>
            </w:r>
          </w:p>
        </w:tc>
        <w:tc>
          <w:tcPr>
            <w:tcW w:w="1020" w:type="dxa"/>
            <w:vAlign w:val="center"/>
            <w:tcBorders>
              <w:top w:val="nil"/>
              <w:left w:val="nil"/>
              <w:bottom w:val="nil"/>
              <w:right w:val="nil"/>
            </w:tcBorders>
          </w:tcPr>
          <w:p>
            <w:pPr>
              <w:pStyle w:val="0"/>
              <w:jc w:val="center"/>
            </w:pPr>
            <w:r>
              <w:rPr>
                <w:sz w:val="20"/>
              </w:rPr>
              <w:t xml:space="preserve">2 393</w:t>
            </w:r>
          </w:p>
        </w:tc>
        <w:tc>
          <w:tcPr>
            <w:tcW w:w="1020" w:type="dxa"/>
            <w:vAlign w:val="center"/>
            <w:tcBorders>
              <w:top w:val="nil"/>
              <w:left w:val="nil"/>
              <w:bottom w:val="nil"/>
              <w:right w:val="nil"/>
            </w:tcBorders>
          </w:tcPr>
          <w:p>
            <w:pPr>
              <w:pStyle w:val="0"/>
              <w:jc w:val="center"/>
            </w:pPr>
            <w:r>
              <w:rPr>
                <w:sz w:val="20"/>
              </w:rPr>
              <w:t xml:space="preserve">2 631</w:t>
            </w:r>
          </w:p>
        </w:tc>
        <w:tc>
          <w:tcPr>
            <w:tcW w:w="1191" w:type="dxa"/>
            <w:vAlign w:val="center"/>
            <w:tcBorders>
              <w:top w:val="nil"/>
              <w:left w:val="nil"/>
              <w:bottom w:val="nil"/>
              <w:right w:val="nil"/>
            </w:tcBorders>
          </w:tcPr>
          <w:p>
            <w:pPr>
              <w:pStyle w:val="0"/>
              <w:jc w:val="center"/>
            </w:pPr>
            <w:r>
              <w:rPr>
                <w:sz w:val="20"/>
              </w:rPr>
              <w:t xml:space="preserve">2 919</w:t>
            </w:r>
          </w:p>
        </w:tc>
        <w:tc>
          <w:tcPr>
            <w:tcW w:w="1247" w:type="dxa"/>
            <w:vAlign w:val="center"/>
            <w:tcBorders>
              <w:top w:val="nil"/>
              <w:left w:val="nil"/>
              <w:bottom w:val="nil"/>
              <w:right w:val="nil"/>
            </w:tcBorders>
          </w:tcPr>
          <w:p>
            <w:pPr>
              <w:pStyle w:val="0"/>
              <w:jc w:val="center"/>
            </w:pPr>
            <w:r>
              <w:rPr>
                <w:sz w:val="20"/>
              </w:rPr>
              <w:t xml:space="preserve">3 199</w:t>
            </w:r>
          </w:p>
        </w:tc>
        <w:tc>
          <w:tcPr>
            <w:tcW w:w="1020" w:type="dxa"/>
            <w:vAlign w:val="center"/>
            <w:tcBorders>
              <w:top w:val="nil"/>
              <w:left w:val="nil"/>
              <w:bottom w:val="nil"/>
              <w:right w:val="nil"/>
            </w:tcBorders>
          </w:tcPr>
          <w:p>
            <w:pPr>
              <w:pStyle w:val="0"/>
              <w:jc w:val="center"/>
            </w:pPr>
            <w:r>
              <w:rPr>
                <w:sz w:val="20"/>
              </w:rPr>
              <w:t xml:space="preserve">3 739</w:t>
            </w:r>
          </w:p>
        </w:tc>
        <w:tc>
          <w:tcPr>
            <w:tcW w:w="1020" w:type="dxa"/>
            <w:vAlign w:val="center"/>
            <w:tcBorders>
              <w:top w:val="nil"/>
              <w:left w:val="nil"/>
              <w:bottom w:val="nil"/>
              <w:right w:val="nil"/>
            </w:tcBorders>
          </w:tcPr>
          <w:p>
            <w:pPr>
              <w:pStyle w:val="0"/>
              <w:jc w:val="center"/>
            </w:pPr>
            <w:r>
              <w:rPr>
                <w:sz w:val="20"/>
              </w:rPr>
              <w:t xml:space="preserve">3 932</w:t>
            </w:r>
          </w:p>
        </w:tc>
        <w:tc>
          <w:tcPr>
            <w:tcW w:w="1020" w:type="dxa"/>
            <w:vAlign w:val="center"/>
            <w:tcBorders>
              <w:top w:val="nil"/>
              <w:left w:val="nil"/>
              <w:bottom w:val="nil"/>
              <w:right w:val="nil"/>
            </w:tcBorders>
          </w:tcPr>
          <w:p>
            <w:pPr>
              <w:pStyle w:val="0"/>
              <w:jc w:val="center"/>
            </w:pPr>
            <w:r>
              <w:rPr>
                <w:sz w:val="20"/>
              </w:rPr>
              <w:t xml:space="preserve">4 192</w:t>
            </w:r>
          </w:p>
        </w:tc>
      </w:tr>
      <w:tr>
        <w:tc>
          <w:tcPr>
            <w:tcW w:w="2154" w:type="dxa"/>
            <w:tcBorders>
              <w:top w:val="nil"/>
              <w:left w:val="nil"/>
              <w:bottom w:val="nil"/>
              <w:right w:val="nil"/>
            </w:tcBorders>
          </w:tcPr>
          <w:p>
            <w:pPr>
              <w:pStyle w:val="0"/>
              <w:ind w:left="850"/>
            </w:pPr>
            <w:r>
              <w:rPr>
                <w:sz w:val="20"/>
              </w:rPr>
              <w:t xml:space="preserve">без учета МБТ</w:t>
            </w:r>
          </w:p>
        </w:tc>
        <w:tc>
          <w:tcPr>
            <w:tcW w:w="1020" w:type="dxa"/>
            <w:vAlign w:val="center"/>
            <w:tcBorders>
              <w:top w:val="nil"/>
              <w:left w:val="nil"/>
              <w:bottom w:val="nil"/>
              <w:right w:val="nil"/>
            </w:tcBorders>
          </w:tcPr>
          <w:p>
            <w:pPr>
              <w:pStyle w:val="0"/>
              <w:jc w:val="center"/>
            </w:pPr>
            <w:r>
              <w:rPr>
                <w:sz w:val="20"/>
              </w:rPr>
              <w:t xml:space="preserve">2 045</w:t>
            </w:r>
          </w:p>
        </w:tc>
        <w:tc>
          <w:tcPr>
            <w:tcW w:w="1020" w:type="dxa"/>
            <w:vAlign w:val="center"/>
            <w:tcBorders>
              <w:top w:val="nil"/>
              <w:left w:val="nil"/>
              <w:bottom w:val="nil"/>
              <w:right w:val="nil"/>
            </w:tcBorders>
          </w:tcPr>
          <w:p>
            <w:pPr>
              <w:pStyle w:val="0"/>
              <w:jc w:val="center"/>
            </w:pPr>
            <w:r>
              <w:rPr>
                <w:sz w:val="20"/>
              </w:rPr>
              <w:t xml:space="preserve">2 145</w:t>
            </w:r>
          </w:p>
        </w:tc>
        <w:tc>
          <w:tcPr>
            <w:tcW w:w="1020" w:type="dxa"/>
            <w:vAlign w:val="center"/>
            <w:tcBorders>
              <w:top w:val="nil"/>
              <w:left w:val="nil"/>
              <w:bottom w:val="nil"/>
              <w:right w:val="nil"/>
            </w:tcBorders>
          </w:tcPr>
          <w:p>
            <w:pPr>
              <w:pStyle w:val="0"/>
              <w:jc w:val="center"/>
            </w:pPr>
            <w:r>
              <w:rPr>
                <w:sz w:val="20"/>
              </w:rPr>
              <w:t xml:space="preserve">2 337</w:t>
            </w:r>
          </w:p>
        </w:tc>
        <w:tc>
          <w:tcPr>
            <w:tcW w:w="1191" w:type="dxa"/>
            <w:vAlign w:val="center"/>
            <w:tcBorders>
              <w:top w:val="nil"/>
              <w:left w:val="nil"/>
              <w:bottom w:val="nil"/>
              <w:right w:val="nil"/>
            </w:tcBorders>
          </w:tcPr>
          <w:p>
            <w:pPr>
              <w:pStyle w:val="0"/>
              <w:jc w:val="center"/>
            </w:pPr>
            <w:r>
              <w:rPr>
                <w:sz w:val="20"/>
              </w:rPr>
              <w:t xml:space="preserve">2 445</w:t>
            </w:r>
          </w:p>
        </w:tc>
        <w:tc>
          <w:tcPr>
            <w:tcW w:w="1247" w:type="dxa"/>
            <w:vAlign w:val="center"/>
            <w:tcBorders>
              <w:top w:val="nil"/>
              <w:left w:val="nil"/>
              <w:bottom w:val="nil"/>
              <w:right w:val="nil"/>
            </w:tcBorders>
          </w:tcPr>
          <w:p>
            <w:pPr>
              <w:pStyle w:val="0"/>
              <w:jc w:val="center"/>
            </w:pPr>
            <w:r>
              <w:rPr>
                <w:sz w:val="20"/>
              </w:rPr>
              <w:t xml:space="preserve">2 770</w:t>
            </w:r>
          </w:p>
        </w:tc>
        <w:tc>
          <w:tcPr>
            <w:tcW w:w="1020" w:type="dxa"/>
            <w:vAlign w:val="center"/>
            <w:tcBorders>
              <w:top w:val="nil"/>
              <w:left w:val="nil"/>
              <w:bottom w:val="nil"/>
              <w:right w:val="nil"/>
            </w:tcBorders>
          </w:tcPr>
          <w:p>
            <w:pPr>
              <w:pStyle w:val="0"/>
              <w:jc w:val="center"/>
            </w:pPr>
            <w:r>
              <w:rPr>
                <w:sz w:val="20"/>
              </w:rPr>
              <w:t xml:space="preserve">3 252</w:t>
            </w:r>
          </w:p>
        </w:tc>
        <w:tc>
          <w:tcPr>
            <w:tcW w:w="1020" w:type="dxa"/>
            <w:vAlign w:val="center"/>
            <w:tcBorders>
              <w:top w:val="nil"/>
              <w:left w:val="nil"/>
              <w:bottom w:val="nil"/>
              <w:right w:val="nil"/>
            </w:tcBorders>
          </w:tcPr>
          <w:p>
            <w:pPr>
              <w:pStyle w:val="0"/>
              <w:jc w:val="center"/>
            </w:pPr>
            <w:r>
              <w:rPr>
                <w:sz w:val="20"/>
              </w:rPr>
              <w:t xml:space="preserve">3 427</w:t>
            </w:r>
          </w:p>
        </w:tc>
        <w:tc>
          <w:tcPr>
            <w:tcW w:w="1020" w:type="dxa"/>
            <w:vAlign w:val="center"/>
            <w:tcBorders>
              <w:top w:val="nil"/>
              <w:left w:val="nil"/>
              <w:bottom w:val="nil"/>
              <w:right w:val="nil"/>
            </w:tcBorders>
          </w:tcPr>
          <w:p>
            <w:pPr>
              <w:pStyle w:val="0"/>
              <w:jc w:val="center"/>
            </w:pPr>
            <w:r>
              <w:rPr>
                <w:sz w:val="20"/>
              </w:rPr>
              <w:t xml:space="preserve">3 666</w:t>
            </w:r>
          </w:p>
        </w:tc>
      </w:tr>
      <w:tr>
        <w:tc>
          <w:tcPr>
            <w:tcW w:w="2154" w:type="dxa"/>
            <w:tcBorders>
              <w:top w:val="nil"/>
              <w:left w:val="nil"/>
              <w:bottom w:val="nil"/>
              <w:right w:val="nil"/>
            </w:tcBorders>
          </w:tcPr>
          <w:p>
            <w:pPr>
              <w:pStyle w:val="0"/>
            </w:pPr>
            <w:r>
              <w:rPr>
                <w:sz w:val="20"/>
              </w:rPr>
              <w:t xml:space="preserve">Расходы, всего</w:t>
            </w:r>
          </w:p>
        </w:tc>
        <w:tc>
          <w:tcPr>
            <w:tcW w:w="1020" w:type="dxa"/>
            <w:vAlign w:val="center"/>
            <w:tcBorders>
              <w:top w:val="nil"/>
              <w:left w:val="nil"/>
              <w:bottom w:val="nil"/>
              <w:right w:val="nil"/>
            </w:tcBorders>
          </w:tcPr>
          <w:p>
            <w:pPr>
              <w:pStyle w:val="0"/>
              <w:jc w:val="center"/>
            </w:pPr>
            <w:r>
              <w:rPr>
                <w:sz w:val="20"/>
              </w:rPr>
              <w:t xml:space="preserve">37 326</w:t>
            </w:r>
          </w:p>
        </w:tc>
        <w:tc>
          <w:tcPr>
            <w:tcW w:w="1020" w:type="dxa"/>
            <w:vAlign w:val="center"/>
            <w:tcBorders>
              <w:top w:val="nil"/>
              <w:left w:val="nil"/>
              <w:bottom w:val="nil"/>
              <w:right w:val="nil"/>
            </w:tcBorders>
          </w:tcPr>
          <w:p>
            <w:pPr>
              <w:pStyle w:val="0"/>
              <w:jc w:val="center"/>
            </w:pPr>
            <w:r>
              <w:rPr>
                <w:sz w:val="20"/>
              </w:rPr>
              <w:t xml:space="preserve">42 481</w:t>
            </w:r>
          </w:p>
        </w:tc>
        <w:tc>
          <w:tcPr>
            <w:tcW w:w="1020" w:type="dxa"/>
            <w:vAlign w:val="center"/>
            <w:tcBorders>
              <w:top w:val="nil"/>
              <w:left w:val="nil"/>
              <w:bottom w:val="nil"/>
              <w:right w:val="nil"/>
            </w:tcBorders>
          </w:tcPr>
          <w:p>
            <w:pPr>
              <w:pStyle w:val="0"/>
              <w:jc w:val="center"/>
            </w:pPr>
            <w:r>
              <w:rPr>
                <w:sz w:val="20"/>
              </w:rPr>
              <w:t xml:space="preserve">47 062</w:t>
            </w:r>
          </w:p>
        </w:tc>
        <w:tc>
          <w:tcPr>
            <w:tcW w:w="1191" w:type="dxa"/>
            <w:vAlign w:val="center"/>
            <w:tcBorders>
              <w:top w:val="nil"/>
              <w:left w:val="nil"/>
              <w:bottom w:val="nil"/>
              <w:right w:val="nil"/>
            </w:tcBorders>
          </w:tcPr>
          <w:p>
            <w:pPr>
              <w:pStyle w:val="0"/>
              <w:jc w:val="center"/>
            </w:pPr>
            <w:r>
              <w:rPr>
                <w:sz w:val="20"/>
              </w:rPr>
              <w:t xml:space="preserve">55 186</w:t>
            </w:r>
          </w:p>
        </w:tc>
        <w:tc>
          <w:tcPr>
            <w:tcW w:w="1247" w:type="dxa"/>
            <w:vAlign w:val="center"/>
            <w:tcBorders>
              <w:top w:val="nil"/>
              <w:left w:val="nil"/>
              <w:bottom w:val="nil"/>
              <w:right w:val="nil"/>
            </w:tcBorders>
          </w:tcPr>
          <w:p>
            <w:pPr>
              <w:pStyle w:val="0"/>
              <w:jc w:val="center"/>
            </w:pPr>
            <w:r>
              <w:rPr>
                <w:sz w:val="20"/>
              </w:rPr>
              <w:t xml:space="preserve">61 686</w:t>
            </w:r>
          </w:p>
        </w:tc>
        <w:tc>
          <w:tcPr>
            <w:tcW w:w="1020" w:type="dxa"/>
            <w:vAlign w:val="center"/>
            <w:tcBorders>
              <w:top w:val="nil"/>
              <w:left w:val="nil"/>
              <w:bottom w:val="nil"/>
              <w:right w:val="nil"/>
            </w:tcBorders>
          </w:tcPr>
          <w:p>
            <w:pPr>
              <w:pStyle w:val="0"/>
              <w:jc w:val="center"/>
            </w:pPr>
            <w:r>
              <w:rPr>
                <w:sz w:val="20"/>
              </w:rPr>
              <w:t xml:space="preserve">68 801</w:t>
            </w:r>
          </w:p>
        </w:tc>
        <w:tc>
          <w:tcPr>
            <w:tcW w:w="1020" w:type="dxa"/>
            <w:vAlign w:val="center"/>
            <w:tcBorders>
              <w:top w:val="nil"/>
              <w:left w:val="nil"/>
              <w:bottom w:val="nil"/>
              <w:right w:val="nil"/>
            </w:tcBorders>
          </w:tcPr>
          <w:p>
            <w:pPr>
              <w:pStyle w:val="0"/>
              <w:jc w:val="center"/>
            </w:pPr>
            <w:r>
              <w:rPr>
                <w:sz w:val="20"/>
              </w:rPr>
              <w:t xml:space="preserve">68 599</w:t>
            </w:r>
          </w:p>
        </w:tc>
        <w:tc>
          <w:tcPr>
            <w:tcW w:w="1020" w:type="dxa"/>
            <w:vAlign w:val="center"/>
            <w:tcBorders>
              <w:top w:val="nil"/>
              <w:left w:val="nil"/>
              <w:bottom w:val="nil"/>
              <w:right w:val="nil"/>
            </w:tcBorders>
          </w:tcPr>
          <w:p>
            <w:pPr>
              <w:pStyle w:val="0"/>
              <w:jc w:val="center"/>
            </w:pPr>
            <w:r>
              <w:rPr>
                <w:sz w:val="20"/>
              </w:rPr>
              <w:t xml:space="preserve">71 860</w:t>
            </w:r>
          </w:p>
        </w:tc>
      </w:tr>
      <w:tr>
        <w:tc>
          <w:tcPr>
            <w:tcW w:w="2154" w:type="dxa"/>
            <w:tcBorders>
              <w:top w:val="nil"/>
              <w:left w:val="nil"/>
              <w:bottom w:val="nil"/>
              <w:right w:val="nil"/>
            </w:tcBorders>
          </w:tcPr>
          <w:p>
            <w:pPr>
              <w:pStyle w:val="0"/>
            </w:pPr>
            <w:r>
              <w:rPr>
                <w:sz w:val="20"/>
              </w:rPr>
              <w:t xml:space="preserve">%% ВВП</w:t>
            </w:r>
          </w:p>
        </w:tc>
        <w:tc>
          <w:tcPr>
            <w:tcW w:w="1020" w:type="dxa"/>
            <w:vAlign w:val="center"/>
            <w:tcBorders>
              <w:top w:val="nil"/>
              <w:left w:val="nil"/>
              <w:bottom w:val="nil"/>
              <w:right w:val="nil"/>
            </w:tcBorders>
          </w:tcPr>
          <w:p>
            <w:pPr>
              <w:pStyle w:val="0"/>
              <w:jc w:val="center"/>
            </w:pPr>
            <w:r>
              <w:rPr>
                <w:sz w:val="20"/>
              </w:rPr>
              <w:t xml:space="preserve">34,1</w:t>
            </w:r>
          </w:p>
        </w:tc>
        <w:tc>
          <w:tcPr>
            <w:tcW w:w="1020" w:type="dxa"/>
            <w:vAlign w:val="center"/>
            <w:tcBorders>
              <w:top w:val="nil"/>
              <w:left w:val="nil"/>
              <w:bottom w:val="nil"/>
              <w:right w:val="nil"/>
            </w:tcBorders>
          </w:tcPr>
          <w:p>
            <w:pPr>
              <w:pStyle w:val="0"/>
              <w:jc w:val="center"/>
            </w:pPr>
            <w:r>
              <w:rPr>
                <w:sz w:val="20"/>
              </w:rPr>
              <w:t xml:space="preserve">39,5</w:t>
            </w:r>
          </w:p>
        </w:tc>
        <w:tc>
          <w:tcPr>
            <w:tcW w:w="1020" w:type="dxa"/>
            <w:vAlign w:val="center"/>
            <w:tcBorders>
              <w:top w:val="nil"/>
              <w:left w:val="nil"/>
              <w:bottom w:val="nil"/>
              <w:right w:val="nil"/>
            </w:tcBorders>
          </w:tcPr>
          <w:p>
            <w:pPr>
              <w:pStyle w:val="0"/>
              <w:jc w:val="center"/>
            </w:pPr>
            <w:r>
              <w:rPr>
                <w:sz w:val="20"/>
              </w:rPr>
              <w:t xml:space="preserve">34,8</w:t>
            </w:r>
          </w:p>
        </w:tc>
        <w:tc>
          <w:tcPr>
            <w:tcW w:w="1191" w:type="dxa"/>
            <w:vAlign w:val="center"/>
            <w:tcBorders>
              <w:top w:val="nil"/>
              <w:left w:val="nil"/>
              <w:bottom w:val="nil"/>
              <w:right w:val="nil"/>
            </w:tcBorders>
          </w:tcPr>
          <w:p>
            <w:pPr>
              <w:pStyle w:val="0"/>
              <w:jc w:val="center"/>
            </w:pPr>
            <w:r>
              <w:rPr>
                <w:sz w:val="20"/>
              </w:rPr>
              <w:t xml:space="preserve">36,0</w:t>
            </w:r>
          </w:p>
        </w:tc>
        <w:tc>
          <w:tcPr>
            <w:tcW w:w="1247" w:type="dxa"/>
            <w:vAlign w:val="center"/>
            <w:tcBorders>
              <w:top w:val="nil"/>
              <w:left w:val="nil"/>
              <w:bottom w:val="nil"/>
              <w:right w:val="nil"/>
            </w:tcBorders>
          </w:tcPr>
          <w:p>
            <w:pPr>
              <w:pStyle w:val="0"/>
              <w:jc w:val="center"/>
            </w:pPr>
            <w:r>
              <w:rPr>
                <w:sz w:val="20"/>
              </w:rPr>
              <w:t xml:space="preserve">37,2</w:t>
            </w:r>
          </w:p>
        </w:tc>
        <w:tc>
          <w:tcPr>
            <w:tcW w:w="1020" w:type="dxa"/>
            <w:vAlign w:val="center"/>
            <w:tcBorders>
              <w:top w:val="nil"/>
              <w:left w:val="nil"/>
              <w:bottom w:val="nil"/>
              <w:right w:val="nil"/>
            </w:tcBorders>
          </w:tcPr>
          <w:p>
            <w:pPr>
              <w:pStyle w:val="0"/>
              <w:jc w:val="center"/>
            </w:pPr>
            <w:r>
              <w:rPr>
                <w:sz w:val="20"/>
              </w:rPr>
              <w:t xml:space="preserve">38,2</w:t>
            </w:r>
          </w:p>
        </w:tc>
        <w:tc>
          <w:tcPr>
            <w:tcW w:w="1020" w:type="dxa"/>
            <w:vAlign w:val="center"/>
            <w:tcBorders>
              <w:top w:val="nil"/>
              <w:left w:val="nil"/>
              <w:bottom w:val="nil"/>
              <w:right w:val="nil"/>
            </w:tcBorders>
          </w:tcPr>
          <w:p>
            <w:pPr>
              <w:pStyle w:val="0"/>
              <w:jc w:val="center"/>
            </w:pPr>
            <w:r>
              <w:rPr>
                <w:sz w:val="20"/>
              </w:rPr>
              <w:t xml:space="preserve">36,0</w:t>
            </w:r>
          </w:p>
        </w:tc>
        <w:tc>
          <w:tcPr>
            <w:tcW w:w="1020" w:type="dxa"/>
            <w:vAlign w:val="center"/>
            <w:tcBorders>
              <w:top w:val="nil"/>
              <w:left w:val="nil"/>
              <w:bottom w:val="nil"/>
              <w:right w:val="nil"/>
            </w:tcBorders>
          </w:tcPr>
          <w:p>
            <w:pPr>
              <w:pStyle w:val="0"/>
              <w:jc w:val="center"/>
            </w:pPr>
            <w:r>
              <w:rPr>
                <w:sz w:val="20"/>
              </w:rPr>
              <w:t xml:space="preserve">35,5</w:t>
            </w:r>
          </w:p>
        </w:tc>
      </w:tr>
      <w:tr>
        <w:tc>
          <w:tcPr>
            <w:tcW w:w="2154" w:type="dxa"/>
            <w:tcBorders>
              <w:top w:val="nil"/>
              <w:left w:val="nil"/>
              <w:bottom w:val="nil"/>
              <w:right w:val="nil"/>
            </w:tcBorders>
          </w:tcPr>
          <w:p>
            <w:pPr>
              <w:pStyle w:val="0"/>
            </w:pPr>
            <w:r>
              <w:rPr>
                <w:sz w:val="20"/>
              </w:rPr>
              <w:t xml:space="preserve">Федеральный бюджет</w:t>
            </w:r>
          </w:p>
        </w:tc>
        <w:tc>
          <w:tcPr>
            <w:tcW w:w="1020" w:type="dxa"/>
            <w:vAlign w:val="center"/>
            <w:tcBorders>
              <w:top w:val="nil"/>
              <w:left w:val="nil"/>
              <w:bottom w:val="nil"/>
              <w:right w:val="nil"/>
            </w:tcBorders>
          </w:tcPr>
          <w:p>
            <w:pPr>
              <w:pStyle w:val="0"/>
              <w:jc w:val="center"/>
            </w:pPr>
            <w:r>
              <w:rPr>
                <w:sz w:val="20"/>
              </w:rPr>
              <w:t xml:space="preserve">18 215</w:t>
            </w:r>
          </w:p>
        </w:tc>
        <w:tc>
          <w:tcPr>
            <w:tcW w:w="1020" w:type="dxa"/>
            <w:vAlign w:val="center"/>
            <w:tcBorders>
              <w:top w:val="nil"/>
              <w:left w:val="nil"/>
              <w:bottom w:val="nil"/>
              <w:right w:val="nil"/>
            </w:tcBorders>
          </w:tcPr>
          <w:p>
            <w:pPr>
              <w:pStyle w:val="0"/>
              <w:jc w:val="center"/>
            </w:pPr>
            <w:r>
              <w:rPr>
                <w:sz w:val="20"/>
              </w:rPr>
              <w:t xml:space="preserve">22 822</w:t>
            </w:r>
          </w:p>
        </w:tc>
        <w:tc>
          <w:tcPr>
            <w:tcW w:w="1020" w:type="dxa"/>
            <w:vAlign w:val="center"/>
            <w:tcBorders>
              <w:top w:val="nil"/>
              <w:left w:val="nil"/>
              <w:bottom w:val="nil"/>
              <w:right w:val="nil"/>
            </w:tcBorders>
          </w:tcPr>
          <w:p>
            <w:pPr>
              <w:pStyle w:val="0"/>
              <w:jc w:val="center"/>
            </w:pPr>
            <w:r>
              <w:rPr>
                <w:sz w:val="20"/>
              </w:rPr>
              <w:t xml:space="preserve">24 762</w:t>
            </w:r>
          </w:p>
        </w:tc>
        <w:tc>
          <w:tcPr>
            <w:tcW w:w="1191" w:type="dxa"/>
            <w:vAlign w:val="center"/>
            <w:tcBorders>
              <w:top w:val="nil"/>
              <w:left w:val="nil"/>
              <w:bottom w:val="nil"/>
              <w:right w:val="nil"/>
            </w:tcBorders>
          </w:tcPr>
          <w:p>
            <w:pPr>
              <w:pStyle w:val="0"/>
              <w:jc w:val="center"/>
            </w:pPr>
            <w:r>
              <w:rPr>
                <w:sz w:val="20"/>
              </w:rPr>
              <w:t xml:space="preserve">31 119</w:t>
            </w:r>
          </w:p>
        </w:tc>
        <w:tc>
          <w:tcPr>
            <w:tcW w:w="1247" w:type="dxa"/>
            <w:vAlign w:val="center"/>
            <w:tcBorders>
              <w:top w:val="nil"/>
              <w:left w:val="nil"/>
              <w:bottom w:val="nil"/>
              <w:right w:val="nil"/>
            </w:tcBorders>
          </w:tcPr>
          <w:p>
            <w:pPr>
              <w:pStyle w:val="0"/>
              <w:jc w:val="center"/>
            </w:pPr>
            <w:r>
              <w:rPr>
                <w:sz w:val="20"/>
              </w:rPr>
              <w:t xml:space="preserve">31 675</w:t>
            </w:r>
          </w:p>
        </w:tc>
        <w:tc>
          <w:tcPr>
            <w:tcW w:w="1020" w:type="dxa"/>
            <w:vAlign w:val="center"/>
            <w:tcBorders>
              <w:top w:val="nil"/>
              <w:left w:val="nil"/>
              <w:bottom w:val="nil"/>
              <w:right w:val="nil"/>
            </w:tcBorders>
          </w:tcPr>
          <w:p>
            <w:pPr>
              <w:pStyle w:val="0"/>
              <w:jc w:val="center"/>
            </w:pPr>
            <w:r>
              <w:rPr>
                <w:sz w:val="20"/>
              </w:rPr>
              <w:t xml:space="preserve">36 661</w:t>
            </w:r>
          </w:p>
        </w:tc>
        <w:tc>
          <w:tcPr>
            <w:tcW w:w="1020" w:type="dxa"/>
            <w:vAlign w:val="center"/>
            <w:tcBorders>
              <w:top w:val="nil"/>
              <w:left w:val="nil"/>
              <w:bottom w:val="nil"/>
              <w:right w:val="nil"/>
            </w:tcBorders>
          </w:tcPr>
          <w:p>
            <w:pPr>
              <w:pStyle w:val="0"/>
              <w:jc w:val="center"/>
            </w:pPr>
            <w:r>
              <w:rPr>
                <w:sz w:val="20"/>
              </w:rPr>
              <w:t xml:space="preserve">34 383</w:t>
            </w:r>
          </w:p>
        </w:tc>
        <w:tc>
          <w:tcPr>
            <w:tcW w:w="1020" w:type="dxa"/>
            <w:vAlign w:val="center"/>
            <w:tcBorders>
              <w:top w:val="nil"/>
              <w:left w:val="nil"/>
              <w:bottom w:val="nil"/>
              <w:right w:val="nil"/>
            </w:tcBorders>
          </w:tcPr>
          <w:p>
            <w:pPr>
              <w:pStyle w:val="0"/>
              <w:jc w:val="center"/>
            </w:pPr>
            <w:r>
              <w:rPr>
                <w:sz w:val="20"/>
              </w:rPr>
              <w:t xml:space="preserve">35 587</w:t>
            </w:r>
          </w:p>
        </w:tc>
      </w:tr>
      <w:tr>
        <w:tc>
          <w:tcPr>
            <w:tcW w:w="2154" w:type="dxa"/>
            <w:tcBorders>
              <w:top w:val="nil"/>
              <w:left w:val="nil"/>
              <w:bottom w:val="nil"/>
              <w:right w:val="nil"/>
            </w:tcBorders>
          </w:tcPr>
          <w:p>
            <w:pPr>
              <w:pStyle w:val="0"/>
              <w:ind w:left="283"/>
            </w:pPr>
            <w:r>
              <w:rPr>
                <w:sz w:val="20"/>
              </w:rPr>
              <w:t xml:space="preserve">без учета МБТ</w:t>
            </w:r>
          </w:p>
        </w:tc>
        <w:tc>
          <w:tcPr>
            <w:tcW w:w="1020" w:type="dxa"/>
            <w:vAlign w:val="center"/>
            <w:tcBorders>
              <w:top w:val="nil"/>
              <w:left w:val="nil"/>
              <w:bottom w:val="nil"/>
              <w:right w:val="nil"/>
            </w:tcBorders>
          </w:tcPr>
          <w:p>
            <w:pPr>
              <w:pStyle w:val="0"/>
              <w:jc w:val="center"/>
            </w:pPr>
            <w:r>
              <w:rPr>
                <w:sz w:val="20"/>
              </w:rPr>
              <w:t xml:space="preserve">12 402</w:t>
            </w:r>
          </w:p>
        </w:tc>
        <w:tc>
          <w:tcPr>
            <w:tcW w:w="1020" w:type="dxa"/>
            <w:vAlign w:val="center"/>
            <w:tcBorders>
              <w:top w:val="nil"/>
              <w:left w:val="nil"/>
              <w:bottom w:val="nil"/>
              <w:right w:val="nil"/>
            </w:tcBorders>
          </w:tcPr>
          <w:p>
            <w:pPr>
              <w:pStyle w:val="0"/>
              <w:jc w:val="center"/>
            </w:pPr>
            <w:r>
              <w:rPr>
                <w:sz w:val="20"/>
              </w:rPr>
              <w:t xml:space="preserve">13 944</w:t>
            </w:r>
          </w:p>
        </w:tc>
        <w:tc>
          <w:tcPr>
            <w:tcW w:w="1020" w:type="dxa"/>
            <w:vAlign w:val="center"/>
            <w:tcBorders>
              <w:top w:val="nil"/>
              <w:left w:val="nil"/>
              <w:bottom w:val="nil"/>
              <w:right w:val="nil"/>
            </w:tcBorders>
          </w:tcPr>
          <w:p>
            <w:pPr>
              <w:pStyle w:val="0"/>
              <w:jc w:val="center"/>
            </w:pPr>
            <w:r>
              <w:rPr>
                <w:sz w:val="20"/>
              </w:rPr>
              <w:t xml:space="preserve">16 314</w:t>
            </w:r>
          </w:p>
        </w:tc>
        <w:tc>
          <w:tcPr>
            <w:tcW w:w="1191" w:type="dxa"/>
            <w:vAlign w:val="center"/>
            <w:tcBorders>
              <w:top w:val="nil"/>
              <w:left w:val="nil"/>
              <w:bottom w:val="nil"/>
              <w:right w:val="nil"/>
            </w:tcBorders>
          </w:tcPr>
          <w:p>
            <w:pPr>
              <w:pStyle w:val="0"/>
              <w:jc w:val="center"/>
            </w:pPr>
            <w:r>
              <w:rPr>
                <w:sz w:val="20"/>
              </w:rPr>
              <w:t xml:space="preserve">20 488</w:t>
            </w:r>
          </w:p>
        </w:tc>
        <w:tc>
          <w:tcPr>
            <w:tcW w:w="1247" w:type="dxa"/>
            <w:vAlign w:val="center"/>
            <w:tcBorders>
              <w:top w:val="nil"/>
              <w:left w:val="nil"/>
              <w:bottom w:val="nil"/>
              <w:right w:val="nil"/>
            </w:tcBorders>
          </w:tcPr>
          <w:p>
            <w:pPr>
              <w:pStyle w:val="0"/>
              <w:jc w:val="center"/>
            </w:pPr>
            <w:r>
              <w:rPr>
                <w:sz w:val="20"/>
              </w:rPr>
              <w:t xml:space="preserve">23 897</w:t>
            </w:r>
          </w:p>
        </w:tc>
        <w:tc>
          <w:tcPr>
            <w:tcW w:w="1020" w:type="dxa"/>
            <w:vAlign w:val="center"/>
            <w:tcBorders>
              <w:top w:val="nil"/>
              <w:left w:val="nil"/>
              <w:bottom w:val="nil"/>
              <w:right w:val="nil"/>
            </w:tcBorders>
          </w:tcPr>
          <w:p>
            <w:pPr>
              <w:pStyle w:val="0"/>
              <w:jc w:val="center"/>
            </w:pPr>
            <w:r>
              <w:rPr>
                <w:sz w:val="20"/>
              </w:rPr>
              <w:t xml:space="preserve">27 527</w:t>
            </w:r>
          </w:p>
        </w:tc>
        <w:tc>
          <w:tcPr>
            <w:tcW w:w="1020" w:type="dxa"/>
            <w:vAlign w:val="center"/>
            <w:tcBorders>
              <w:top w:val="nil"/>
              <w:left w:val="nil"/>
              <w:bottom w:val="nil"/>
              <w:right w:val="nil"/>
            </w:tcBorders>
          </w:tcPr>
          <w:p>
            <w:pPr>
              <w:pStyle w:val="0"/>
              <w:jc w:val="center"/>
            </w:pPr>
            <w:r>
              <w:rPr>
                <w:sz w:val="20"/>
              </w:rPr>
              <w:t xml:space="preserve">25 789</w:t>
            </w:r>
          </w:p>
        </w:tc>
        <w:tc>
          <w:tcPr>
            <w:tcW w:w="1020" w:type="dxa"/>
            <w:vAlign w:val="center"/>
            <w:tcBorders>
              <w:top w:val="nil"/>
              <w:left w:val="nil"/>
              <w:bottom w:val="nil"/>
              <w:right w:val="nil"/>
            </w:tcBorders>
          </w:tcPr>
          <w:p>
            <w:pPr>
              <w:pStyle w:val="0"/>
              <w:jc w:val="center"/>
            </w:pPr>
            <w:r>
              <w:rPr>
                <w:sz w:val="20"/>
              </w:rPr>
              <w:t xml:space="preserve">26 856</w:t>
            </w:r>
          </w:p>
        </w:tc>
      </w:tr>
      <w:tr>
        <w:tc>
          <w:tcPr>
            <w:tcW w:w="2154" w:type="dxa"/>
            <w:tcBorders>
              <w:top w:val="nil"/>
              <w:left w:val="nil"/>
              <w:bottom w:val="nil"/>
              <w:right w:val="nil"/>
            </w:tcBorders>
          </w:tcPr>
          <w:p>
            <w:pPr>
              <w:pStyle w:val="0"/>
            </w:pPr>
            <w:r>
              <w:rPr>
                <w:sz w:val="20"/>
              </w:rPr>
              <w:t xml:space="preserve">Консолидированные бюджеты субъектов</w:t>
            </w:r>
          </w:p>
        </w:tc>
        <w:tc>
          <w:tcPr>
            <w:tcW w:w="1020" w:type="dxa"/>
            <w:vAlign w:val="center"/>
            <w:tcBorders>
              <w:top w:val="nil"/>
              <w:left w:val="nil"/>
              <w:bottom w:val="nil"/>
              <w:right w:val="nil"/>
            </w:tcBorders>
          </w:tcPr>
          <w:p>
            <w:pPr>
              <w:pStyle w:val="0"/>
              <w:jc w:val="center"/>
            </w:pPr>
            <w:r>
              <w:rPr>
                <w:sz w:val="20"/>
              </w:rPr>
              <w:t xml:space="preserve">13 568</w:t>
            </w:r>
          </w:p>
        </w:tc>
        <w:tc>
          <w:tcPr>
            <w:tcW w:w="1020" w:type="dxa"/>
            <w:vAlign w:val="center"/>
            <w:tcBorders>
              <w:top w:val="nil"/>
              <w:left w:val="nil"/>
              <w:bottom w:val="nil"/>
              <w:right w:val="nil"/>
            </w:tcBorders>
          </w:tcPr>
          <w:p>
            <w:pPr>
              <w:pStyle w:val="0"/>
              <w:jc w:val="center"/>
            </w:pPr>
            <w:r>
              <w:rPr>
                <w:sz w:val="20"/>
              </w:rPr>
              <w:t xml:space="preserve">15 578</w:t>
            </w:r>
          </w:p>
        </w:tc>
        <w:tc>
          <w:tcPr>
            <w:tcW w:w="1020" w:type="dxa"/>
            <w:vAlign w:val="center"/>
            <w:tcBorders>
              <w:top w:val="nil"/>
              <w:left w:val="nil"/>
              <w:bottom w:val="nil"/>
              <w:right w:val="nil"/>
            </w:tcBorders>
          </w:tcPr>
          <w:p>
            <w:pPr>
              <w:pStyle w:val="0"/>
              <w:jc w:val="center"/>
            </w:pPr>
            <w:r>
              <w:rPr>
                <w:sz w:val="20"/>
              </w:rPr>
              <w:t xml:space="preserve">16 886</w:t>
            </w:r>
          </w:p>
        </w:tc>
        <w:tc>
          <w:tcPr>
            <w:tcW w:w="1191" w:type="dxa"/>
            <w:vAlign w:val="center"/>
            <w:tcBorders>
              <w:top w:val="nil"/>
              <w:left w:val="nil"/>
              <w:bottom w:val="nil"/>
              <w:right w:val="nil"/>
            </w:tcBorders>
          </w:tcPr>
          <w:p>
            <w:pPr>
              <w:pStyle w:val="0"/>
              <w:jc w:val="center"/>
            </w:pPr>
            <w:r>
              <w:rPr>
                <w:sz w:val="20"/>
              </w:rPr>
              <w:t xml:space="preserve">19 626</w:t>
            </w:r>
          </w:p>
        </w:tc>
        <w:tc>
          <w:tcPr>
            <w:tcW w:w="1247" w:type="dxa"/>
            <w:vAlign w:val="center"/>
            <w:tcBorders>
              <w:top w:val="nil"/>
              <w:left w:val="nil"/>
              <w:bottom w:val="nil"/>
              <w:right w:val="nil"/>
            </w:tcBorders>
          </w:tcPr>
          <w:p>
            <w:pPr>
              <w:pStyle w:val="0"/>
              <w:jc w:val="center"/>
            </w:pPr>
            <w:r>
              <w:rPr>
                <w:sz w:val="20"/>
              </w:rPr>
              <w:t xml:space="preserve">21 460</w:t>
            </w:r>
          </w:p>
        </w:tc>
        <w:tc>
          <w:tcPr>
            <w:tcW w:w="1020" w:type="dxa"/>
            <w:vAlign w:val="center"/>
            <w:tcBorders>
              <w:top w:val="nil"/>
              <w:left w:val="nil"/>
              <w:bottom w:val="nil"/>
              <w:right w:val="nil"/>
            </w:tcBorders>
          </w:tcPr>
          <w:p>
            <w:pPr>
              <w:pStyle w:val="0"/>
              <w:jc w:val="center"/>
            </w:pPr>
            <w:r>
              <w:rPr>
                <w:sz w:val="20"/>
              </w:rPr>
              <w:t xml:space="preserve">22 446</w:t>
            </w:r>
          </w:p>
        </w:tc>
        <w:tc>
          <w:tcPr>
            <w:tcW w:w="1020" w:type="dxa"/>
            <w:vAlign w:val="center"/>
            <w:tcBorders>
              <w:top w:val="nil"/>
              <w:left w:val="nil"/>
              <w:bottom w:val="nil"/>
              <w:right w:val="nil"/>
            </w:tcBorders>
          </w:tcPr>
          <w:p>
            <w:pPr>
              <w:pStyle w:val="0"/>
              <w:jc w:val="center"/>
            </w:pPr>
            <w:r>
              <w:rPr>
                <w:sz w:val="20"/>
              </w:rPr>
              <w:t xml:space="preserve">23 048</w:t>
            </w:r>
          </w:p>
        </w:tc>
        <w:tc>
          <w:tcPr>
            <w:tcW w:w="1020" w:type="dxa"/>
            <w:vAlign w:val="center"/>
            <w:tcBorders>
              <w:top w:val="nil"/>
              <w:left w:val="nil"/>
              <w:bottom w:val="nil"/>
              <w:right w:val="nil"/>
            </w:tcBorders>
          </w:tcPr>
          <w:p>
            <w:pPr>
              <w:pStyle w:val="0"/>
              <w:jc w:val="center"/>
            </w:pPr>
            <w:r>
              <w:rPr>
                <w:sz w:val="20"/>
              </w:rPr>
              <w:t xml:space="preserve">24 124</w:t>
            </w:r>
          </w:p>
        </w:tc>
      </w:tr>
      <w:tr>
        <w:tc>
          <w:tcPr>
            <w:tcW w:w="2154" w:type="dxa"/>
            <w:tcBorders>
              <w:top w:val="nil"/>
              <w:left w:val="nil"/>
              <w:bottom w:val="nil"/>
              <w:right w:val="nil"/>
            </w:tcBorders>
          </w:tcPr>
          <w:p>
            <w:pPr>
              <w:pStyle w:val="0"/>
              <w:ind w:left="283"/>
            </w:pPr>
            <w:r>
              <w:rPr>
                <w:sz w:val="20"/>
              </w:rPr>
              <w:t xml:space="preserve">без учета МБТ</w:t>
            </w:r>
          </w:p>
        </w:tc>
        <w:tc>
          <w:tcPr>
            <w:tcW w:w="1020" w:type="dxa"/>
            <w:vAlign w:val="center"/>
            <w:tcBorders>
              <w:top w:val="nil"/>
              <w:left w:val="nil"/>
              <w:bottom w:val="nil"/>
              <w:right w:val="nil"/>
            </w:tcBorders>
          </w:tcPr>
          <w:p>
            <w:pPr>
              <w:pStyle w:val="0"/>
              <w:jc w:val="center"/>
            </w:pPr>
            <w:r>
              <w:rPr>
                <w:sz w:val="20"/>
              </w:rPr>
              <w:t xml:space="preserve">13 457</w:t>
            </w:r>
          </w:p>
        </w:tc>
        <w:tc>
          <w:tcPr>
            <w:tcW w:w="1020" w:type="dxa"/>
            <w:vAlign w:val="center"/>
            <w:tcBorders>
              <w:top w:val="nil"/>
              <w:left w:val="nil"/>
              <w:bottom w:val="nil"/>
              <w:right w:val="nil"/>
            </w:tcBorders>
          </w:tcPr>
          <w:p>
            <w:pPr>
              <w:pStyle w:val="0"/>
              <w:jc w:val="center"/>
            </w:pPr>
            <w:r>
              <w:rPr>
                <w:sz w:val="20"/>
              </w:rPr>
              <w:t xml:space="preserve">15 460</w:t>
            </w:r>
          </w:p>
        </w:tc>
        <w:tc>
          <w:tcPr>
            <w:tcW w:w="1020" w:type="dxa"/>
            <w:vAlign w:val="center"/>
            <w:tcBorders>
              <w:top w:val="nil"/>
              <w:left w:val="nil"/>
              <w:bottom w:val="nil"/>
              <w:right w:val="nil"/>
            </w:tcBorders>
          </w:tcPr>
          <w:p>
            <w:pPr>
              <w:pStyle w:val="0"/>
              <w:jc w:val="center"/>
            </w:pPr>
            <w:r>
              <w:rPr>
                <w:sz w:val="20"/>
              </w:rPr>
              <w:t xml:space="preserve">16 785</w:t>
            </w:r>
          </w:p>
        </w:tc>
        <w:tc>
          <w:tcPr>
            <w:tcW w:w="1191" w:type="dxa"/>
            <w:vAlign w:val="center"/>
            <w:tcBorders>
              <w:top w:val="nil"/>
              <w:left w:val="nil"/>
              <w:bottom w:val="nil"/>
              <w:right w:val="nil"/>
            </w:tcBorders>
          </w:tcPr>
          <w:p>
            <w:pPr>
              <w:pStyle w:val="0"/>
              <w:jc w:val="center"/>
            </w:pPr>
            <w:r>
              <w:rPr>
                <w:sz w:val="20"/>
              </w:rPr>
              <w:t xml:space="preserve">19 429</w:t>
            </w:r>
          </w:p>
        </w:tc>
        <w:tc>
          <w:tcPr>
            <w:tcW w:w="1247" w:type="dxa"/>
            <w:vAlign w:val="center"/>
            <w:tcBorders>
              <w:top w:val="nil"/>
              <w:left w:val="nil"/>
              <w:bottom w:val="nil"/>
              <w:right w:val="nil"/>
            </w:tcBorders>
          </w:tcPr>
          <w:p>
            <w:pPr>
              <w:pStyle w:val="0"/>
              <w:jc w:val="center"/>
            </w:pPr>
            <w:r>
              <w:rPr>
                <w:sz w:val="20"/>
              </w:rPr>
              <w:t xml:space="preserve">21 193</w:t>
            </w:r>
          </w:p>
        </w:tc>
        <w:tc>
          <w:tcPr>
            <w:tcW w:w="1020" w:type="dxa"/>
            <w:vAlign w:val="center"/>
            <w:tcBorders>
              <w:top w:val="nil"/>
              <w:left w:val="nil"/>
              <w:bottom w:val="nil"/>
              <w:right w:val="nil"/>
            </w:tcBorders>
          </w:tcPr>
          <w:p>
            <w:pPr>
              <w:pStyle w:val="0"/>
              <w:jc w:val="center"/>
            </w:pPr>
            <w:r>
              <w:rPr>
                <w:sz w:val="20"/>
              </w:rPr>
              <w:t xml:space="preserve">22 144</w:t>
            </w:r>
          </w:p>
        </w:tc>
        <w:tc>
          <w:tcPr>
            <w:tcW w:w="1020" w:type="dxa"/>
            <w:vAlign w:val="center"/>
            <w:tcBorders>
              <w:top w:val="nil"/>
              <w:left w:val="nil"/>
              <w:bottom w:val="nil"/>
              <w:right w:val="nil"/>
            </w:tcBorders>
          </w:tcPr>
          <w:p>
            <w:pPr>
              <w:pStyle w:val="0"/>
              <w:jc w:val="center"/>
            </w:pPr>
            <w:r>
              <w:rPr>
                <w:sz w:val="20"/>
              </w:rPr>
              <w:t xml:space="preserve">22 717</w:t>
            </w:r>
          </w:p>
        </w:tc>
        <w:tc>
          <w:tcPr>
            <w:tcW w:w="1020" w:type="dxa"/>
            <w:vAlign w:val="center"/>
            <w:tcBorders>
              <w:top w:val="nil"/>
              <w:left w:val="nil"/>
              <w:bottom w:val="nil"/>
              <w:right w:val="nil"/>
            </w:tcBorders>
          </w:tcPr>
          <w:p>
            <w:pPr>
              <w:pStyle w:val="0"/>
              <w:jc w:val="center"/>
            </w:pPr>
            <w:r>
              <w:rPr>
                <w:sz w:val="20"/>
              </w:rPr>
              <w:t xml:space="preserve">23 709</w:t>
            </w:r>
          </w:p>
        </w:tc>
      </w:tr>
      <w:tr>
        <w:tc>
          <w:tcPr>
            <w:tcW w:w="2154" w:type="dxa"/>
            <w:tcBorders>
              <w:top w:val="nil"/>
              <w:left w:val="nil"/>
              <w:bottom w:val="nil"/>
              <w:right w:val="nil"/>
            </w:tcBorders>
          </w:tcPr>
          <w:p>
            <w:pPr>
              <w:pStyle w:val="0"/>
            </w:pPr>
            <w:r>
              <w:rPr>
                <w:sz w:val="20"/>
              </w:rPr>
              <w:t xml:space="preserve">Государственные внебюджетные фонды</w:t>
            </w:r>
          </w:p>
        </w:tc>
        <w:tc>
          <w:tcPr>
            <w:tcW w:w="1020" w:type="dxa"/>
            <w:vAlign w:val="center"/>
            <w:tcBorders>
              <w:top w:val="nil"/>
              <w:left w:val="nil"/>
              <w:bottom w:val="nil"/>
              <w:right w:val="nil"/>
            </w:tcBorders>
          </w:tcPr>
          <w:p>
            <w:pPr>
              <w:pStyle w:val="0"/>
              <w:jc w:val="center"/>
            </w:pPr>
            <w:r>
              <w:rPr>
                <w:sz w:val="20"/>
              </w:rPr>
              <w:t xml:space="preserve">11 489</w:t>
            </w:r>
          </w:p>
        </w:tc>
        <w:tc>
          <w:tcPr>
            <w:tcW w:w="1020" w:type="dxa"/>
            <w:vAlign w:val="center"/>
            <w:tcBorders>
              <w:top w:val="nil"/>
              <w:left w:val="nil"/>
              <w:bottom w:val="nil"/>
              <w:right w:val="nil"/>
            </w:tcBorders>
          </w:tcPr>
          <w:p>
            <w:pPr>
              <w:pStyle w:val="0"/>
              <w:jc w:val="center"/>
            </w:pPr>
            <w:r>
              <w:rPr>
                <w:sz w:val="20"/>
              </w:rPr>
              <w:t xml:space="preserve">13 091</w:t>
            </w:r>
          </w:p>
        </w:tc>
        <w:tc>
          <w:tcPr>
            <w:tcW w:w="1020" w:type="dxa"/>
            <w:vAlign w:val="center"/>
            <w:tcBorders>
              <w:top w:val="nil"/>
              <w:left w:val="nil"/>
              <w:bottom w:val="nil"/>
              <w:right w:val="nil"/>
            </w:tcBorders>
          </w:tcPr>
          <w:p>
            <w:pPr>
              <w:pStyle w:val="0"/>
              <w:jc w:val="center"/>
            </w:pPr>
            <w:r>
              <w:rPr>
                <w:sz w:val="20"/>
              </w:rPr>
              <w:t xml:space="preserve">13 975</w:t>
            </w:r>
          </w:p>
        </w:tc>
        <w:tc>
          <w:tcPr>
            <w:tcW w:w="1191" w:type="dxa"/>
            <w:vAlign w:val="center"/>
            <w:tcBorders>
              <w:top w:val="nil"/>
              <w:left w:val="nil"/>
              <w:bottom w:val="nil"/>
              <w:right w:val="nil"/>
            </w:tcBorders>
          </w:tcPr>
          <w:p>
            <w:pPr>
              <w:pStyle w:val="0"/>
              <w:jc w:val="center"/>
            </w:pPr>
            <w:r>
              <w:rPr>
                <w:sz w:val="20"/>
              </w:rPr>
              <w:t xml:space="preserve">15 285</w:t>
            </w:r>
          </w:p>
        </w:tc>
        <w:tc>
          <w:tcPr>
            <w:tcW w:w="1247" w:type="dxa"/>
            <w:vAlign w:val="center"/>
            <w:tcBorders>
              <w:top w:val="nil"/>
              <w:left w:val="nil"/>
              <w:bottom w:val="nil"/>
              <w:right w:val="nil"/>
            </w:tcBorders>
          </w:tcPr>
          <w:p>
            <w:pPr>
              <w:pStyle w:val="0"/>
              <w:jc w:val="center"/>
            </w:pPr>
            <w:r>
              <w:rPr>
                <w:sz w:val="20"/>
              </w:rPr>
              <w:t xml:space="preserve">16 699</w:t>
            </w:r>
          </w:p>
        </w:tc>
        <w:tc>
          <w:tcPr>
            <w:tcW w:w="1020" w:type="dxa"/>
            <w:vAlign w:val="center"/>
            <w:tcBorders>
              <w:top w:val="nil"/>
              <w:left w:val="nil"/>
              <w:bottom w:val="nil"/>
              <w:right w:val="nil"/>
            </w:tcBorders>
          </w:tcPr>
          <w:p>
            <w:pPr>
              <w:pStyle w:val="0"/>
              <w:jc w:val="center"/>
            </w:pPr>
            <w:r>
              <w:rPr>
                <w:sz w:val="20"/>
              </w:rPr>
              <w:t xml:space="preserve">20 011</w:t>
            </w:r>
          </w:p>
        </w:tc>
        <w:tc>
          <w:tcPr>
            <w:tcW w:w="1020" w:type="dxa"/>
            <w:vAlign w:val="center"/>
            <w:tcBorders>
              <w:top w:val="nil"/>
              <w:left w:val="nil"/>
              <w:bottom w:val="nil"/>
              <w:right w:val="nil"/>
            </w:tcBorders>
          </w:tcPr>
          <w:p>
            <w:pPr>
              <w:pStyle w:val="0"/>
              <w:jc w:val="center"/>
            </w:pPr>
            <w:r>
              <w:rPr>
                <w:sz w:val="20"/>
              </w:rPr>
              <w:t xml:space="preserve">20 202</w:t>
            </w:r>
          </w:p>
        </w:tc>
        <w:tc>
          <w:tcPr>
            <w:tcW w:w="1020" w:type="dxa"/>
            <w:vAlign w:val="center"/>
            <w:tcBorders>
              <w:top w:val="nil"/>
              <w:left w:val="nil"/>
              <w:bottom w:val="nil"/>
              <w:right w:val="nil"/>
            </w:tcBorders>
          </w:tcPr>
          <w:p>
            <w:pPr>
              <w:pStyle w:val="0"/>
              <w:jc w:val="center"/>
            </w:pPr>
            <w:r>
              <w:rPr>
                <w:sz w:val="20"/>
              </w:rPr>
              <w:t xml:space="preserve">21 404</w:t>
            </w:r>
          </w:p>
        </w:tc>
      </w:tr>
      <w:tr>
        <w:tc>
          <w:tcPr>
            <w:tcW w:w="2154" w:type="dxa"/>
            <w:tcBorders>
              <w:top w:val="nil"/>
              <w:left w:val="nil"/>
              <w:bottom w:val="nil"/>
              <w:right w:val="nil"/>
            </w:tcBorders>
          </w:tcPr>
          <w:p>
            <w:pPr>
              <w:pStyle w:val="0"/>
              <w:ind w:left="283"/>
            </w:pPr>
            <w:r>
              <w:rPr>
                <w:sz w:val="20"/>
              </w:rPr>
              <w:t xml:space="preserve">без учета МБТ</w:t>
            </w:r>
          </w:p>
        </w:tc>
        <w:tc>
          <w:tcPr>
            <w:tcW w:w="1020" w:type="dxa"/>
            <w:vAlign w:val="center"/>
            <w:tcBorders>
              <w:top w:val="nil"/>
              <w:left w:val="nil"/>
              <w:bottom w:val="nil"/>
              <w:right w:val="nil"/>
            </w:tcBorders>
          </w:tcPr>
          <w:p>
            <w:pPr>
              <w:pStyle w:val="0"/>
              <w:jc w:val="center"/>
            </w:pPr>
            <w:r>
              <w:rPr>
                <w:sz w:val="20"/>
              </w:rPr>
              <w:t xml:space="preserve">11 468</w:t>
            </w:r>
          </w:p>
        </w:tc>
        <w:tc>
          <w:tcPr>
            <w:tcW w:w="1020" w:type="dxa"/>
            <w:vAlign w:val="center"/>
            <w:tcBorders>
              <w:top w:val="nil"/>
              <w:left w:val="nil"/>
              <w:bottom w:val="nil"/>
              <w:right w:val="nil"/>
            </w:tcBorders>
          </w:tcPr>
          <w:p>
            <w:pPr>
              <w:pStyle w:val="0"/>
              <w:jc w:val="center"/>
            </w:pPr>
            <w:r>
              <w:rPr>
                <w:sz w:val="20"/>
              </w:rPr>
              <w:t xml:space="preserve">13 077</w:t>
            </w:r>
          </w:p>
        </w:tc>
        <w:tc>
          <w:tcPr>
            <w:tcW w:w="1020" w:type="dxa"/>
            <w:vAlign w:val="center"/>
            <w:tcBorders>
              <w:top w:val="nil"/>
              <w:left w:val="nil"/>
              <w:bottom w:val="nil"/>
              <w:right w:val="nil"/>
            </w:tcBorders>
          </w:tcPr>
          <w:p>
            <w:pPr>
              <w:pStyle w:val="0"/>
              <w:jc w:val="center"/>
            </w:pPr>
            <w:r>
              <w:rPr>
                <w:sz w:val="20"/>
              </w:rPr>
              <w:t xml:space="preserve">13 962</w:t>
            </w:r>
          </w:p>
        </w:tc>
        <w:tc>
          <w:tcPr>
            <w:tcW w:w="1191" w:type="dxa"/>
            <w:vAlign w:val="center"/>
            <w:tcBorders>
              <w:top w:val="nil"/>
              <w:left w:val="nil"/>
              <w:bottom w:val="nil"/>
              <w:right w:val="nil"/>
            </w:tcBorders>
          </w:tcPr>
          <w:p>
            <w:pPr>
              <w:pStyle w:val="0"/>
              <w:jc w:val="center"/>
            </w:pPr>
            <w:r>
              <w:rPr>
                <w:sz w:val="20"/>
              </w:rPr>
              <w:t xml:space="preserve">15 270</w:t>
            </w:r>
          </w:p>
        </w:tc>
        <w:tc>
          <w:tcPr>
            <w:tcW w:w="1247" w:type="dxa"/>
            <w:vAlign w:val="center"/>
            <w:tcBorders>
              <w:top w:val="nil"/>
              <w:left w:val="nil"/>
              <w:bottom w:val="nil"/>
              <w:right w:val="nil"/>
            </w:tcBorders>
          </w:tcPr>
          <w:p>
            <w:pPr>
              <w:pStyle w:val="0"/>
              <w:jc w:val="center"/>
            </w:pPr>
            <w:r>
              <w:rPr>
                <w:sz w:val="20"/>
              </w:rPr>
              <w:t xml:space="preserve">16 596</w:t>
            </w:r>
          </w:p>
        </w:tc>
        <w:tc>
          <w:tcPr>
            <w:tcW w:w="1020" w:type="dxa"/>
            <w:vAlign w:val="center"/>
            <w:tcBorders>
              <w:top w:val="nil"/>
              <w:left w:val="nil"/>
              <w:bottom w:val="nil"/>
              <w:right w:val="nil"/>
            </w:tcBorders>
          </w:tcPr>
          <w:p>
            <w:pPr>
              <w:pStyle w:val="0"/>
              <w:jc w:val="center"/>
            </w:pPr>
            <w:r>
              <w:rPr>
                <w:sz w:val="20"/>
              </w:rPr>
              <w:t xml:space="preserve">19 130</w:t>
            </w:r>
          </w:p>
        </w:tc>
        <w:tc>
          <w:tcPr>
            <w:tcW w:w="1020" w:type="dxa"/>
            <w:vAlign w:val="center"/>
            <w:tcBorders>
              <w:top w:val="nil"/>
              <w:left w:val="nil"/>
              <w:bottom w:val="nil"/>
              <w:right w:val="nil"/>
            </w:tcBorders>
          </w:tcPr>
          <w:p>
            <w:pPr>
              <w:pStyle w:val="0"/>
              <w:jc w:val="center"/>
            </w:pPr>
            <w:r>
              <w:rPr>
                <w:sz w:val="20"/>
              </w:rPr>
              <w:t xml:space="preserve">20 094</w:t>
            </w:r>
          </w:p>
        </w:tc>
        <w:tc>
          <w:tcPr>
            <w:tcW w:w="1020" w:type="dxa"/>
            <w:vAlign w:val="center"/>
            <w:tcBorders>
              <w:top w:val="nil"/>
              <w:left w:val="nil"/>
              <w:bottom w:val="nil"/>
              <w:right w:val="nil"/>
            </w:tcBorders>
          </w:tcPr>
          <w:p>
            <w:pPr>
              <w:pStyle w:val="0"/>
              <w:jc w:val="center"/>
            </w:pPr>
            <w:r>
              <w:rPr>
                <w:sz w:val="20"/>
              </w:rPr>
              <w:t xml:space="preserve">21 295</w:t>
            </w:r>
          </w:p>
        </w:tc>
      </w:tr>
      <w:tr>
        <w:tc>
          <w:tcPr>
            <w:tcW w:w="2154" w:type="dxa"/>
            <w:tcBorders>
              <w:top w:val="nil"/>
              <w:left w:val="nil"/>
              <w:bottom w:val="nil"/>
              <w:right w:val="nil"/>
            </w:tcBorders>
          </w:tcPr>
          <w:p>
            <w:pPr>
              <w:pStyle w:val="0"/>
              <w:ind w:left="567"/>
            </w:pPr>
            <w:r>
              <w:rPr>
                <w:sz w:val="20"/>
              </w:rPr>
              <w:t xml:space="preserve">ПФР/ФСС </w:t>
            </w:r>
            <w:hyperlink w:history="0" w:anchor="P2773" w:tooltip="&lt;***&gt; до 2023 г. аналитическое объединение параметров ПФР и ФСС">
              <w:r>
                <w:rPr>
                  <w:sz w:val="20"/>
                  <w:color w:val="0000ff"/>
                </w:rPr>
                <w:t xml:space="preserve">&lt;***&gt;</w:t>
              </w:r>
            </w:hyperlink>
          </w:p>
        </w:tc>
        <w:tc>
          <w:tcPr>
            <w:tcW w:w="1020" w:type="dxa"/>
            <w:vAlign w:val="center"/>
            <w:tcBorders>
              <w:top w:val="nil"/>
              <w:left w:val="nil"/>
              <w:bottom w:val="nil"/>
              <w:right w:val="nil"/>
            </w:tcBorders>
          </w:tcPr>
          <w:p>
            <w:pPr>
              <w:pStyle w:val="0"/>
              <w:jc w:val="center"/>
            </w:pPr>
            <w:r>
              <w:rPr>
                <w:sz w:val="20"/>
              </w:rPr>
              <w:t xml:space="preserve">9 301</w:t>
            </w:r>
          </w:p>
        </w:tc>
        <w:tc>
          <w:tcPr>
            <w:tcW w:w="1020" w:type="dxa"/>
            <w:vAlign w:val="center"/>
            <w:tcBorders>
              <w:top w:val="nil"/>
              <w:left w:val="nil"/>
              <w:bottom w:val="nil"/>
              <w:right w:val="nil"/>
            </w:tcBorders>
          </w:tcPr>
          <w:p>
            <w:pPr>
              <w:pStyle w:val="0"/>
              <w:jc w:val="center"/>
            </w:pPr>
            <w:r>
              <w:rPr>
                <w:sz w:val="20"/>
              </w:rPr>
              <w:t xml:space="preserve">10 731</w:t>
            </w:r>
          </w:p>
        </w:tc>
        <w:tc>
          <w:tcPr>
            <w:tcW w:w="1020" w:type="dxa"/>
            <w:vAlign w:val="center"/>
            <w:tcBorders>
              <w:top w:val="nil"/>
              <w:left w:val="nil"/>
              <w:bottom w:val="nil"/>
              <w:right w:val="nil"/>
            </w:tcBorders>
          </w:tcPr>
          <w:p>
            <w:pPr>
              <w:pStyle w:val="0"/>
              <w:jc w:val="center"/>
            </w:pPr>
            <w:r>
              <w:rPr>
                <w:sz w:val="20"/>
              </w:rPr>
              <w:t xml:space="preserve">11 406</w:t>
            </w:r>
          </w:p>
        </w:tc>
        <w:tc>
          <w:tcPr>
            <w:tcW w:w="1191" w:type="dxa"/>
            <w:vAlign w:val="center"/>
            <w:tcBorders>
              <w:top w:val="nil"/>
              <w:left w:val="nil"/>
              <w:bottom w:val="nil"/>
              <w:right w:val="nil"/>
            </w:tcBorders>
          </w:tcPr>
          <w:p>
            <w:pPr>
              <w:pStyle w:val="0"/>
              <w:jc w:val="center"/>
            </w:pPr>
            <w:r>
              <w:rPr>
                <w:sz w:val="20"/>
              </w:rPr>
              <w:t xml:space="preserve">12 487</w:t>
            </w:r>
          </w:p>
        </w:tc>
        <w:tc>
          <w:tcPr>
            <w:tcW w:w="1247" w:type="dxa"/>
            <w:vAlign w:val="center"/>
            <w:tcBorders>
              <w:top w:val="nil"/>
              <w:left w:val="nil"/>
              <w:bottom w:val="nil"/>
              <w:right w:val="nil"/>
            </w:tcBorders>
          </w:tcPr>
          <w:p>
            <w:pPr>
              <w:pStyle w:val="0"/>
              <w:jc w:val="center"/>
            </w:pPr>
            <w:r>
              <w:rPr>
                <w:sz w:val="20"/>
              </w:rPr>
              <w:t xml:space="preserve">13 464</w:t>
            </w:r>
          </w:p>
        </w:tc>
        <w:tc>
          <w:tcPr>
            <w:tcW w:w="1020" w:type="dxa"/>
            <w:vAlign w:val="center"/>
            <w:tcBorders>
              <w:top w:val="nil"/>
              <w:left w:val="nil"/>
              <w:bottom w:val="nil"/>
              <w:right w:val="nil"/>
            </w:tcBorders>
          </w:tcPr>
          <w:p>
            <w:pPr>
              <w:pStyle w:val="0"/>
              <w:jc w:val="center"/>
            </w:pPr>
            <w:r>
              <w:rPr>
                <w:sz w:val="20"/>
              </w:rPr>
              <w:t xml:space="preserve">15 501</w:t>
            </w:r>
          </w:p>
        </w:tc>
        <w:tc>
          <w:tcPr>
            <w:tcW w:w="1020" w:type="dxa"/>
            <w:vAlign w:val="center"/>
            <w:tcBorders>
              <w:top w:val="nil"/>
              <w:left w:val="nil"/>
              <w:bottom w:val="nil"/>
              <w:right w:val="nil"/>
            </w:tcBorders>
          </w:tcPr>
          <w:p>
            <w:pPr>
              <w:pStyle w:val="0"/>
              <w:jc w:val="center"/>
            </w:pPr>
            <w:r>
              <w:rPr>
                <w:sz w:val="20"/>
              </w:rPr>
              <w:t xml:space="preserve">16 237</w:t>
            </w:r>
          </w:p>
        </w:tc>
        <w:tc>
          <w:tcPr>
            <w:tcW w:w="1020" w:type="dxa"/>
            <w:vAlign w:val="center"/>
            <w:tcBorders>
              <w:top w:val="nil"/>
              <w:left w:val="nil"/>
              <w:bottom w:val="nil"/>
              <w:right w:val="nil"/>
            </w:tcBorders>
          </w:tcPr>
          <w:p>
            <w:pPr>
              <w:pStyle w:val="0"/>
              <w:jc w:val="center"/>
            </w:pPr>
            <w:r>
              <w:rPr>
                <w:sz w:val="20"/>
              </w:rPr>
              <w:t xml:space="preserve">17 193</w:t>
            </w:r>
          </w:p>
        </w:tc>
      </w:tr>
      <w:tr>
        <w:tc>
          <w:tcPr>
            <w:tcW w:w="2154" w:type="dxa"/>
            <w:tcBorders>
              <w:top w:val="nil"/>
              <w:left w:val="nil"/>
              <w:bottom w:val="nil"/>
              <w:right w:val="nil"/>
            </w:tcBorders>
          </w:tcPr>
          <w:p>
            <w:pPr>
              <w:pStyle w:val="0"/>
              <w:ind w:left="567"/>
            </w:pPr>
            <w:r>
              <w:rPr>
                <w:sz w:val="20"/>
              </w:rPr>
              <w:t xml:space="preserve">ФОМС</w:t>
            </w:r>
          </w:p>
        </w:tc>
        <w:tc>
          <w:tcPr>
            <w:tcW w:w="1020" w:type="dxa"/>
            <w:vAlign w:val="center"/>
            <w:tcBorders>
              <w:top w:val="nil"/>
              <w:left w:val="nil"/>
              <w:bottom w:val="nil"/>
              <w:right w:val="nil"/>
            </w:tcBorders>
          </w:tcPr>
          <w:p>
            <w:pPr>
              <w:pStyle w:val="0"/>
              <w:jc w:val="center"/>
            </w:pPr>
            <w:r>
              <w:rPr>
                <w:sz w:val="20"/>
              </w:rPr>
              <w:t xml:space="preserve">2 187</w:t>
            </w:r>
          </w:p>
        </w:tc>
        <w:tc>
          <w:tcPr>
            <w:tcW w:w="1020" w:type="dxa"/>
            <w:vAlign w:val="center"/>
            <w:tcBorders>
              <w:top w:val="nil"/>
              <w:left w:val="nil"/>
              <w:bottom w:val="nil"/>
              <w:right w:val="nil"/>
            </w:tcBorders>
          </w:tcPr>
          <w:p>
            <w:pPr>
              <w:pStyle w:val="0"/>
              <w:jc w:val="center"/>
            </w:pPr>
            <w:r>
              <w:rPr>
                <w:sz w:val="20"/>
              </w:rPr>
              <w:t xml:space="preserve">2 360</w:t>
            </w:r>
          </w:p>
        </w:tc>
        <w:tc>
          <w:tcPr>
            <w:tcW w:w="1020" w:type="dxa"/>
            <w:vAlign w:val="center"/>
            <w:tcBorders>
              <w:top w:val="nil"/>
              <w:left w:val="nil"/>
              <w:bottom w:val="nil"/>
              <w:right w:val="nil"/>
            </w:tcBorders>
          </w:tcPr>
          <w:p>
            <w:pPr>
              <w:pStyle w:val="0"/>
              <w:jc w:val="center"/>
            </w:pPr>
            <w:r>
              <w:rPr>
                <w:sz w:val="20"/>
              </w:rPr>
              <w:t xml:space="preserve">2 570</w:t>
            </w:r>
          </w:p>
        </w:tc>
        <w:tc>
          <w:tcPr>
            <w:tcW w:w="1191" w:type="dxa"/>
            <w:vAlign w:val="center"/>
            <w:tcBorders>
              <w:top w:val="nil"/>
              <w:left w:val="nil"/>
              <w:bottom w:val="nil"/>
              <w:right w:val="nil"/>
            </w:tcBorders>
          </w:tcPr>
          <w:p>
            <w:pPr>
              <w:pStyle w:val="0"/>
              <w:jc w:val="center"/>
            </w:pPr>
            <w:r>
              <w:rPr>
                <w:sz w:val="20"/>
              </w:rPr>
              <w:t xml:space="preserve">2 797</w:t>
            </w:r>
          </w:p>
        </w:tc>
        <w:tc>
          <w:tcPr>
            <w:tcW w:w="1247" w:type="dxa"/>
            <w:vAlign w:val="center"/>
            <w:tcBorders>
              <w:top w:val="nil"/>
              <w:left w:val="nil"/>
              <w:bottom w:val="nil"/>
              <w:right w:val="nil"/>
            </w:tcBorders>
          </w:tcPr>
          <w:p>
            <w:pPr>
              <w:pStyle w:val="0"/>
              <w:jc w:val="center"/>
            </w:pPr>
            <w:r>
              <w:rPr>
                <w:sz w:val="20"/>
              </w:rPr>
              <w:t xml:space="preserve">3 235</w:t>
            </w:r>
          </w:p>
        </w:tc>
        <w:tc>
          <w:tcPr>
            <w:tcW w:w="1020" w:type="dxa"/>
            <w:vAlign w:val="center"/>
            <w:tcBorders>
              <w:top w:val="nil"/>
              <w:left w:val="nil"/>
              <w:bottom w:val="nil"/>
              <w:right w:val="nil"/>
            </w:tcBorders>
          </w:tcPr>
          <w:p>
            <w:pPr>
              <w:pStyle w:val="0"/>
              <w:jc w:val="center"/>
            </w:pPr>
            <w:r>
              <w:rPr>
                <w:sz w:val="20"/>
              </w:rPr>
              <w:t xml:space="preserve">3 886</w:t>
            </w:r>
          </w:p>
        </w:tc>
        <w:tc>
          <w:tcPr>
            <w:tcW w:w="1020" w:type="dxa"/>
            <w:vAlign w:val="center"/>
            <w:tcBorders>
              <w:top w:val="nil"/>
              <w:left w:val="nil"/>
              <w:bottom w:val="nil"/>
              <w:right w:val="nil"/>
            </w:tcBorders>
          </w:tcPr>
          <w:p>
            <w:pPr>
              <w:pStyle w:val="0"/>
              <w:jc w:val="center"/>
            </w:pPr>
            <w:r>
              <w:rPr>
                <w:sz w:val="20"/>
              </w:rPr>
              <w:t xml:space="preserve">3 966</w:t>
            </w:r>
          </w:p>
        </w:tc>
        <w:tc>
          <w:tcPr>
            <w:tcW w:w="1020" w:type="dxa"/>
            <w:vAlign w:val="center"/>
            <w:tcBorders>
              <w:top w:val="nil"/>
              <w:left w:val="nil"/>
              <w:bottom w:val="nil"/>
              <w:right w:val="nil"/>
            </w:tcBorders>
          </w:tcPr>
          <w:p>
            <w:pPr>
              <w:pStyle w:val="0"/>
              <w:jc w:val="center"/>
            </w:pPr>
            <w:r>
              <w:rPr>
                <w:sz w:val="20"/>
              </w:rPr>
              <w:t xml:space="preserve">4 210</w:t>
            </w:r>
          </w:p>
        </w:tc>
      </w:tr>
      <w:tr>
        <w:tc>
          <w:tcPr>
            <w:tcW w:w="2154" w:type="dxa"/>
            <w:tcBorders>
              <w:top w:val="nil"/>
              <w:left w:val="nil"/>
              <w:bottom w:val="nil"/>
              <w:right w:val="nil"/>
            </w:tcBorders>
          </w:tcPr>
          <w:p>
            <w:pPr>
              <w:pStyle w:val="0"/>
              <w:ind w:left="567"/>
            </w:pPr>
            <w:r>
              <w:rPr>
                <w:sz w:val="20"/>
              </w:rPr>
              <w:t xml:space="preserve">без учета МБТ</w:t>
            </w:r>
          </w:p>
        </w:tc>
        <w:tc>
          <w:tcPr>
            <w:tcW w:w="1020" w:type="dxa"/>
            <w:vAlign w:val="center"/>
            <w:tcBorders>
              <w:top w:val="nil"/>
              <w:left w:val="nil"/>
              <w:bottom w:val="nil"/>
              <w:right w:val="nil"/>
            </w:tcBorders>
          </w:tcPr>
          <w:p>
            <w:pPr>
              <w:pStyle w:val="0"/>
              <w:jc w:val="center"/>
            </w:pPr>
            <w:r>
              <w:rPr>
                <w:sz w:val="20"/>
              </w:rPr>
              <w:t xml:space="preserve">2 167</w:t>
            </w:r>
          </w:p>
        </w:tc>
        <w:tc>
          <w:tcPr>
            <w:tcW w:w="1020" w:type="dxa"/>
            <w:vAlign w:val="center"/>
            <w:tcBorders>
              <w:top w:val="nil"/>
              <w:left w:val="nil"/>
              <w:bottom w:val="nil"/>
              <w:right w:val="nil"/>
            </w:tcBorders>
          </w:tcPr>
          <w:p>
            <w:pPr>
              <w:pStyle w:val="0"/>
              <w:jc w:val="center"/>
            </w:pPr>
            <w:r>
              <w:rPr>
                <w:sz w:val="20"/>
              </w:rPr>
              <w:t xml:space="preserve">2 347</w:t>
            </w:r>
          </w:p>
        </w:tc>
        <w:tc>
          <w:tcPr>
            <w:tcW w:w="1020" w:type="dxa"/>
            <w:vAlign w:val="center"/>
            <w:tcBorders>
              <w:top w:val="nil"/>
              <w:left w:val="nil"/>
              <w:bottom w:val="nil"/>
              <w:right w:val="nil"/>
            </w:tcBorders>
          </w:tcPr>
          <w:p>
            <w:pPr>
              <w:pStyle w:val="0"/>
              <w:jc w:val="center"/>
            </w:pPr>
            <w:r>
              <w:rPr>
                <w:sz w:val="20"/>
              </w:rPr>
              <w:t xml:space="preserve">2 556</w:t>
            </w:r>
          </w:p>
        </w:tc>
        <w:tc>
          <w:tcPr>
            <w:tcW w:w="1191" w:type="dxa"/>
            <w:vAlign w:val="center"/>
            <w:tcBorders>
              <w:top w:val="nil"/>
              <w:left w:val="nil"/>
              <w:bottom w:val="nil"/>
              <w:right w:val="nil"/>
            </w:tcBorders>
          </w:tcPr>
          <w:p>
            <w:pPr>
              <w:pStyle w:val="0"/>
              <w:jc w:val="center"/>
            </w:pPr>
            <w:r>
              <w:rPr>
                <w:sz w:val="20"/>
              </w:rPr>
              <w:t xml:space="preserve">2 783</w:t>
            </w:r>
          </w:p>
        </w:tc>
        <w:tc>
          <w:tcPr>
            <w:tcW w:w="1247" w:type="dxa"/>
            <w:vAlign w:val="center"/>
            <w:tcBorders>
              <w:top w:val="nil"/>
              <w:left w:val="nil"/>
              <w:bottom w:val="nil"/>
              <w:right w:val="nil"/>
            </w:tcBorders>
          </w:tcPr>
          <w:p>
            <w:pPr>
              <w:pStyle w:val="0"/>
              <w:jc w:val="center"/>
            </w:pPr>
            <w:r>
              <w:rPr>
                <w:sz w:val="20"/>
              </w:rPr>
              <w:t xml:space="preserve">3 132</w:t>
            </w:r>
          </w:p>
        </w:tc>
        <w:tc>
          <w:tcPr>
            <w:tcW w:w="1020" w:type="dxa"/>
            <w:vAlign w:val="center"/>
            <w:tcBorders>
              <w:top w:val="nil"/>
              <w:left w:val="nil"/>
              <w:bottom w:val="nil"/>
              <w:right w:val="nil"/>
            </w:tcBorders>
          </w:tcPr>
          <w:p>
            <w:pPr>
              <w:pStyle w:val="0"/>
              <w:jc w:val="center"/>
            </w:pPr>
            <w:r>
              <w:rPr>
                <w:sz w:val="20"/>
              </w:rPr>
              <w:t xml:space="preserve">3 629</w:t>
            </w:r>
          </w:p>
        </w:tc>
        <w:tc>
          <w:tcPr>
            <w:tcW w:w="1020" w:type="dxa"/>
            <w:vAlign w:val="center"/>
            <w:tcBorders>
              <w:top w:val="nil"/>
              <w:left w:val="nil"/>
              <w:bottom w:val="nil"/>
              <w:right w:val="nil"/>
            </w:tcBorders>
          </w:tcPr>
          <w:p>
            <w:pPr>
              <w:pStyle w:val="0"/>
              <w:jc w:val="center"/>
            </w:pPr>
            <w:r>
              <w:rPr>
                <w:sz w:val="20"/>
              </w:rPr>
              <w:t xml:space="preserve">3 857</w:t>
            </w:r>
          </w:p>
        </w:tc>
        <w:tc>
          <w:tcPr>
            <w:tcW w:w="1020" w:type="dxa"/>
            <w:vAlign w:val="center"/>
            <w:tcBorders>
              <w:top w:val="nil"/>
              <w:left w:val="nil"/>
              <w:bottom w:val="nil"/>
              <w:right w:val="nil"/>
            </w:tcBorders>
          </w:tcPr>
          <w:p>
            <w:pPr>
              <w:pStyle w:val="0"/>
              <w:jc w:val="center"/>
            </w:pPr>
            <w:r>
              <w:rPr>
                <w:sz w:val="20"/>
              </w:rPr>
              <w:t xml:space="preserve">4 102</w:t>
            </w:r>
          </w:p>
        </w:tc>
      </w:tr>
      <w:tr>
        <w:tc>
          <w:tcPr>
            <w:tcW w:w="2154" w:type="dxa"/>
            <w:tcBorders>
              <w:top w:val="nil"/>
              <w:left w:val="nil"/>
              <w:bottom w:val="nil"/>
              <w:right w:val="nil"/>
            </w:tcBorders>
          </w:tcPr>
          <w:p>
            <w:pPr>
              <w:pStyle w:val="0"/>
            </w:pPr>
            <w:r>
              <w:rPr>
                <w:sz w:val="20"/>
              </w:rPr>
              <w:t xml:space="preserve">Дефицит, всего</w:t>
            </w:r>
          </w:p>
        </w:tc>
        <w:tc>
          <w:tcPr>
            <w:tcW w:w="1020" w:type="dxa"/>
            <w:vAlign w:val="center"/>
            <w:tcBorders>
              <w:top w:val="nil"/>
              <w:left w:val="nil"/>
              <w:bottom w:val="nil"/>
              <w:right w:val="nil"/>
            </w:tcBorders>
          </w:tcPr>
          <w:p>
            <w:pPr>
              <w:pStyle w:val="0"/>
              <w:jc w:val="center"/>
            </w:pPr>
            <w:r>
              <w:rPr>
                <w:sz w:val="20"/>
              </w:rPr>
              <w:t xml:space="preserve">2 105</w:t>
            </w:r>
          </w:p>
        </w:tc>
        <w:tc>
          <w:tcPr>
            <w:tcW w:w="1020" w:type="dxa"/>
            <w:vAlign w:val="center"/>
            <w:tcBorders>
              <w:top w:val="nil"/>
              <w:left w:val="nil"/>
              <w:bottom w:val="nil"/>
              <w:right w:val="nil"/>
            </w:tcBorders>
          </w:tcPr>
          <w:p>
            <w:pPr>
              <w:pStyle w:val="0"/>
              <w:jc w:val="center"/>
            </w:pPr>
            <w:r>
              <w:rPr>
                <w:sz w:val="20"/>
              </w:rPr>
              <w:t xml:space="preserve">-4 315</w:t>
            </w:r>
          </w:p>
        </w:tc>
        <w:tc>
          <w:tcPr>
            <w:tcW w:w="1020" w:type="dxa"/>
            <w:vAlign w:val="center"/>
            <w:tcBorders>
              <w:top w:val="nil"/>
              <w:left w:val="nil"/>
              <w:bottom w:val="nil"/>
              <w:right w:val="nil"/>
            </w:tcBorders>
          </w:tcPr>
          <w:p>
            <w:pPr>
              <w:pStyle w:val="0"/>
              <w:jc w:val="center"/>
            </w:pPr>
            <w:r>
              <w:rPr>
                <w:sz w:val="20"/>
              </w:rPr>
              <w:t xml:space="preserve">1 020</w:t>
            </w:r>
          </w:p>
        </w:tc>
        <w:tc>
          <w:tcPr>
            <w:tcW w:w="1191" w:type="dxa"/>
            <w:vAlign w:val="center"/>
            <w:tcBorders>
              <w:top w:val="nil"/>
              <w:left w:val="nil"/>
              <w:bottom w:val="nil"/>
              <w:right w:val="nil"/>
            </w:tcBorders>
          </w:tcPr>
          <w:p>
            <w:pPr>
              <w:pStyle w:val="0"/>
              <w:jc w:val="center"/>
            </w:pPr>
            <w:r>
              <w:rPr>
                <w:sz w:val="20"/>
              </w:rPr>
              <w:t xml:space="preserve">-2 153</w:t>
            </w:r>
          </w:p>
        </w:tc>
        <w:tc>
          <w:tcPr>
            <w:tcW w:w="1247" w:type="dxa"/>
            <w:vAlign w:val="center"/>
            <w:tcBorders>
              <w:top w:val="nil"/>
              <w:left w:val="nil"/>
              <w:bottom w:val="nil"/>
              <w:right w:val="nil"/>
            </w:tcBorders>
          </w:tcPr>
          <w:p>
            <w:pPr>
              <w:pStyle w:val="0"/>
              <w:jc w:val="center"/>
            </w:pPr>
            <w:r>
              <w:rPr>
                <w:sz w:val="20"/>
              </w:rPr>
              <w:t xml:space="preserve">-4 442</w:t>
            </w:r>
          </w:p>
        </w:tc>
        <w:tc>
          <w:tcPr>
            <w:tcW w:w="1020" w:type="dxa"/>
            <w:vAlign w:val="center"/>
            <w:tcBorders>
              <w:top w:val="nil"/>
              <w:left w:val="nil"/>
              <w:bottom w:val="nil"/>
              <w:right w:val="nil"/>
            </w:tcBorders>
          </w:tcPr>
          <w:p>
            <w:pPr>
              <w:pStyle w:val="0"/>
              <w:jc w:val="center"/>
            </w:pPr>
            <w:r>
              <w:rPr>
                <w:sz w:val="20"/>
              </w:rPr>
              <w:t xml:space="preserve">-1 988</w:t>
            </w:r>
          </w:p>
        </w:tc>
        <w:tc>
          <w:tcPr>
            <w:tcW w:w="1020" w:type="dxa"/>
            <w:vAlign w:val="center"/>
            <w:tcBorders>
              <w:top w:val="nil"/>
              <w:left w:val="nil"/>
              <w:bottom w:val="nil"/>
              <w:right w:val="nil"/>
            </w:tcBorders>
          </w:tcPr>
          <w:p>
            <w:pPr>
              <w:pStyle w:val="0"/>
              <w:jc w:val="center"/>
            </w:pPr>
            <w:r>
              <w:rPr>
                <w:sz w:val="20"/>
              </w:rPr>
              <w:t xml:space="preserve">-816</w:t>
            </w:r>
          </w:p>
        </w:tc>
        <w:tc>
          <w:tcPr>
            <w:tcW w:w="1020" w:type="dxa"/>
            <w:vAlign w:val="center"/>
            <w:tcBorders>
              <w:top w:val="nil"/>
              <w:left w:val="nil"/>
              <w:bottom w:val="nil"/>
              <w:right w:val="nil"/>
            </w:tcBorders>
          </w:tcPr>
          <w:p>
            <w:pPr>
              <w:pStyle w:val="0"/>
              <w:jc w:val="center"/>
            </w:pPr>
            <w:r>
              <w:rPr>
                <w:sz w:val="20"/>
              </w:rPr>
              <w:t xml:space="preserve">-1 440</w:t>
            </w:r>
          </w:p>
        </w:tc>
      </w:tr>
      <w:tr>
        <w:tc>
          <w:tcPr>
            <w:tcW w:w="2154" w:type="dxa"/>
            <w:tcBorders>
              <w:top w:val="nil"/>
              <w:left w:val="nil"/>
              <w:bottom w:val="single" w:sz="4"/>
              <w:right w:val="nil"/>
            </w:tcBorders>
          </w:tcPr>
          <w:p>
            <w:pPr>
              <w:pStyle w:val="0"/>
            </w:pPr>
            <w:r>
              <w:rPr>
                <w:sz w:val="20"/>
              </w:rPr>
              <w:t xml:space="preserve">%% ВВП</w:t>
            </w:r>
          </w:p>
        </w:tc>
        <w:tc>
          <w:tcPr>
            <w:tcW w:w="1020" w:type="dxa"/>
            <w:vAlign w:val="center"/>
            <w:tcBorders>
              <w:top w:val="nil"/>
              <w:left w:val="nil"/>
              <w:bottom w:val="single" w:sz="4"/>
              <w:right w:val="nil"/>
            </w:tcBorders>
          </w:tcPr>
          <w:p>
            <w:pPr>
              <w:pStyle w:val="0"/>
              <w:jc w:val="center"/>
            </w:pPr>
            <w:r>
              <w:rPr>
                <w:sz w:val="20"/>
              </w:rPr>
              <w:t xml:space="preserve">1,9</w:t>
            </w:r>
          </w:p>
        </w:tc>
        <w:tc>
          <w:tcPr>
            <w:tcW w:w="1020" w:type="dxa"/>
            <w:vAlign w:val="center"/>
            <w:tcBorders>
              <w:top w:val="nil"/>
              <w:left w:val="nil"/>
              <w:bottom w:val="single" w:sz="4"/>
              <w:right w:val="nil"/>
            </w:tcBorders>
          </w:tcPr>
          <w:p>
            <w:pPr>
              <w:pStyle w:val="0"/>
              <w:jc w:val="center"/>
            </w:pPr>
            <w:r>
              <w:rPr>
                <w:sz w:val="20"/>
              </w:rPr>
              <w:t xml:space="preserve">-4,0</w:t>
            </w:r>
          </w:p>
        </w:tc>
        <w:tc>
          <w:tcPr>
            <w:tcW w:w="1020" w:type="dxa"/>
            <w:vAlign w:val="center"/>
            <w:tcBorders>
              <w:top w:val="nil"/>
              <w:left w:val="nil"/>
              <w:bottom w:val="single" w:sz="4"/>
              <w:right w:val="nil"/>
            </w:tcBorders>
          </w:tcPr>
          <w:p>
            <w:pPr>
              <w:pStyle w:val="0"/>
              <w:jc w:val="center"/>
            </w:pPr>
            <w:r>
              <w:rPr>
                <w:sz w:val="20"/>
              </w:rPr>
              <w:t xml:space="preserve">0,8</w:t>
            </w:r>
          </w:p>
        </w:tc>
        <w:tc>
          <w:tcPr>
            <w:tcW w:w="1191" w:type="dxa"/>
            <w:vAlign w:val="center"/>
            <w:tcBorders>
              <w:top w:val="nil"/>
              <w:left w:val="nil"/>
              <w:bottom w:val="single" w:sz="4"/>
              <w:right w:val="nil"/>
            </w:tcBorders>
          </w:tcPr>
          <w:p>
            <w:pPr>
              <w:pStyle w:val="0"/>
              <w:jc w:val="center"/>
            </w:pPr>
            <w:r>
              <w:rPr>
                <w:sz w:val="20"/>
              </w:rPr>
              <w:t xml:space="preserve">-1,4</w:t>
            </w:r>
          </w:p>
        </w:tc>
        <w:tc>
          <w:tcPr>
            <w:tcW w:w="1247" w:type="dxa"/>
            <w:vAlign w:val="center"/>
            <w:tcBorders>
              <w:top w:val="nil"/>
              <w:left w:val="nil"/>
              <w:bottom w:val="single" w:sz="4"/>
              <w:right w:val="nil"/>
            </w:tcBorders>
          </w:tcPr>
          <w:p>
            <w:pPr>
              <w:pStyle w:val="0"/>
              <w:jc w:val="center"/>
            </w:pPr>
            <w:r>
              <w:rPr>
                <w:sz w:val="20"/>
              </w:rPr>
              <w:t xml:space="preserve">-2,7</w:t>
            </w:r>
          </w:p>
        </w:tc>
        <w:tc>
          <w:tcPr>
            <w:tcW w:w="1020" w:type="dxa"/>
            <w:vAlign w:val="center"/>
            <w:tcBorders>
              <w:top w:val="nil"/>
              <w:left w:val="nil"/>
              <w:bottom w:val="single" w:sz="4"/>
              <w:right w:val="nil"/>
            </w:tcBorders>
          </w:tcPr>
          <w:p>
            <w:pPr>
              <w:pStyle w:val="0"/>
              <w:jc w:val="center"/>
            </w:pPr>
            <w:r>
              <w:rPr>
                <w:sz w:val="20"/>
              </w:rPr>
              <w:t xml:space="preserve">-1,1</w:t>
            </w:r>
          </w:p>
        </w:tc>
        <w:tc>
          <w:tcPr>
            <w:tcW w:w="1020" w:type="dxa"/>
            <w:vAlign w:val="center"/>
            <w:tcBorders>
              <w:top w:val="nil"/>
              <w:left w:val="nil"/>
              <w:bottom w:val="single" w:sz="4"/>
              <w:right w:val="nil"/>
            </w:tcBorders>
          </w:tcPr>
          <w:p>
            <w:pPr>
              <w:pStyle w:val="0"/>
              <w:jc w:val="center"/>
            </w:pPr>
            <w:r>
              <w:rPr>
                <w:sz w:val="20"/>
              </w:rPr>
              <w:t xml:space="preserve">-0,4</w:t>
            </w:r>
          </w:p>
        </w:tc>
        <w:tc>
          <w:tcPr>
            <w:tcW w:w="1020" w:type="dxa"/>
            <w:vAlign w:val="center"/>
            <w:tcBorders>
              <w:top w:val="nil"/>
              <w:left w:val="nil"/>
              <w:bottom w:val="single" w:sz="4"/>
              <w:right w:val="nil"/>
            </w:tcBorders>
          </w:tcPr>
          <w:p>
            <w:pPr>
              <w:pStyle w:val="0"/>
              <w:jc w:val="center"/>
            </w:pPr>
            <w:r>
              <w:rPr>
                <w:sz w:val="20"/>
              </w:rPr>
              <w:t xml:space="preserve">-0,7</w:t>
            </w:r>
          </w:p>
        </w:tc>
      </w:tr>
    </w:tbl>
    <w:p>
      <w:pPr>
        <w:sectPr>
          <w:headerReference w:type="default" r:id="rId28"/>
          <w:headerReference w:type="first" r:id="rId28"/>
          <w:footerReference w:type="default" r:id="rId29"/>
          <w:footerReference w:type="first" r:id="rId2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2771" w:name="P2771"/>
    <w:bookmarkEnd w:id="2771"/>
    <w:p>
      <w:pPr>
        <w:pStyle w:val="0"/>
        <w:spacing w:before="200" w:line-rule="auto"/>
        <w:ind w:firstLine="540"/>
        <w:jc w:val="both"/>
      </w:pPr>
      <w:r>
        <w:rPr>
          <w:sz w:val="20"/>
        </w:rPr>
        <w:t xml:space="preserve">&lt;*&gt; без учета накопительной составляющей пенсионной системы;</w:t>
      </w:r>
    </w:p>
    <w:bookmarkStart w:id="2772" w:name="P2772"/>
    <w:bookmarkEnd w:id="2772"/>
    <w:p>
      <w:pPr>
        <w:pStyle w:val="0"/>
        <w:spacing w:before="200" w:line-rule="auto"/>
        <w:ind w:firstLine="540"/>
        <w:jc w:val="both"/>
      </w:pPr>
      <w:r>
        <w:rPr>
          <w:sz w:val="20"/>
        </w:rPr>
        <w:t xml:space="preserve">&lt;**&gt; оценка;</w:t>
      </w:r>
    </w:p>
    <w:bookmarkStart w:id="2773" w:name="P2773"/>
    <w:bookmarkEnd w:id="2773"/>
    <w:p>
      <w:pPr>
        <w:pStyle w:val="0"/>
        <w:spacing w:before="200" w:line-rule="auto"/>
        <w:ind w:firstLine="540"/>
        <w:jc w:val="both"/>
      </w:pPr>
      <w:r>
        <w:rPr>
          <w:sz w:val="20"/>
        </w:rPr>
        <w:t xml:space="preserve">&lt;***&gt; до 2023 г. аналитическое объединение параметров ПФР и ФСС</w:t>
      </w:r>
    </w:p>
    <w:p>
      <w:pPr>
        <w:pStyle w:val="0"/>
        <w:jc w:val="both"/>
      </w:pPr>
      <w:r>
        <w:rPr>
          <w:sz w:val="20"/>
        </w:rPr>
      </w:r>
    </w:p>
    <w:p>
      <w:pPr>
        <w:pStyle w:val="0"/>
        <w:ind w:firstLine="540"/>
        <w:jc w:val="both"/>
      </w:pPr>
      <w:r>
        <w:rPr>
          <w:sz w:val="20"/>
        </w:rPr>
        <w:t xml:space="preserve">В структуре расходов бюджетов бюджетной системы по разделам классификации расходов в 2024 - 2026 гг. основную долю продолжат занимать расходы на социальную политику (порядка 11,4% ВВП в среднем за 2024 - 2026 гг.). Расходы на человеческий капитал (образование, здравоохранение) в течение планового периода ожидаются на уровне 7,1% ВВП.</w:t>
      </w:r>
    </w:p>
    <w:p>
      <w:pPr>
        <w:pStyle w:val="0"/>
        <w:jc w:val="both"/>
      </w:pPr>
      <w:r>
        <w:rPr>
          <w:sz w:val="20"/>
        </w:rPr>
      </w:r>
    </w:p>
    <w:p>
      <w:pPr>
        <w:pStyle w:val="0"/>
        <w:jc w:val="center"/>
      </w:pPr>
      <w:r>
        <w:rPr>
          <w:sz w:val="20"/>
        </w:rPr>
        <w:t xml:space="preserve">Таблица 4.4.2. Структура расходов бюджетов бюджетной системы</w:t>
      </w:r>
    </w:p>
    <w:p>
      <w:pPr>
        <w:pStyle w:val="0"/>
        <w:jc w:val="center"/>
      </w:pPr>
      <w:r>
        <w:rPr>
          <w:sz w:val="20"/>
        </w:rPr>
        <w:t xml:space="preserve">в 2019 - 2026 гг. </w:t>
      </w:r>
      <w:hyperlink w:history="0" w:anchor="P3046" w:tooltip="&lt;*&gt; без учета накопительной составляющей пенсионной системы;">
        <w:r>
          <w:rPr>
            <w:sz w:val="20"/>
            <w:color w:val="0000ff"/>
          </w:rPr>
          <w:t xml:space="preserve">&lt;*&gt;</w:t>
        </w:r>
      </w:hyperlink>
    </w:p>
    <w:p>
      <w:pPr>
        <w:pStyle w:val="0"/>
        <w:jc w:val="both"/>
      </w:pPr>
      <w:r>
        <w:rPr>
          <w:sz w:val="20"/>
        </w:rPr>
      </w:r>
    </w:p>
    <w:p>
      <w:pPr>
        <w:pStyle w:val="0"/>
        <w:jc w:val="right"/>
      </w:pPr>
      <w:r>
        <w:rPr>
          <w:sz w:val="20"/>
        </w:rPr>
        <w:t xml:space="preserve">млрд рублей</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1984"/>
        <w:gridCol w:w="850"/>
        <w:gridCol w:w="680"/>
        <w:gridCol w:w="850"/>
        <w:gridCol w:w="624"/>
        <w:gridCol w:w="794"/>
        <w:gridCol w:w="624"/>
        <w:gridCol w:w="850"/>
        <w:gridCol w:w="624"/>
        <w:gridCol w:w="794"/>
        <w:gridCol w:w="624"/>
        <w:gridCol w:w="850"/>
        <w:gridCol w:w="624"/>
        <w:gridCol w:w="850"/>
        <w:gridCol w:w="624"/>
      </w:tblGrid>
      <w:tr>
        <w:tblPrEx>
          <w:tblBorders>
            <w:insideH w:val="single" w:sz="4"/>
          </w:tblBorders>
        </w:tblPrEx>
        <w:tc>
          <w:tcPr>
            <w:tcW w:w="1984" w:type="dxa"/>
            <w:tcBorders>
              <w:top w:val="single" w:sz="4"/>
              <w:left w:val="nil"/>
              <w:bottom w:val="single" w:sz="4"/>
              <w:right w:val="nil"/>
            </w:tcBorders>
          </w:tcPr>
          <w:p>
            <w:pPr>
              <w:pStyle w:val="0"/>
              <w:jc w:val="center"/>
            </w:pPr>
            <w:r>
              <w:rPr>
                <w:sz w:val="20"/>
              </w:rPr>
              <w:t xml:space="preserve">Показатель</w:t>
            </w:r>
          </w:p>
        </w:tc>
        <w:tc>
          <w:tcPr>
            <w:gridSpan w:val="2"/>
            <w:tcW w:w="1530" w:type="dxa"/>
            <w:tcBorders>
              <w:top w:val="single" w:sz="4"/>
              <w:left w:val="nil"/>
              <w:bottom w:val="single" w:sz="4"/>
              <w:right w:val="nil"/>
            </w:tcBorders>
          </w:tcPr>
          <w:p>
            <w:pPr>
              <w:pStyle w:val="0"/>
              <w:jc w:val="center"/>
            </w:pPr>
            <w:r>
              <w:rPr>
                <w:sz w:val="20"/>
              </w:rPr>
              <w:t xml:space="preserve">2019</w:t>
            </w:r>
          </w:p>
        </w:tc>
        <w:tc>
          <w:tcPr>
            <w:gridSpan w:val="2"/>
            <w:tcW w:w="1474" w:type="dxa"/>
            <w:tcBorders>
              <w:top w:val="single" w:sz="4"/>
              <w:left w:val="nil"/>
              <w:bottom w:val="single" w:sz="4"/>
              <w:right w:val="nil"/>
            </w:tcBorders>
          </w:tcPr>
          <w:p>
            <w:pPr>
              <w:pStyle w:val="0"/>
              <w:jc w:val="center"/>
            </w:pPr>
            <w:r>
              <w:rPr>
                <w:sz w:val="20"/>
              </w:rPr>
              <w:t xml:space="preserve">2020</w:t>
            </w:r>
          </w:p>
        </w:tc>
        <w:tc>
          <w:tcPr>
            <w:gridSpan w:val="2"/>
            <w:tcW w:w="1418" w:type="dxa"/>
            <w:tcBorders>
              <w:top w:val="single" w:sz="4"/>
              <w:left w:val="nil"/>
              <w:bottom w:val="single" w:sz="4"/>
              <w:right w:val="nil"/>
            </w:tcBorders>
          </w:tcPr>
          <w:p>
            <w:pPr>
              <w:pStyle w:val="0"/>
              <w:jc w:val="center"/>
            </w:pPr>
            <w:r>
              <w:rPr>
                <w:sz w:val="20"/>
              </w:rPr>
              <w:t xml:space="preserve">2021</w:t>
            </w:r>
          </w:p>
        </w:tc>
        <w:tc>
          <w:tcPr>
            <w:gridSpan w:val="2"/>
            <w:tcW w:w="1474" w:type="dxa"/>
            <w:tcBorders>
              <w:top w:val="single" w:sz="4"/>
              <w:left w:val="nil"/>
              <w:bottom w:val="single" w:sz="4"/>
              <w:right w:val="nil"/>
            </w:tcBorders>
          </w:tcPr>
          <w:p>
            <w:pPr>
              <w:pStyle w:val="0"/>
              <w:jc w:val="center"/>
            </w:pPr>
            <w:r>
              <w:rPr>
                <w:sz w:val="20"/>
              </w:rPr>
              <w:t xml:space="preserve">2023 </w:t>
            </w:r>
            <w:hyperlink w:history="0" w:anchor="P3047" w:tooltip="&lt;**&gt; с учетом сводной бюджетной росписи федерального бюджета на 1 сентября 2023 г.">
              <w:r>
                <w:rPr>
                  <w:sz w:val="20"/>
                  <w:color w:val="0000ff"/>
                </w:rPr>
                <w:t xml:space="preserve">&lt;**&gt;</w:t>
              </w:r>
            </w:hyperlink>
          </w:p>
        </w:tc>
        <w:tc>
          <w:tcPr>
            <w:gridSpan w:val="2"/>
            <w:tcW w:w="1418" w:type="dxa"/>
            <w:tcBorders>
              <w:top w:val="single" w:sz="4"/>
              <w:left w:val="nil"/>
              <w:bottom w:val="single" w:sz="4"/>
              <w:right w:val="nil"/>
            </w:tcBorders>
          </w:tcPr>
          <w:p>
            <w:pPr>
              <w:pStyle w:val="0"/>
              <w:jc w:val="center"/>
            </w:pPr>
            <w:r>
              <w:rPr>
                <w:sz w:val="20"/>
              </w:rPr>
              <w:t xml:space="preserve">2024</w:t>
            </w:r>
          </w:p>
        </w:tc>
        <w:tc>
          <w:tcPr>
            <w:gridSpan w:val="2"/>
            <w:tcW w:w="1474" w:type="dxa"/>
            <w:tcBorders>
              <w:top w:val="single" w:sz="4"/>
              <w:left w:val="nil"/>
              <w:bottom w:val="single" w:sz="4"/>
              <w:right w:val="nil"/>
            </w:tcBorders>
          </w:tcPr>
          <w:p>
            <w:pPr>
              <w:pStyle w:val="0"/>
              <w:jc w:val="center"/>
            </w:pPr>
            <w:r>
              <w:rPr>
                <w:sz w:val="20"/>
              </w:rPr>
              <w:t xml:space="preserve">2025</w:t>
            </w:r>
          </w:p>
        </w:tc>
        <w:tc>
          <w:tcPr>
            <w:gridSpan w:val="2"/>
            <w:tcW w:w="1474" w:type="dxa"/>
            <w:tcBorders>
              <w:top w:val="single" w:sz="4"/>
              <w:left w:val="nil"/>
              <w:bottom w:val="single" w:sz="4"/>
              <w:right w:val="nil"/>
            </w:tcBorders>
          </w:tcPr>
          <w:p>
            <w:pPr>
              <w:pStyle w:val="0"/>
              <w:jc w:val="center"/>
            </w:pPr>
            <w:r>
              <w:rPr>
                <w:sz w:val="20"/>
              </w:rPr>
              <w:t xml:space="preserve">2026</w:t>
            </w:r>
          </w:p>
        </w:tc>
      </w:tr>
      <w:tr>
        <w:tc>
          <w:tcPr>
            <w:tcW w:w="1984" w:type="dxa"/>
            <w:tcBorders>
              <w:top w:val="single" w:sz="4"/>
              <w:left w:val="nil"/>
              <w:bottom w:val="nil"/>
              <w:right w:val="nil"/>
            </w:tcBorders>
          </w:tcPr>
          <w:p>
            <w:pPr>
              <w:pStyle w:val="0"/>
            </w:pPr>
            <w:r>
              <w:rPr>
                <w:sz w:val="20"/>
              </w:rPr>
            </w:r>
          </w:p>
        </w:tc>
        <w:tc>
          <w:tcPr>
            <w:tcW w:w="850" w:type="dxa"/>
            <w:tcBorders>
              <w:top w:val="single" w:sz="4"/>
              <w:left w:val="nil"/>
              <w:bottom w:val="nil"/>
              <w:right w:val="nil"/>
            </w:tcBorders>
          </w:tcPr>
          <w:p>
            <w:pPr>
              <w:pStyle w:val="0"/>
            </w:pPr>
            <w:r>
              <w:rPr>
                <w:sz w:val="20"/>
              </w:rPr>
            </w:r>
          </w:p>
        </w:tc>
        <w:tc>
          <w:tcPr>
            <w:tcW w:w="680" w:type="dxa"/>
            <w:tcBorders>
              <w:top w:val="single" w:sz="4"/>
              <w:left w:val="nil"/>
              <w:bottom w:val="nil"/>
              <w:right w:val="nil"/>
            </w:tcBorders>
          </w:tcPr>
          <w:p>
            <w:pPr>
              <w:pStyle w:val="0"/>
              <w:jc w:val="center"/>
            </w:pPr>
            <w:r>
              <w:rPr>
                <w:sz w:val="20"/>
              </w:rPr>
              <w:t xml:space="preserve">% ВВП</w:t>
            </w:r>
          </w:p>
        </w:tc>
        <w:tc>
          <w:tcPr>
            <w:tcW w:w="850" w:type="dxa"/>
            <w:tcBorders>
              <w:top w:val="single" w:sz="4"/>
              <w:left w:val="nil"/>
              <w:bottom w:val="nil"/>
              <w:right w:val="nil"/>
            </w:tcBorders>
          </w:tcPr>
          <w:p>
            <w:pPr>
              <w:pStyle w:val="0"/>
            </w:pPr>
            <w:r>
              <w:rPr>
                <w:sz w:val="20"/>
              </w:rPr>
            </w:r>
          </w:p>
        </w:tc>
        <w:tc>
          <w:tcPr>
            <w:tcW w:w="624" w:type="dxa"/>
            <w:tcBorders>
              <w:top w:val="single" w:sz="4"/>
              <w:left w:val="nil"/>
              <w:bottom w:val="nil"/>
              <w:right w:val="nil"/>
            </w:tcBorders>
          </w:tcPr>
          <w:p>
            <w:pPr>
              <w:pStyle w:val="0"/>
              <w:jc w:val="center"/>
            </w:pPr>
            <w:r>
              <w:rPr>
                <w:sz w:val="20"/>
              </w:rPr>
              <w:t xml:space="preserve">% ВВП</w:t>
            </w:r>
          </w:p>
        </w:tc>
        <w:tc>
          <w:tcPr>
            <w:tcW w:w="794" w:type="dxa"/>
            <w:tcBorders>
              <w:top w:val="single" w:sz="4"/>
              <w:left w:val="nil"/>
              <w:bottom w:val="nil"/>
              <w:right w:val="nil"/>
            </w:tcBorders>
          </w:tcPr>
          <w:p>
            <w:pPr>
              <w:pStyle w:val="0"/>
            </w:pPr>
            <w:r>
              <w:rPr>
                <w:sz w:val="20"/>
              </w:rPr>
            </w:r>
          </w:p>
        </w:tc>
        <w:tc>
          <w:tcPr>
            <w:tcW w:w="624" w:type="dxa"/>
            <w:tcBorders>
              <w:top w:val="single" w:sz="4"/>
              <w:left w:val="nil"/>
              <w:bottom w:val="nil"/>
              <w:right w:val="nil"/>
            </w:tcBorders>
          </w:tcPr>
          <w:p>
            <w:pPr>
              <w:pStyle w:val="0"/>
              <w:jc w:val="center"/>
            </w:pPr>
            <w:r>
              <w:rPr>
                <w:sz w:val="20"/>
              </w:rPr>
              <w:t xml:space="preserve">% ВВП</w:t>
            </w:r>
          </w:p>
        </w:tc>
        <w:tc>
          <w:tcPr>
            <w:tcW w:w="850" w:type="dxa"/>
            <w:tcBorders>
              <w:top w:val="single" w:sz="4"/>
              <w:left w:val="nil"/>
              <w:bottom w:val="nil"/>
              <w:right w:val="nil"/>
            </w:tcBorders>
          </w:tcPr>
          <w:p>
            <w:pPr>
              <w:pStyle w:val="0"/>
            </w:pPr>
            <w:r>
              <w:rPr>
                <w:sz w:val="20"/>
              </w:rPr>
            </w:r>
          </w:p>
        </w:tc>
        <w:tc>
          <w:tcPr>
            <w:tcW w:w="624" w:type="dxa"/>
            <w:tcBorders>
              <w:top w:val="single" w:sz="4"/>
              <w:left w:val="nil"/>
              <w:bottom w:val="nil"/>
              <w:right w:val="nil"/>
            </w:tcBorders>
          </w:tcPr>
          <w:p>
            <w:pPr>
              <w:pStyle w:val="0"/>
              <w:jc w:val="center"/>
            </w:pPr>
            <w:r>
              <w:rPr>
                <w:sz w:val="20"/>
              </w:rPr>
              <w:t xml:space="preserve">% ВВП</w:t>
            </w:r>
          </w:p>
        </w:tc>
        <w:tc>
          <w:tcPr>
            <w:tcW w:w="794" w:type="dxa"/>
            <w:tcBorders>
              <w:top w:val="single" w:sz="4"/>
              <w:left w:val="nil"/>
              <w:bottom w:val="nil"/>
              <w:right w:val="nil"/>
            </w:tcBorders>
          </w:tcPr>
          <w:p>
            <w:pPr>
              <w:pStyle w:val="0"/>
            </w:pPr>
            <w:r>
              <w:rPr>
                <w:sz w:val="20"/>
              </w:rPr>
            </w:r>
          </w:p>
        </w:tc>
        <w:tc>
          <w:tcPr>
            <w:tcW w:w="624" w:type="dxa"/>
            <w:tcBorders>
              <w:top w:val="single" w:sz="4"/>
              <w:left w:val="nil"/>
              <w:bottom w:val="nil"/>
              <w:right w:val="nil"/>
            </w:tcBorders>
          </w:tcPr>
          <w:p>
            <w:pPr>
              <w:pStyle w:val="0"/>
              <w:jc w:val="center"/>
            </w:pPr>
            <w:r>
              <w:rPr>
                <w:sz w:val="20"/>
              </w:rPr>
              <w:t xml:space="preserve">% ВВП</w:t>
            </w:r>
          </w:p>
        </w:tc>
        <w:tc>
          <w:tcPr>
            <w:tcW w:w="850" w:type="dxa"/>
            <w:tcBorders>
              <w:top w:val="single" w:sz="4"/>
              <w:left w:val="nil"/>
              <w:bottom w:val="nil"/>
              <w:right w:val="nil"/>
            </w:tcBorders>
          </w:tcPr>
          <w:p>
            <w:pPr>
              <w:pStyle w:val="0"/>
            </w:pPr>
            <w:r>
              <w:rPr>
                <w:sz w:val="20"/>
              </w:rPr>
            </w:r>
          </w:p>
        </w:tc>
        <w:tc>
          <w:tcPr>
            <w:tcW w:w="624" w:type="dxa"/>
            <w:tcBorders>
              <w:top w:val="single" w:sz="4"/>
              <w:left w:val="nil"/>
              <w:bottom w:val="nil"/>
              <w:right w:val="nil"/>
            </w:tcBorders>
          </w:tcPr>
          <w:p>
            <w:pPr>
              <w:pStyle w:val="0"/>
              <w:jc w:val="center"/>
            </w:pPr>
            <w:r>
              <w:rPr>
                <w:sz w:val="20"/>
              </w:rPr>
              <w:t xml:space="preserve">% ВВП</w:t>
            </w:r>
          </w:p>
        </w:tc>
        <w:tc>
          <w:tcPr>
            <w:tcW w:w="850" w:type="dxa"/>
            <w:tcBorders>
              <w:top w:val="single" w:sz="4"/>
              <w:left w:val="nil"/>
              <w:bottom w:val="nil"/>
              <w:right w:val="nil"/>
            </w:tcBorders>
          </w:tcPr>
          <w:p>
            <w:pPr>
              <w:pStyle w:val="0"/>
            </w:pPr>
            <w:r>
              <w:rPr>
                <w:sz w:val="20"/>
              </w:rPr>
            </w:r>
          </w:p>
        </w:tc>
        <w:tc>
          <w:tcPr>
            <w:tcW w:w="624" w:type="dxa"/>
            <w:tcBorders>
              <w:top w:val="single" w:sz="4"/>
              <w:left w:val="nil"/>
              <w:bottom w:val="nil"/>
              <w:right w:val="nil"/>
            </w:tcBorders>
          </w:tcPr>
          <w:p>
            <w:pPr>
              <w:pStyle w:val="0"/>
              <w:jc w:val="center"/>
            </w:pPr>
            <w:r>
              <w:rPr>
                <w:sz w:val="20"/>
              </w:rPr>
              <w:t xml:space="preserve">% ВВП</w:t>
            </w:r>
          </w:p>
        </w:tc>
      </w:tr>
      <w:tr>
        <w:tc>
          <w:tcPr>
            <w:tcW w:w="1984" w:type="dxa"/>
            <w:tcBorders>
              <w:top w:val="nil"/>
              <w:left w:val="nil"/>
              <w:bottom w:val="nil"/>
              <w:right w:val="nil"/>
            </w:tcBorders>
          </w:tcPr>
          <w:p>
            <w:pPr>
              <w:pStyle w:val="0"/>
            </w:pPr>
            <w:r>
              <w:rPr>
                <w:sz w:val="20"/>
              </w:rPr>
              <w:t xml:space="preserve">Всего</w:t>
            </w:r>
          </w:p>
        </w:tc>
        <w:tc>
          <w:tcPr>
            <w:tcW w:w="850" w:type="dxa"/>
            <w:vAlign w:val="center"/>
            <w:tcBorders>
              <w:top w:val="nil"/>
              <w:left w:val="nil"/>
              <w:bottom w:val="nil"/>
              <w:right w:val="nil"/>
            </w:tcBorders>
          </w:tcPr>
          <w:p>
            <w:pPr>
              <w:pStyle w:val="0"/>
              <w:jc w:val="center"/>
            </w:pPr>
            <w:r>
              <w:rPr>
                <w:sz w:val="20"/>
              </w:rPr>
              <w:t xml:space="preserve">37 326</w:t>
            </w:r>
          </w:p>
        </w:tc>
        <w:tc>
          <w:tcPr>
            <w:tcW w:w="680" w:type="dxa"/>
            <w:vAlign w:val="center"/>
            <w:tcBorders>
              <w:top w:val="nil"/>
              <w:left w:val="nil"/>
              <w:bottom w:val="nil"/>
              <w:right w:val="nil"/>
            </w:tcBorders>
          </w:tcPr>
          <w:p>
            <w:pPr>
              <w:pStyle w:val="0"/>
              <w:jc w:val="center"/>
            </w:pPr>
            <w:r>
              <w:rPr>
                <w:sz w:val="20"/>
              </w:rPr>
              <w:t xml:space="preserve">34,1</w:t>
            </w:r>
          </w:p>
        </w:tc>
        <w:tc>
          <w:tcPr>
            <w:tcW w:w="850" w:type="dxa"/>
            <w:vAlign w:val="center"/>
            <w:tcBorders>
              <w:top w:val="nil"/>
              <w:left w:val="nil"/>
              <w:bottom w:val="nil"/>
              <w:right w:val="nil"/>
            </w:tcBorders>
          </w:tcPr>
          <w:p>
            <w:pPr>
              <w:pStyle w:val="0"/>
              <w:jc w:val="center"/>
            </w:pPr>
            <w:r>
              <w:rPr>
                <w:sz w:val="20"/>
              </w:rPr>
              <w:t xml:space="preserve">42 481</w:t>
            </w:r>
          </w:p>
        </w:tc>
        <w:tc>
          <w:tcPr>
            <w:tcW w:w="624" w:type="dxa"/>
            <w:vAlign w:val="center"/>
            <w:tcBorders>
              <w:top w:val="nil"/>
              <w:left w:val="nil"/>
              <w:bottom w:val="nil"/>
              <w:right w:val="nil"/>
            </w:tcBorders>
          </w:tcPr>
          <w:p>
            <w:pPr>
              <w:pStyle w:val="0"/>
              <w:jc w:val="center"/>
            </w:pPr>
            <w:r>
              <w:rPr>
                <w:sz w:val="20"/>
              </w:rPr>
              <w:t xml:space="preserve">39,5</w:t>
            </w:r>
          </w:p>
        </w:tc>
        <w:tc>
          <w:tcPr>
            <w:tcW w:w="794" w:type="dxa"/>
            <w:vAlign w:val="center"/>
            <w:tcBorders>
              <w:top w:val="nil"/>
              <w:left w:val="nil"/>
              <w:bottom w:val="nil"/>
              <w:right w:val="nil"/>
            </w:tcBorders>
          </w:tcPr>
          <w:p>
            <w:pPr>
              <w:pStyle w:val="0"/>
              <w:jc w:val="center"/>
            </w:pPr>
            <w:r>
              <w:rPr>
                <w:sz w:val="20"/>
              </w:rPr>
              <w:t xml:space="preserve">47 062</w:t>
            </w:r>
          </w:p>
        </w:tc>
        <w:tc>
          <w:tcPr>
            <w:tcW w:w="624" w:type="dxa"/>
            <w:vAlign w:val="center"/>
            <w:tcBorders>
              <w:top w:val="nil"/>
              <w:left w:val="nil"/>
              <w:bottom w:val="nil"/>
              <w:right w:val="nil"/>
            </w:tcBorders>
          </w:tcPr>
          <w:p>
            <w:pPr>
              <w:pStyle w:val="0"/>
              <w:jc w:val="center"/>
            </w:pPr>
            <w:r>
              <w:rPr>
                <w:sz w:val="20"/>
              </w:rPr>
              <w:t xml:space="preserve">34,8</w:t>
            </w:r>
          </w:p>
        </w:tc>
        <w:tc>
          <w:tcPr>
            <w:tcW w:w="850" w:type="dxa"/>
            <w:vAlign w:val="center"/>
            <w:tcBorders>
              <w:top w:val="nil"/>
              <w:left w:val="nil"/>
              <w:bottom w:val="nil"/>
              <w:right w:val="nil"/>
            </w:tcBorders>
          </w:tcPr>
          <w:p>
            <w:pPr>
              <w:pStyle w:val="0"/>
              <w:jc w:val="center"/>
            </w:pPr>
            <w:r>
              <w:rPr>
                <w:sz w:val="20"/>
              </w:rPr>
              <w:t xml:space="preserve">60 277</w:t>
            </w:r>
          </w:p>
        </w:tc>
        <w:tc>
          <w:tcPr>
            <w:tcW w:w="624" w:type="dxa"/>
            <w:vAlign w:val="center"/>
            <w:tcBorders>
              <w:top w:val="nil"/>
              <w:left w:val="nil"/>
              <w:bottom w:val="nil"/>
              <w:right w:val="nil"/>
            </w:tcBorders>
          </w:tcPr>
          <w:p>
            <w:pPr>
              <w:pStyle w:val="0"/>
              <w:jc w:val="center"/>
            </w:pPr>
            <w:r>
              <w:rPr>
                <w:sz w:val="20"/>
              </w:rPr>
              <w:t xml:space="preserve">36,3</w:t>
            </w:r>
          </w:p>
        </w:tc>
        <w:tc>
          <w:tcPr>
            <w:tcW w:w="794" w:type="dxa"/>
            <w:vAlign w:val="center"/>
            <w:tcBorders>
              <w:top w:val="nil"/>
              <w:left w:val="nil"/>
              <w:bottom w:val="nil"/>
              <w:right w:val="nil"/>
            </w:tcBorders>
          </w:tcPr>
          <w:p>
            <w:pPr>
              <w:pStyle w:val="0"/>
              <w:jc w:val="center"/>
            </w:pPr>
            <w:r>
              <w:rPr>
                <w:sz w:val="20"/>
              </w:rPr>
              <w:t xml:space="preserve">68 801</w:t>
            </w:r>
          </w:p>
        </w:tc>
        <w:tc>
          <w:tcPr>
            <w:tcW w:w="624" w:type="dxa"/>
            <w:vAlign w:val="center"/>
            <w:tcBorders>
              <w:top w:val="nil"/>
              <w:left w:val="nil"/>
              <w:bottom w:val="nil"/>
              <w:right w:val="nil"/>
            </w:tcBorders>
          </w:tcPr>
          <w:p>
            <w:pPr>
              <w:pStyle w:val="0"/>
              <w:jc w:val="center"/>
            </w:pPr>
            <w:r>
              <w:rPr>
                <w:sz w:val="20"/>
              </w:rPr>
              <w:t xml:space="preserve">38,2</w:t>
            </w:r>
          </w:p>
        </w:tc>
        <w:tc>
          <w:tcPr>
            <w:tcW w:w="850" w:type="dxa"/>
            <w:vAlign w:val="center"/>
            <w:tcBorders>
              <w:top w:val="nil"/>
              <w:left w:val="nil"/>
              <w:bottom w:val="nil"/>
              <w:right w:val="nil"/>
            </w:tcBorders>
          </w:tcPr>
          <w:p>
            <w:pPr>
              <w:pStyle w:val="0"/>
              <w:jc w:val="center"/>
            </w:pPr>
            <w:r>
              <w:rPr>
                <w:sz w:val="20"/>
              </w:rPr>
              <w:t xml:space="preserve">68 599</w:t>
            </w:r>
          </w:p>
        </w:tc>
        <w:tc>
          <w:tcPr>
            <w:tcW w:w="624" w:type="dxa"/>
            <w:vAlign w:val="center"/>
            <w:tcBorders>
              <w:top w:val="nil"/>
              <w:left w:val="nil"/>
              <w:bottom w:val="nil"/>
              <w:right w:val="nil"/>
            </w:tcBorders>
          </w:tcPr>
          <w:p>
            <w:pPr>
              <w:pStyle w:val="0"/>
              <w:jc w:val="center"/>
            </w:pPr>
            <w:r>
              <w:rPr>
                <w:sz w:val="20"/>
              </w:rPr>
              <w:t xml:space="preserve">36,0</w:t>
            </w:r>
          </w:p>
        </w:tc>
        <w:tc>
          <w:tcPr>
            <w:tcW w:w="850" w:type="dxa"/>
            <w:vAlign w:val="center"/>
            <w:tcBorders>
              <w:top w:val="nil"/>
              <w:left w:val="nil"/>
              <w:bottom w:val="nil"/>
              <w:right w:val="nil"/>
            </w:tcBorders>
          </w:tcPr>
          <w:p>
            <w:pPr>
              <w:pStyle w:val="0"/>
              <w:jc w:val="center"/>
            </w:pPr>
            <w:r>
              <w:rPr>
                <w:sz w:val="20"/>
              </w:rPr>
              <w:t xml:space="preserve">71 860</w:t>
            </w:r>
          </w:p>
        </w:tc>
        <w:tc>
          <w:tcPr>
            <w:tcW w:w="624" w:type="dxa"/>
            <w:vAlign w:val="center"/>
            <w:tcBorders>
              <w:top w:val="nil"/>
              <w:left w:val="nil"/>
              <w:bottom w:val="nil"/>
              <w:right w:val="nil"/>
            </w:tcBorders>
          </w:tcPr>
          <w:p>
            <w:pPr>
              <w:pStyle w:val="0"/>
              <w:jc w:val="center"/>
            </w:pPr>
            <w:r>
              <w:rPr>
                <w:sz w:val="20"/>
              </w:rPr>
              <w:t xml:space="preserve">35,5</w:t>
            </w:r>
          </w:p>
        </w:tc>
      </w:tr>
      <w:tr>
        <w:tc>
          <w:tcPr>
            <w:tcW w:w="1984" w:type="dxa"/>
            <w:vAlign w:val="center"/>
            <w:tcBorders>
              <w:top w:val="nil"/>
              <w:left w:val="nil"/>
              <w:bottom w:val="nil"/>
              <w:right w:val="nil"/>
            </w:tcBorders>
          </w:tcPr>
          <w:p>
            <w:pPr>
              <w:pStyle w:val="0"/>
            </w:pPr>
            <w:r>
              <w:rPr>
                <w:sz w:val="20"/>
              </w:rPr>
              <w:t xml:space="preserve">из них:</w:t>
            </w:r>
          </w:p>
        </w:tc>
        <w:tc>
          <w:tcPr>
            <w:tcW w:w="850" w:type="dxa"/>
            <w:vAlign w:val="center"/>
            <w:tcBorders>
              <w:top w:val="nil"/>
              <w:left w:val="nil"/>
              <w:bottom w:val="nil"/>
              <w:right w:val="nil"/>
            </w:tcBorders>
          </w:tcPr>
          <w:p>
            <w:pPr>
              <w:pStyle w:val="0"/>
            </w:pPr>
            <w:r>
              <w:rPr>
                <w:sz w:val="20"/>
              </w:rPr>
            </w:r>
          </w:p>
        </w:tc>
        <w:tc>
          <w:tcPr>
            <w:tcW w:w="680" w:type="dxa"/>
            <w:vAlign w:val="center"/>
            <w:tcBorders>
              <w:top w:val="nil"/>
              <w:left w:val="nil"/>
              <w:bottom w:val="nil"/>
              <w:right w:val="nil"/>
            </w:tcBorders>
          </w:tcPr>
          <w:p>
            <w:pPr>
              <w:pStyle w:val="0"/>
            </w:pPr>
            <w:r>
              <w:rPr>
                <w:sz w:val="20"/>
              </w:rPr>
            </w:r>
          </w:p>
        </w:tc>
        <w:tc>
          <w:tcPr>
            <w:tcW w:w="850" w:type="dxa"/>
            <w:vAlign w:val="center"/>
            <w:tcBorders>
              <w:top w:val="nil"/>
              <w:left w:val="nil"/>
              <w:bottom w:val="nil"/>
              <w:right w:val="nil"/>
            </w:tcBorders>
          </w:tcPr>
          <w:p>
            <w:pPr>
              <w:pStyle w:val="0"/>
            </w:pPr>
            <w:r>
              <w:rPr>
                <w:sz w:val="20"/>
              </w:rPr>
            </w:r>
          </w:p>
        </w:tc>
        <w:tc>
          <w:tcPr>
            <w:tcW w:w="624" w:type="dxa"/>
            <w:vAlign w:val="center"/>
            <w:tcBorders>
              <w:top w:val="nil"/>
              <w:left w:val="nil"/>
              <w:bottom w:val="nil"/>
              <w:right w:val="nil"/>
            </w:tcBorders>
          </w:tcPr>
          <w:p>
            <w:pPr>
              <w:pStyle w:val="0"/>
            </w:pPr>
            <w:r>
              <w:rPr>
                <w:sz w:val="20"/>
              </w:rPr>
            </w:r>
          </w:p>
        </w:tc>
        <w:tc>
          <w:tcPr>
            <w:tcW w:w="794" w:type="dxa"/>
            <w:vAlign w:val="center"/>
            <w:tcBorders>
              <w:top w:val="nil"/>
              <w:left w:val="nil"/>
              <w:bottom w:val="nil"/>
              <w:right w:val="nil"/>
            </w:tcBorders>
          </w:tcPr>
          <w:p>
            <w:pPr>
              <w:pStyle w:val="0"/>
            </w:pPr>
            <w:r>
              <w:rPr>
                <w:sz w:val="20"/>
              </w:rPr>
            </w:r>
          </w:p>
        </w:tc>
        <w:tc>
          <w:tcPr>
            <w:tcW w:w="624" w:type="dxa"/>
            <w:vAlign w:val="center"/>
            <w:tcBorders>
              <w:top w:val="nil"/>
              <w:left w:val="nil"/>
              <w:bottom w:val="nil"/>
              <w:right w:val="nil"/>
            </w:tcBorders>
          </w:tcPr>
          <w:p>
            <w:pPr>
              <w:pStyle w:val="0"/>
            </w:pPr>
            <w:r>
              <w:rPr>
                <w:sz w:val="20"/>
              </w:rPr>
            </w:r>
          </w:p>
        </w:tc>
        <w:tc>
          <w:tcPr>
            <w:tcW w:w="850" w:type="dxa"/>
            <w:vAlign w:val="center"/>
            <w:tcBorders>
              <w:top w:val="nil"/>
              <w:left w:val="nil"/>
              <w:bottom w:val="nil"/>
              <w:right w:val="nil"/>
            </w:tcBorders>
          </w:tcPr>
          <w:p>
            <w:pPr>
              <w:pStyle w:val="0"/>
            </w:pPr>
            <w:r>
              <w:rPr>
                <w:sz w:val="20"/>
              </w:rPr>
            </w:r>
          </w:p>
        </w:tc>
        <w:tc>
          <w:tcPr>
            <w:tcW w:w="624" w:type="dxa"/>
            <w:vAlign w:val="center"/>
            <w:tcBorders>
              <w:top w:val="nil"/>
              <w:left w:val="nil"/>
              <w:bottom w:val="nil"/>
              <w:right w:val="nil"/>
            </w:tcBorders>
          </w:tcPr>
          <w:p>
            <w:pPr>
              <w:pStyle w:val="0"/>
            </w:pPr>
            <w:r>
              <w:rPr>
                <w:sz w:val="20"/>
              </w:rPr>
            </w:r>
          </w:p>
        </w:tc>
        <w:tc>
          <w:tcPr>
            <w:tcW w:w="794" w:type="dxa"/>
            <w:vAlign w:val="center"/>
            <w:tcBorders>
              <w:top w:val="nil"/>
              <w:left w:val="nil"/>
              <w:bottom w:val="nil"/>
              <w:right w:val="nil"/>
            </w:tcBorders>
          </w:tcPr>
          <w:p>
            <w:pPr>
              <w:pStyle w:val="0"/>
            </w:pPr>
            <w:r>
              <w:rPr>
                <w:sz w:val="20"/>
              </w:rPr>
            </w:r>
          </w:p>
        </w:tc>
        <w:tc>
          <w:tcPr>
            <w:tcW w:w="624" w:type="dxa"/>
            <w:vAlign w:val="center"/>
            <w:tcBorders>
              <w:top w:val="nil"/>
              <w:left w:val="nil"/>
              <w:bottom w:val="nil"/>
              <w:right w:val="nil"/>
            </w:tcBorders>
          </w:tcPr>
          <w:p>
            <w:pPr>
              <w:pStyle w:val="0"/>
            </w:pPr>
            <w:r>
              <w:rPr>
                <w:sz w:val="20"/>
              </w:rPr>
            </w:r>
          </w:p>
        </w:tc>
        <w:tc>
          <w:tcPr>
            <w:tcW w:w="850" w:type="dxa"/>
            <w:vAlign w:val="center"/>
            <w:tcBorders>
              <w:top w:val="nil"/>
              <w:left w:val="nil"/>
              <w:bottom w:val="nil"/>
              <w:right w:val="nil"/>
            </w:tcBorders>
          </w:tcPr>
          <w:p>
            <w:pPr>
              <w:pStyle w:val="0"/>
            </w:pPr>
            <w:r>
              <w:rPr>
                <w:sz w:val="20"/>
              </w:rPr>
            </w:r>
          </w:p>
        </w:tc>
        <w:tc>
          <w:tcPr>
            <w:tcW w:w="624" w:type="dxa"/>
            <w:vAlign w:val="center"/>
            <w:tcBorders>
              <w:top w:val="nil"/>
              <w:left w:val="nil"/>
              <w:bottom w:val="nil"/>
              <w:right w:val="nil"/>
            </w:tcBorders>
          </w:tcPr>
          <w:p>
            <w:pPr>
              <w:pStyle w:val="0"/>
            </w:pPr>
            <w:r>
              <w:rPr>
                <w:sz w:val="20"/>
              </w:rPr>
            </w:r>
          </w:p>
        </w:tc>
        <w:tc>
          <w:tcPr>
            <w:tcW w:w="850" w:type="dxa"/>
            <w:vAlign w:val="center"/>
            <w:tcBorders>
              <w:top w:val="nil"/>
              <w:left w:val="nil"/>
              <w:bottom w:val="nil"/>
              <w:right w:val="nil"/>
            </w:tcBorders>
          </w:tcPr>
          <w:p>
            <w:pPr>
              <w:pStyle w:val="0"/>
            </w:pPr>
            <w:r>
              <w:rPr>
                <w:sz w:val="20"/>
              </w:rPr>
            </w:r>
          </w:p>
        </w:tc>
        <w:tc>
          <w:tcPr>
            <w:tcW w:w="624" w:type="dxa"/>
            <w:vAlign w:val="center"/>
            <w:tcBorders>
              <w:top w:val="nil"/>
              <w:left w:val="nil"/>
              <w:bottom w:val="nil"/>
              <w:right w:val="nil"/>
            </w:tcBorders>
          </w:tcPr>
          <w:p>
            <w:pPr>
              <w:pStyle w:val="0"/>
            </w:pPr>
            <w:r>
              <w:rPr>
                <w:sz w:val="20"/>
              </w:rPr>
            </w:r>
          </w:p>
        </w:tc>
      </w:tr>
      <w:tr>
        <w:tc>
          <w:tcPr>
            <w:tcW w:w="1984" w:type="dxa"/>
            <w:vAlign w:val="bottom"/>
            <w:tcBorders>
              <w:top w:val="nil"/>
              <w:left w:val="nil"/>
              <w:bottom w:val="nil"/>
              <w:right w:val="nil"/>
            </w:tcBorders>
          </w:tcPr>
          <w:p>
            <w:pPr>
              <w:pStyle w:val="0"/>
            </w:pPr>
            <w:r>
              <w:rPr>
                <w:sz w:val="20"/>
              </w:rPr>
              <w:t xml:space="preserve">Общегосударственные вопросы</w:t>
            </w:r>
          </w:p>
        </w:tc>
        <w:tc>
          <w:tcPr>
            <w:tcW w:w="850" w:type="dxa"/>
            <w:vAlign w:val="center"/>
            <w:tcBorders>
              <w:top w:val="nil"/>
              <w:left w:val="nil"/>
              <w:bottom w:val="nil"/>
              <w:right w:val="nil"/>
            </w:tcBorders>
          </w:tcPr>
          <w:p>
            <w:pPr>
              <w:pStyle w:val="0"/>
              <w:jc w:val="center"/>
            </w:pPr>
            <w:r>
              <w:rPr>
                <w:sz w:val="20"/>
              </w:rPr>
              <w:t xml:space="preserve">2 321</w:t>
            </w:r>
          </w:p>
        </w:tc>
        <w:tc>
          <w:tcPr>
            <w:tcW w:w="680" w:type="dxa"/>
            <w:vAlign w:val="center"/>
            <w:tcBorders>
              <w:top w:val="nil"/>
              <w:left w:val="nil"/>
              <w:bottom w:val="nil"/>
              <w:right w:val="nil"/>
            </w:tcBorders>
          </w:tcPr>
          <w:p>
            <w:pPr>
              <w:pStyle w:val="0"/>
              <w:jc w:val="center"/>
            </w:pPr>
            <w:r>
              <w:rPr>
                <w:sz w:val="20"/>
              </w:rPr>
              <w:t xml:space="preserve">2,1</w:t>
            </w:r>
          </w:p>
        </w:tc>
        <w:tc>
          <w:tcPr>
            <w:tcW w:w="850" w:type="dxa"/>
            <w:vAlign w:val="center"/>
            <w:tcBorders>
              <w:top w:val="nil"/>
              <w:left w:val="nil"/>
              <w:bottom w:val="nil"/>
              <w:right w:val="nil"/>
            </w:tcBorders>
          </w:tcPr>
          <w:p>
            <w:pPr>
              <w:pStyle w:val="0"/>
              <w:jc w:val="center"/>
            </w:pPr>
            <w:r>
              <w:rPr>
                <w:sz w:val="20"/>
              </w:rPr>
              <w:t xml:space="preserve">2 537</w:t>
            </w:r>
          </w:p>
        </w:tc>
        <w:tc>
          <w:tcPr>
            <w:tcW w:w="624" w:type="dxa"/>
            <w:vAlign w:val="center"/>
            <w:tcBorders>
              <w:top w:val="nil"/>
              <w:left w:val="nil"/>
              <w:bottom w:val="nil"/>
              <w:right w:val="nil"/>
            </w:tcBorders>
          </w:tcPr>
          <w:p>
            <w:pPr>
              <w:pStyle w:val="0"/>
              <w:jc w:val="center"/>
            </w:pPr>
            <w:r>
              <w:rPr>
                <w:sz w:val="20"/>
              </w:rPr>
              <w:t xml:space="preserve">2,4</w:t>
            </w:r>
          </w:p>
        </w:tc>
        <w:tc>
          <w:tcPr>
            <w:tcW w:w="794" w:type="dxa"/>
            <w:vAlign w:val="center"/>
            <w:tcBorders>
              <w:top w:val="nil"/>
              <w:left w:val="nil"/>
              <w:bottom w:val="nil"/>
              <w:right w:val="nil"/>
            </w:tcBorders>
          </w:tcPr>
          <w:p>
            <w:pPr>
              <w:pStyle w:val="0"/>
              <w:jc w:val="center"/>
            </w:pPr>
            <w:r>
              <w:rPr>
                <w:sz w:val="20"/>
              </w:rPr>
              <w:t xml:space="preserve">2 837</w:t>
            </w:r>
          </w:p>
        </w:tc>
        <w:tc>
          <w:tcPr>
            <w:tcW w:w="624" w:type="dxa"/>
            <w:vAlign w:val="center"/>
            <w:tcBorders>
              <w:top w:val="nil"/>
              <w:left w:val="nil"/>
              <w:bottom w:val="nil"/>
              <w:right w:val="nil"/>
            </w:tcBorders>
          </w:tcPr>
          <w:p>
            <w:pPr>
              <w:pStyle w:val="0"/>
              <w:jc w:val="center"/>
            </w:pPr>
            <w:r>
              <w:rPr>
                <w:sz w:val="20"/>
              </w:rPr>
              <w:t xml:space="preserve">2,1</w:t>
            </w:r>
          </w:p>
        </w:tc>
        <w:tc>
          <w:tcPr>
            <w:tcW w:w="850" w:type="dxa"/>
            <w:vAlign w:val="center"/>
            <w:tcBorders>
              <w:top w:val="nil"/>
              <w:left w:val="nil"/>
              <w:bottom w:val="nil"/>
              <w:right w:val="nil"/>
            </w:tcBorders>
          </w:tcPr>
          <w:p>
            <w:pPr>
              <w:pStyle w:val="0"/>
              <w:jc w:val="center"/>
            </w:pPr>
            <w:r>
              <w:rPr>
                <w:sz w:val="20"/>
              </w:rPr>
              <w:t xml:space="preserve">3 723</w:t>
            </w:r>
          </w:p>
        </w:tc>
        <w:tc>
          <w:tcPr>
            <w:tcW w:w="624" w:type="dxa"/>
            <w:vAlign w:val="center"/>
            <w:tcBorders>
              <w:top w:val="nil"/>
              <w:left w:val="nil"/>
              <w:bottom w:val="nil"/>
              <w:right w:val="nil"/>
            </w:tcBorders>
          </w:tcPr>
          <w:p>
            <w:pPr>
              <w:pStyle w:val="0"/>
              <w:jc w:val="center"/>
            </w:pPr>
            <w:r>
              <w:rPr>
                <w:sz w:val="20"/>
              </w:rPr>
              <w:t xml:space="preserve">2,2</w:t>
            </w:r>
          </w:p>
        </w:tc>
        <w:tc>
          <w:tcPr>
            <w:tcW w:w="794" w:type="dxa"/>
            <w:vAlign w:val="center"/>
            <w:tcBorders>
              <w:top w:val="nil"/>
              <w:left w:val="nil"/>
              <w:bottom w:val="nil"/>
              <w:right w:val="nil"/>
            </w:tcBorders>
          </w:tcPr>
          <w:p>
            <w:pPr>
              <w:pStyle w:val="0"/>
              <w:jc w:val="center"/>
            </w:pPr>
            <w:r>
              <w:rPr>
                <w:sz w:val="20"/>
              </w:rPr>
              <w:t xml:space="preserve">3 542</w:t>
            </w:r>
          </w:p>
        </w:tc>
        <w:tc>
          <w:tcPr>
            <w:tcW w:w="624" w:type="dxa"/>
            <w:vAlign w:val="center"/>
            <w:tcBorders>
              <w:top w:val="nil"/>
              <w:left w:val="nil"/>
              <w:bottom w:val="nil"/>
              <w:right w:val="nil"/>
            </w:tcBorders>
          </w:tcPr>
          <w:p>
            <w:pPr>
              <w:pStyle w:val="0"/>
              <w:jc w:val="center"/>
            </w:pPr>
            <w:r>
              <w:rPr>
                <w:sz w:val="20"/>
              </w:rPr>
              <w:t xml:space="preserve">2,0</w:t>
            </w:r>
          </w:p>
        </w:tc>
        <w:tc>
          <w:tcPr>
            <w:tcW w:w="850" w:type="dxa"/>
            <w:vAlign w:val="center"/>
            <w:tcBorders>
              <w:top w:val="nil"/>
              <w:left w:val="nil"/>
              <w:bottom w:val="nil"/>
              <w:right w:val="nil"/>
            </w:tcBorders>
          </w:tcPr>
          <w:p>
            <w:pPr>
              <w:pStyle w:val="0"/>
              <w:jc w:val="center"/>
            </w:pPr>
            <w:r>
              <w:rPr>
                <w:sz w:val="20"/>
              </w:rPr>
              <w:t xml:space="preserve">3 902</w:t>
            </w:r>
          </w:p>
        </w:tc>
        <w:tc>
          <w:tcPr>
            <w:tcW w:w="624" w:type="dxa"/>
            <w:vAlign w:val="center"/>
            <w:tcBorders>
              <w:top w:val="nil"/>
              <w:left w:val="nil"/>
              <w:bottom w:val="nil"/>
              <w:right w:val="nil"/>
            </w:tcBorders>
          </w:tcPr>
          <w:p>
            <w:pPr>
              <w:pStyle w:val="0"/>
              <w:jc w:val="center"/>
            </w:pPr>
            <w:r>
              <w:rPr>
                <w:sz w:val="20"/>
              </w:rPr>
              <w:t xml:space="preserve">2,0</w:t>
            </w:r>
          </w:p>
        </w:tc>
        <w:tc>
          <w:tcPr>
            <w:tcW w:w="850" w:type="dxa"/>
            <w:vAlign w:val="center"/>
            <w:tcBorders>
              <w:top w:val="nil"/>
              <w:left w:val="nil"/>
              <w:bottom w:val="nil"/>
              <w:right w:val="nil"/>
            </w:tcBorders>
          </w:tcPr>
          <w:p>
            <w:pPr>
              <w:pStyle w:val="0"/>
              <w:jc w:val="center"/>
            </w:pPr>
            <w:r>
              <w:rPr>
                <w:sz w:val="20"/>
              </w:rPr>
              <w:t xml:space="preserve">4 144</w:t>
            </w:r>
          </w:p>
        </w:tc>
        <w:tc>
          <w:tcPr>
            <w:tcW w:w="624" w:type="dxa"/>
            <w:vAlign w:val="center"/>
            <w:tcBorders>
              <w:top w:val="nil"/>
              <w:left w:val="nil"/>
              <w:bottom w:val="nil"/>
              <w:right w:val="nil"/>
            </w:tcBorders>
          </w:tcPr>
          <w:p>
            <w:pPr>
              <w:pStyle w:val="0"/>
              <w:jc w:val="center"/>
            </w:pPr>
            <w:r>
              <w:rPr>
                <w:sz w:val="20"/>
              </w:rPr>
              <w:t xml:space="preserve">2,0</w:t>
            </w:r>
          </w:p>
        </w:tc>
      </w:tr>
      <w:tr>
        <w:tc>
          <w:tcPr>
            <w:tcW w:w="1984" w:type="dxa"/>
            <w:vAlign w:val="bottom"/>
            <w:tcBorders>
              <w:top w:val="nil"/>
              <w:left w:val="nil"/>
              <w:bottom w:val="nil"/>
              <w:right w:val="nil"/>
            </w:tcBorders>
          </w:tcPr>
          <w:p>
            <w:pPr>
              <w:pStyle w:val="0"/>
            </w:pPr>
            <w:r>
              <w:rPr>
                <w:sz w:val="20"/>
              </w:rPr>
              <w:t xml:space="preserve">Национальная оборона</w:t>
            </w:r>
          </w:p>
        </w:tc>
        <w:tc>
          <w:tcPr>
            <w:tcW w:w="850" w:type="dxa"/>
            <w:vAlign w:val="center"/>
            <w:tcBorders>
              <w:top w:val="nil"/>
              <w:left w:val="nil"/>
              <w:bottom w:val="nil"/>
              <w:right w:val="nil"/>
            </w:tcBorders>
          </w:tcPr>
          <w:p>
            <w:pPr>
              <w:pStyle w:val="0"/>
              <w:jc w:val="center"/>
            </w:pPr>
            <w:r>
              <w:rPr>
                <w:sz w:val="20"/>
              </w:rPr>
              <w:t xml:space="preserve">2 999</w:t>
            </w:r>
          </w:p>
        </w:tc>
        <w:tc>
          <w:tcPr>
            <w:tcW w:w="680" w:type="dxa"/>
            <w:vAlign w:val="center"/>
            <w:tcBorders>
              <w:top w:val="nil"/>
              <w:left w:val="nil"/>
              <w:bottom w:val="nil"/>
              <w:right w:val="nil"/>
            </w:tcBorders>
          </w:tcPr>
          <w:p>
            <w:pPr>
              <w:pStyle w:val="0"/>
              <w:jc w:val="center"/>
            </w:pPr>
            <w:r>
              <w:rPr>
                <w:sz w:val="20"/>
              </w:rPr>
              <w:t xml:space="preserve">2,7</w:t>
            </w:r>
          </w:p>
        </w:tc>
        <w:tc>
          <w:tcPr>
            <w:tcW w:w="850" w:type="dxa"/>
            <w:vAlign w:val="center"/>
            <w:tcBorders>
              <w:top w:val="nil"/>
              <w:left w:val="nil"/>
              <w:bottom w:val="nil"/>
              <w:right w:val="nil"/>
            </w:tcBorders>
          </w:tcPr>
          <w:p>
            <w:pPr>
              <w:pStyle w:val="0"/>
              <w:jc w:val="center"/>
            </w:pPr>
            <w:r>
              <w:rPr>
                <w:sz w:val="20"/>
              </w:rPr>
              <w:t xml:space="preserve">3 171</w:t>
            </w:r>
          </w:p>
        </w:tc>
        <w:tc>
          <w:tcPr>
            <w:tcW w:w="624" w:type="dxa"/>
            <w:vAlign w:val="center"/>
            <w:tcBorders>
              <w:top w:val="nil"/>
              <w:left w:val="nil"/>
              <w:bottom w:val="nil"/>
              <w:right w:val="nil"/>
            </w:tcBorders>
          </w:tcPr>
          <w:p>
            <w:pPr>
              <w:pStyle w:val="0"/>
              <w:jc w:val="center"/>
            </w:pPr>
            <w:r>
              <w:rPr>
                <w:sz w:val="20"/>
              </w:rPr>
              <w:t xml:space="preserve">2,9</w:t>
            </w:r>
          </w:p>
        </w:tc>
        <w:tc>
          <w:tcPr>
            <w:tcW w:w="794" w:type="dxa"/>
            <w:vAlign w:val="center"/>
            <w:tcBorders>
              <w:top w:val="nil"/>
              <w:left w:val="nil"/>
              <w:bottom w:val="nil"/>
              <w:right w:val="nil"/>
            </w:tcBorders>
          </w:tcPr>
          <w:p>
            <w:pPr>
              <w:pStyle w:val="0"/>
              <w:jc w:val="center"/>
            </w:pPr>
            <w:r>
              <w:rPr>
                <w:sz w:val="20"/>
              </w:rPr>
              <w:t xml:space="preserve">3 575</w:t>
            </w:r>
          </w:p>
        </w:tc>
        <w:tc>
          <w:tcPr>
            <w:tcW w:w="624" w:type="dxa"/>
            <w:vAlign w:val="center"/>
            <w:tcBorders>
              <w:top w:val="nil"/>
              <w:left w:val="nil"/>
              <w:bottom w:val="nil"/>
              <w:right w:val="nil"/>
            </w:tcBorders>
          </w:tcPr>
          <w:p>
            <w:pPr>
              <w:pStyle w:val="0"/>
              <w:jc w:val="center"/>
            </w:pPr>
            <w:r>
              <w:rPr>
                <w:sz w:val="20"/>
              </w:rPr>
              <w:t xml:space="preserve">2,6</w:t>
            </w:r>
          </w:p>
        </w:tc>
        <w:tc>
          <w:tcPr>
            <w:tcW w:w="850" w:type="dxa"/>
            <w:vAlign w:val="center"/>
            <w:tcBorders>
              <w:top w:val="nil"/>
              <w:left w:val="nil"/>
              <w:bottom w:val="nil"/>
              <w:right w:val="nil"/>
            </w:tcBorders>
          </w:tcPr>
          <w:p>
            <w:pPr>
              <w:pStyle w:val="0"/>
              <w:jc w:val="center"/>
            </w:pPr>
            <w:r>
              <w:rPr>
                <w:sz w:val="20"/>
              </w:rPr>
              <w:t xml:space="preserve">6 466</w:t>
            </w:r>
          </w:p>
        </w:tc>
        <w:tc>
          <w:tcPr>
            <w:tcW w:w="624" w:type="dxa"/>
            <w:vAlign w:val="center"/>
            <w:tcBorders>
              <w:top w:val="nil"/>
              <w:left w:val="nil"/>
              <w:bottom w:val="nil"/>
              <w:right w:val="nil"/>
            </w:tcBorders>
          </w:tcPr>
          <w:p>
            <w:pPr>
              <w:pStyle w:val="0"/>
              <w:jc w:val="center"/>
            </w:pPr>
            <w:r>
              <w:rPr>
                <w:sz w:val="20"/>
              </w:rPr>
              <w:t xml:space="preserve">3,9</w:t>
            </w:r>
          </w:p>
        </w:tc>
        <w:tc>
          <w:tcPr>
            <w:tcW w:w="794" w:type="dxa"/>
            <w:vAlign w:val="center"/>
            <w:tcBorders>
              <w:top w:val="nil"/>
              <w:left w:val="nil"/>
              <w:bottom w:val="nil"/>
              <w:right w:val="nil"/>
            </w:tcBorders>
          </w:tcPr>
          <w:p>
            <w:pPr>
              <w:pStyle w:val="0"/>
              <w:jc w:val="center"/>
            </w:pPr>
            <w:r>
              <w:rPr>
                <w:sz w:val="20"/>
              </w:rPr>
              <w:t xml:space="preserve">10 840</w:t>
            </w:r>
          </w:p>
        </w:tc>
        <w:tc>
          <w:tcPr>
            <w:tcW w:w="624" w:type="dxa"/>
            <w:vAlign w:val="center"/>
            <w:tcBorders>
              <w:top w:val="nil"/>
              <w:left w:val="nil"/>
              <w:bottom w:val="nil"/>
              <w:right w:val="nil"/>
            </w:tcBorders>
          </w:tcPr>
          <w:p>
            <w:pPr>
              <w:pStyle w:val="0"/>
              <w:jc w:val="center"/>
            </w:pPr>
            <w:r>
              <w:rPr>
                <w:sz w:val="20"/>
              </w:rPr>
              <w:t xml:space="preserve">6,0</w:t>
            </w:r>
          </w:p>
        </w:tc>
        <w:tc>
          <w:tcPr>
            <w:tcW w:w="850" w:type="dxa"/>
            <w:vAlign w:val="center"/>
            <w:tcBorders>
              <w:top w:val="nil"/>
              <w:left w:val="nil"/>
              <w:bottom w:val="nil"/>
              <w:right w:val="nil"/>
            </w:tcBorders>
          </w:tcPr>
          <w:p>
            <w:pPr>
              <w:pStyle w:val="0"/>
              <w:jc w:val="center"/>
            </w:pPr>
            <w:r>
              <w:rPr>
                <w:sz w:val="20"/>
              </w:rPr>
              <w:t xml:space="preserve">8 602</w:t>
            </w:r>
          </w:p>
        </w:tc>
        <w:tc>
          <w:tcPr>
            <w:tcW w:w="624" w:type="dxa"/>
            <w:vAlign w:val="center"/>
            <w:tcBorders>
              <w:top w:val="nil"/>
              <w:left w:val="nil"/>
              <w:bottom w:val="nil"/>
              <w:right w:val="nil"/>
            </w:tcBorders>
          </w:tcPr>
          <w:p>
            <w:pPr>
              <w:pStyle w:val="0"/>
              <w:jc w:val="center"/>
            </w:pPr>
            <w:r>
              <w:rPr>
                <w:sz w:val="20"/>
              </w:rPr>
              <w:t xml:space="preserve">4,5</w:t>
            </w:r>
          </w:p>
        </w:tc>
        <w:tc>
          <w:tcPr>
            <w:tcW w:w="850" w:type="dxa"/>
            <w:vAlign w:val="center"/>
            <w:tcBorders>
              <w:top w:val="nil"/>
              <w:left w:val="nil"/>
              <w:bottom w:val="nil"/>
              <w:right w:val="nil"/>
            </w:tcBorders>
          </w:tcPr>
          <w:p>
            <w:pPr>
              <w:pStyle w:val="0"/>
              <w:jc w:val="center"/>
            </w:pPr>
            <w:r>
              <w:rPr>
                <w:sz w:val="20"/>
              </w:rPr>
              <w:t xml:space="preserve">7 482</w:t>
            </w:r>
          </w:p>
        </w:tc>
        <w:tc>
          <w:tcPr>
            <w:tcW w:w="624" w:type="dxa"/>
            <w:vAlign w:val="center"/>
            <w:tcBorders>
              <w:top w:val="nil"/>
              <w:left w:val="nil"/>
              <w:bottom w:val="nil"/>
              <w:right w:val="nil"/>
            </w:tcBorders>
          </w:tcPr>
          <w:p>
            <w:pPr>
              <w:pStyle w:val="0"/>
              <w:jc w:val="center"/>
            </w:pPr>
            <w:r>
              <w:rPr>
                <w:sz w:val="20"/>
              </w:rPr>
              <w:t xml:space="preserve">3,7</w:t>
            </w:r>
          </w:p>
        </w:tc>
      </w:tr>
      <w:tr>
        <w:tc>
          <w:tcPr>
            <w:tcW w:w="1984" w:type="dxa"/>
            <w:vAlign w:val="bottom"/>
            <w:tcBorders>
              <w:top w:val="nil"/>
              <w:left w:val="nil"/>
              <w:bottom w:val="nil"/>
              <w:right w:val="nil"/>
            </w:tcBorders>
          </w:tcPr>
          <w:p>
            <w:pPr>
              <w:pStyle w:val="0"/>
            </w:pPr>
            <w:r>
              <w:rPr>
                <w:sz w:val="20"/>
              </w:rPr>
              <w:t xml:space="preserve">Нацбезопасность и правоохрана</w:t>
            </w:r>
          </w:p>
        </w:tc>
        <w:tc>
          <w:tcPr>
            <w:tcW w:w="850" w:type="dxa"/>
            <w:vAlign w:val="center"/>
            <w:tcBorders>
              <w:top w:val="nil"/>
              <w:left w:val="nil"/>
              <w:bottom w:val="nil"/>
              <w:right w:val="nil"/>
            </w:tcBorders>
          </w:tcPr>
          <w:p>
            <w:pPr>
              <w:pStyle w:val="0"/>
              <w:jc w:val="center"/>
            </w:pPr>
            <w:r>
              <w:rPr>
                <w:sz w:val="20"/>
              </w:rPr>
              <w:t xml:space="preserve">2 234</w:t>
            </w:r>
          </w:p>
        </w:tc>
        <w:tc>
          <w:tcPr>
            <w:tcW w:w="680" w:type="dxa"/>
            <w:vAlign w:val="center"/>
            <w:tcBorders>
              <w:top w:val="nil"/>
              <w:left w:val="nil"/>
              <w:bottom w:val="nil"/>
              <w:right w:val="nil"/>
            </w:tcBorders>
          </w:tcPr>
          <w:p>
            <w:pPr>
              <w:pStyle w:val="0"/>
              <w:jc w:val="center"/>
            </w:pPr>
            <w:r>
              <w:rPr>
                <w:sz w:val="20"/>
              </w:rPr>
              <w:t xml:space="preserve">2,0</w:t>
            </w:r>
          </w:p>
        </w:tc>
        <w:tc>
          <w:tcPr>
            <w:tcW w:w="850" w:type="dxa"/>
            <w:vAlign w:val="center"/>
            <w:tcBorders>
              <w:top w:val="nil"/>
              <w:left w:val="nil"/>
              <w:bottom w:val="nil"/>
              <w:right w:val="nil"/>
            </w:tcBorders>
          </w:tcPr>
          <w:p>
            <w:pPr>
              <w:pStyle w:val="0"/>
              <w:jc w:val="center"/>
            </w:pPr>
            <w:r>
              <w:rPr>
                <w:sz w:val="20"/>
              </w:rPr>
              <w:t xml:space="preserve">2 392</w:t>
            </w:r>
          </w:p>
        </w:tc>
        <w:tc>
          <w:tcPr>
            <w:tcW w:w="624" w:type="dxa"/>
            <w:vAlign w:val="center"/>
            <w:tcBorders>
              <w:top w:val="nil"/>
              <w:left w:val="nil"/>
              <w:bottom w:val="nil"/>
              <w:right w:val="nil"/>
            </w:tcBorders>
          </w:tcPr>
          <w:p>
            <w:pPr>
              <w:pStyle w:val="0"/>
              <w:jc w:val="center"/>
            </w:pPr>
            <w:r>
              <w:rPr>
                <w:sz w:val="20"/>
              </w:rPr>
              <w:t xml:space="preserve">2,2</w:t>
            </w:r>
          </w:p>
        </w:tc>
        <w:tc>
          <w:tcPr>
            <w:tcW w:w="794" w:type="dxa"/>
            <w:vAlign w:val="center"/>
            <w:tcBorders>
              <w:top w:val="nil"/>
              <w:left w:val="nil"/>
              <w:bottom w:val="nil"/>
              <w:right w:val="nil"/>
            </w:tcBorders>
          </w:tcPr>
          <w:p>
            <w:pPr>
              <w:pStyle w:val="0"/>
              <w:jc w:val="center"/>
            </w:pPr>
            <w:r>
              <w:rPr>
                <w:sz w:val="20"/>
              </w:rPr>
              <w:t xml:space="preserve">2 504</w:t>
            </w:r>
          </w:p>
        </w:tc>
        <w:tc>
          <w:tcPr>
            <w:tcW w:w="624" w:type="dxa"/>
            <w:vAlign w:val="center"/>
            <w:tcBorders>
              <w:top w:val="nil"/>
              <w:left w:val="nil"/>
              <w:bottom w:val="nil"/>
              <w:right w:val="nil"/>
            </w:tcBorders>
          </w:tcPr>
          <w:p>
            <w:pPr>
              <w:pStyle w:val="0"/>
              <w:jc w:val="center"/>
            </w:pPr>
            <w:r>
              <w:rPr>
                <w:sz w:val="20"/>
              </w:rPr>
              <w:t xml:space="preserve">1,9</w:t>
            </w:r>
          </w:p>
        </w:tc>
        <w:tc>
          <w:tcPr>
            <w:tcW w:w="850" w:type="dxa"/>
            <w:vAlign w:val="center"/>
            <w:tcBorders>
              <w:top w:val="nil"/>
              <w:left w:val="nil"/>
              <w:bottom w:val="nil"/>
              <w:right w:val="nil"/>
            </w:tcBorders>
          </w:tcPr>
          <w:p>
            <w:pPr>
              <w:pStyle w:val="0"/>
              <w:jc w:val="center"/>
            </w:pPr>
            <w:r>
              <w:rPr>
                <w:sz w:val="20"/>
              </w:rPr>
              <w:t xml:space="preserve">3 485</w:t>
            </w:r>
          </w:p>
        </w:tc>
        <w:tc>
          <w:tcPr>
            <w:tcW w:w="624" w:type="dxa"/>
            <w:vAlign w:val="center"/>
            <w:tcBorders>
              <w:top w:val="nil"/>
              <w:left w:val="nil"/>
              <w:bottom w:val="nil"/>
              <w:right w:val="nil"/>
            </w:tcBorders>
          </w:tcPr>
          <w:p>
            <w:pPr>
              <w:pStyle w:val="0"/>
              <w:jc w:val="center"/>
            </w:pPr>
            <w:r>
              <w:rPr>
                <w:sz w:val="20"/>
              </w:rPr>
              <w:t xml:space="preserve">2,1</w:t>
            </w:r>
          </w:p>
        </w:tc>
        <w:tc>
          <w:tcPr>
            <w:tcW w:w="794" w:type="dxa"/>
            <w:vAlign w:val="center"/>
            <w:tcBorders>
              <w:top w:val="nil"/>
              <w:left w:val="nil"/>
              <w:bottom w:val="nil"/>
              <w:right w:val="nil"/>
            </w:tcBorders>
          </w:tcPr>
          <w:p>
            <w:pPr>
              <w:pStyle w:val="0"/>
              <w:jc w:val="center"/>
            </w:pPr>
            <w:r>
              <w:rPr>
                <w:sz w:val="20"/>
              </w:rPr>
              <w:t xml:space="preserve">3 666</w:t>
            </w:r>
          </w:p>
        </w:tc>
        <w:tc>
          <w:tcPr>
            <w:tcW w:w="624" w:type="dxa"/>
            <w:vAlign w:val="center"/>
            <w:tcBorders>
              <w:top w:val="nil"/>
              <w:left w:val="nil"/>
              <w:bottom w:val="nil"/>
              <w:right w:val="nil"/>
            </w:tcBorders>
          </w:tcPr>
          <w:p>
            <w:pPr>
              <w:pStyle w:val="0"/>
              <w:jc w:val="center"/>
            </w:pPr>
            <w:r>
              <w:rPr>
                <w:sz w:val="20"/>
              </w:rPr>
              <w:t xml:space="preserve">2,0</w:t>
            </w:r>
          </w:p>
        </w:tc>
        <w:tc>
          <w:tcPr>
            <w:tcW w:w="850" w:type="dxa"/>
            <w:vAlign w:val="center"/>
            <w:tcBorders>
              <w:top w:val="nil"/>
              <w:left w:val="nil"/>
              <w:bottom w:val="nil"/>
              <w:right w:val="nil"/>
            </w:tcBorders>
          </w:tcPr>
          <w:p>
            <w:pPr>
              <w:pStyle w:val="0"/>
              <w:jc w:val="center"/>
            </w:pPr>
            <w:r>
              <w:rPr>
                <w:sz w:val="20"/>
              </w:rPr>
              <w:t xml:space="preserve">3 572</w:t>
            </w:r>
          </w:p>
        </w:tc>
        <w:tc>
          <w:tcPr>
            <w:tcW w:w="624" w:type="dxa"/>
            <w:vAlign w:val="center"/>
            <w:tcBorders>
              <w:top w:val="nil"/>
              <w:left w:val="nil"/>
              <w:bottom w:val="nil"/>
              <w:right w:val="nil"/>
            </w:tcBorders>
          </w:tcPr>
          <w:p>
            <w:pPr>
              <w:pStyle w:val="0"/>
              <w:jc w:val="center"/>
            </w:pPr>
            <w:r>
              <w:rPr>
                <w:sz w:val="20"/>
              </w:rPr>
              <w:t xml:space="preserve">1,9</w:t>
            </w:r>
          </w:p>
        </w:tc>
        <w:tc>
          <w:tcPr>
            <w:tcW w:w="850" w:type="dxa"/>
            <w:vAlign w:val="center"/>
            <w:tcBorders>
              <w:top w:val="nil"/>
              <w:left w:val="nil"/>
              <w:bottom w:val="nil"/>
              <w:right w:val="nil"/>
            </w:tcBorders>
          </w:tcPr>
          <w:p>
            <w:pPr>
              <w:pStyle w:val="0"/>
              <w:jc w:val="center"/>
            </w:pPr>
            <w:r>
              <w:rPr>
                <w:sz w:val="20"/>
              </w:rPr>
              <w:t xml:space="preserve">3 725</w:t>
            </w:r>
          </w:p>
        </w:tc>
        <w:tc>
          <w:tcPr>
            <w:tcW w:w="624" w:type="dxa"/>
            <w:vAlign w:val="center"/>
            <w:tcBorders>
              <w:top w:val="nil"/>
              <w:left w:val="nil"/>
              <w:bottom w:val="nil"/>
              <w:right w:val="nil"/>
            </w:tcBorders>
          </w:tcPr>
          <w:p>
            <w:pPr>
              <w:pStyle w:val="0"/>
              <w:jc w:val="center"/>
            </w:pPr>
            <w:r>
              <w:rPr>
                <w:sz w:val="20"/>
              </w:rPr>
              <w:t xml:space="preserve">1,8</w:t>
            </w:r>
          </w:p>
        </w:tc>
      </w:tr>
      <w:tr>
        <w:tc>
          <w:tcPr>
            <w:tcW w:w="1984" w:type="dxa"/>
            <w:tcBorders>
              <w:top w:val="nil"/>
              <w:left w:val="nil"/>
              <w:bottom w:val="nil"/>
              <w:right w:val="nil"/>
            </w:tcBorders>
          </w:tcPr>
          <w:p>
            <w:pPr>
              <w:pStyle w:val="0"/>
            </w:pPr>
            <w:r>
              <w:rPr>
                <w:sz w:val="20"/>
              </w:rPr>
              <w:t xml:space="preserve">Национальная экономика</w:t>
            </w:r>
          </w:p>
        </w:tc>
        <w:tc>
          <w:tcPr>
            <w:tcW w:w="850" w:type="dxa"/>
            <w:vAlign w:val="center"/>
            <w:tcBorders>
              <w:top w:val="nil"/>
              <w:left w:val="nil"/>
              <w:bottom w:val="nil"/>
              <w:right w:val="nil"/>
            </w:tcBorders>
          </w:tcPr>
          <w:p>
            <w:pPr>
              <w:pStyle w:val="0"/>
              <w:jc w:val="center"/>
            </w:pPr>
            <w:r>
              <w:rPr>
                <w:sz w:val="20"/>
              </w:rPr>
              <w:t xml:space="preserve">5 172</w:t>
            </w:r>
          </w:p>
        </w:tc>
        <w:tc>
          <w:tcPr>
            <w:tcW w:w="680" w:type="dxa"/>
            <w:vAlign w:val="center"/>
            <w:tcBorders>
              <w:top w:val="nil"/>
              <w:left w:val="nil"/>
              <w:bottom w:val="nil"/>
              <w:right w:val="nil"/>
            </w:tcBorders>
          </w:tcPr>
          <w:p>
            <w:pPr>
              <w:pStyle w:val="0"/>
              <w:jc w:val="center"/>
            </w:pPr>
            <w:r>
              <w:rPr>
                <w:sz w:val="20"/>
              </w:rPr>
              <w:t xml:space="preserve">4,7</w:t>
            </w:r>
          </w:p>
        </w:tc>
        <w:tc>
          <w:tcPr>
            <w:tcW w:w="850" w:type="dxa"/>
            <w:vAlign w:val="center"/>
            <w:tcBorders>
              <w:top w:val="nil"/>
              <w:left w:val="nil"/>
              <w:bottom w:val="nil"/>
              <w:right w:val="nil"/>
            </w:tcBorders>
          </w:tcPr>
          <w:p>
            <w:pPr>
              <w:pStyle w:val="0"/>
              <w:jc w:val="center"/>
            </w:pPr>
            <w:r>
              <w:rPr>
                <w:sz w:val="20"/>
              </w:rPr>
              <w:t xml:space="preserve">6 041</w:t>
            </w:r>
          </w:p>
        </w:tc>
        <w:tc>
          <w:tcPr>
            <w:tcW w:w="624" w:type="dxa"/>
            <w:vAlign w:val="center"/>
            <w:tcBorders>
              <w:top w:val="nil"/>
              <w:left w:val="nil"/>
              <w:bottom w:val="nil"/>
              <w:right w:val="nil"/>
            </w:tcBorders>
          </w:tcPr>
          <w:p>
            <w:pPr>
              <w:pStyle w:val="0"/>
              <w:jc w:val="center"/>
            </w:pPr>
            <w:r>
              <w:rPr>
                <w:sz w:val="20"/>
              </w:rPr>
              <w:t xml:space="preserve">5,6</w:t>
            </w:r>
          </w:p>
        </w:tc>
        <w:tc>
          <w:tcPr>
            <w:tcW w:w="794" w:type="dxa"/>
            <w:vAlign w:val="center"/>
            <w:tcBorders>
              <w:top w:val="nil"/>
              <w:left w:val="nil"/>
              <w:bottom w:val="nil"/>
              <w:right w:val="nil"/>
            </w:tcBorders>
          </w:tcPr>
          <w:p>
            <w:pPr>
              <w:pStyle w:val="0"/>
              <w:jc w:val="center"/>
            </w:pPr>
            <w:r>
              <w:rPr>
                <w:sz w:val="20"/>
              </w:rPr>
              <w:t xml:space="preserve">7 236</w:t>
            </w:r>
          </w:p>
        </w:tc>
        <w:tc>
          <w:tcPr>
            <w:tcW w:w="624" w:type="dxa"/>
            <w:vAlign w:val="center"/>
            <w:tcBorders>
              <w:top w:val="nil"/>
              <w:left w:val="nil"/>
              <w:bottom w:val="nil"/>
              <w:right w:val="nil"/>
            </w:tcBorders>
          </w:tcPr>
          <w:p>
            <w:pPr>
              <w:pStyle w:val="0"/>
              <w:jc w:val="center"/>
            </w:pPr>
            <w:r>
              <w:rPr>
                <w:sz w:val="20"/>
              </w:rPr>
              <w:t xml:space="preserve">5,3</w:t>
            </w:r>
          </w:p>
        </w:tc>
        <w:tc>
          <w:tcPr>
            <w:tcW w:w="850" w:type="dxa"/>
            <w:vAlign w:val="center"/>
            <w:tcBorders>
              <w:top w:val="nil"/>
              <w:left w:val="nil"/>
              <w:bottom w:val="nil"/>
              <w:right w:val="nil"/>
            </w:tcBorders>
          </w:tcPr>
          <w:p>
            <w:pPr>
              <w:pStyle w:val="0"/>
              <w:jc w:val="center"/>
            </w:pPr>
            <w:r>
              <w:rPr>
                <w:sz w:val="20"/>
              </w:rPr>
              <w:t xml:space="preserve">8 812</w:t>
            </w:r>
          </w:p>
        </w:tc>
        <w:tc>
          <w:tcPr>
            <w:tcW w:w="624" w:type="dxa"/>
            <w:vAlign w:val="center"/>
            <w:tcBorders>
              <w:top w:val="nil"/>
              <w:left w:val="nil"/>
              <w:bottom w:val="nil"/>
              <w:right w:val="nil"/>
            </w:tcBorders>
          </w:tcPr>
          <w:p>
            <w:pPr>
              <w:pStyle w:val="0"/>
              <w:jc w:val="center"/>
            </w:pPr>
            <w:r>
              <w:rPr>
                <w:sz w:val="20"/>
              </w:rPr>
              <w:t xml:space="preserve">5,3</w:t>
            </w:r>
          </w:p>
        </w:tc>
        <w:tc>
          <w:tcPr>
            <w:tcW w:w="794" w:type="dxa"/>
            <w:vAlign w:val="center"/>
            <w:tcBorders>
              <w:top w:val="nil"/>
              <w:left w:val="nil"/>
              <w:bottom w:val="nil"/>
              <w:right w:val="nil"/>
            </w:tcBorders>
          </w:tcPr>
          <w:p>
            <w:pPr>
              <w:pStyle w:val="0"/>
              <w:jc w:val="center"/>
            </w:pPr>
            <w:r>
              <w:rPr>
                <w:sz w:val="20"/>
              </w:rPr>
              <w:t xml:space="preserve">8 879</w:t>
            </w:r>
          </w:p>
        </w:tc>
        <w:tc>
          <w:tcPr>
            <w:tcW w:w="624" w:type="dxa"/>
            <w:vAlign w:val="center"/>
            <w:tcBorders>
              <w:top w:val="nil"/>
              <w:left w:val="nil"/>
              <w:bottom w:val="nil"/>
              <w:right w:val="nil"/>
            </w:tcBorders>
          </w:tcPr>
          <w:p>
            <w:pPr>
              <w:pStyle w:val="0"/>
              <w:jc w:val="center"/>
            </w:pPr>
            <w:r>
              <w:rPr>
                <w:sz w:val="20"/>
              </w:rPr>
              <w:t xml:space="preserve">4,9</w:t>
            </w:r>
          </w:p>
        </w:tc>
        <w:tc>
          <w:tcPr>
            <w:tcW w:w="850" w:type="dxa"/>
            <w:vAlign w:val="center"/>
            <w:tcBorders>
              <w:top w:val="nil"/>
              <w:left w:val="nil"/>
              <w:bottom w:val="nil"/>
              <w:right w:val="nil"/>
            </w:tcBorders>
          </w:tcPr>
          <w:p>
            <w:pPr>
              <w:pStyle w:val="0"/>
              <w:jc w:val="center"/>
            </w:pPr>
            <w:r>
              <w:rPr>
                <w:sz w:val="20"/>
              </w:rPr>
              <w:t xml:space="preserve">8 393</w:t>
            </w:r>
          </w:p>
        </w:tc>
        <w:tc>
          <w:tcPr>
            <w:tcW w:w="624" w:type="dxa"/>
            <w:vAlign w:val="center"/>
            <w:tcBorders>
              <w:top w:val="nil"/>
              <w:left w:val="nil"/>
              <w:bottom w:val="nil"/>
              <w:right w:val="nil"/>
            </w:tcBorders>
          </w:tcPr>
          <w:p>
            <w:pPr>
              <w:pStyle w:val="0"/>
              <w:jc w:val="center"/>
            </w:pPr>
            <w:r>
              <w:rPr>
                <w:sz w:val="20"/>
              </w:rPr>
              <w:t xml:space="preserve">4,4</w:t>
            </w:r>
          </w:p>
        </w:tc>
        <w:tc>
          <w:tcPr>
            <w:tcW w:w="850" w:type="dxa"/>
            <w:vAlign w:val="center"/>
            <w:tcBorders>
              <w:top w:val="nil"/>
              <w:left w:val="nil"/>
              <w:bottom w:val="nil"/>
              <w:right w:val="nil"/>
            </w:tcBorders>
          </w:tcPr>
          <w:p>
            <w:pPr>
              <w:pStyle w:val="0"/>
              <w:jc w:val="center"/>
            </w:pPr>
            <w:r>
              <w:rPr>
                <w:sz w:val="20"/>
              </w:rPr>
              <w:t xml:space="preserve">8 943</w:t>
            </w:r>
          </w:p>
        </w:tc>
        <w:tc>
          <w:tcPr>
            <w:tcW w:w="624" w:type="dxa"/>
            <w:vAlign w:val="center"/>
            <w:tcBorders>
              <w:top w:val="nil"/>
              <w:left w:val="nil"/>
              <w:bottom w:val="nil"/>
              <w:right w:val="nil"/>
            </w:tcBorders>
          </w:tcPr>
          <w:p>
            <w:pPr>
              <w:pStyle w:val="0"/>
              <w:jc w:val="center"/>
            </w:pPr>
            <w:r>
              <w:rPr>
                <w:sz w:val="20"/>
              </w:rPr>
              <w:t xml:space="preserve">4,4</w:t>
            </w:r>
          </w:p>
        </w:tc>
      </w:tr>
      <w:tr>
        <w:tc>
          <w:tcPr>
            <w:tcW w:w="1984" w:type="dxa"/>
            <w:vAlign w:val="bottom"/>
            <w:tcBorders>
              <w:top w:val="nil"/>
              <w:left w:val="nil"/>
              <w:bottom w:val="nil"/>
              <w:right w:val="nil"/>
            </w:tcBorders>
          </w:tcPr>
          <w:p>
            <w:pPr>
              <w:pStyle w:val="0"/>
            </w:pPr>
            <w:r>
              <w:rPr>
                <w:sz w:val="20"/>
              </w:rPr>
              <w:t xml:space="preserve">ЖКХ</w:t>
            </w:r>
          </w:p>
        </w:tc>
        <w:tc>
          <w:tcPr>
            <w:tcW w:w="850" w:type="dxa"/>
            <w:vAlign w:val="center"/>
            <w:tcBorders>
              <w:top w:val="nil"/>
              <w:left w:val="nil"/>
              <w:bottom w:val="nil"/>
              <w:right w:val="nil"/>
            </w:tcBorders>
          </w:tcPr>
          <w:p>
            <w:pPr>
              <w:pStyle w:val="0"/>
              <w:jc w:val="center"/>
            </w:pPr>
            <w:r>
              <w:rPr>
                <w:sz w:val="20"/>
              </w:rPr>
              <w:t xml:space="preserve">1 575</w:t>
            </w:r>
          </w:p>
        </w:tc>
        <w:tc>
          <w:tcPr>
            <w:tcW w:w="680" w:type="dxa"/>
            <w:vAlign w:val="center"/>
            <w:tcBorders>
              <w:top w:val="nil"/>
              <w:left w:val="nil"/>
              <w:bottom w:val="nil"/>
              <w:right w:val="nil"/>
            </w:tcBorders>
          </w:tcPr>
          <w:p>
            <w:pPr>
              <w:pStyle w:val="0"/>
              <w:jc w:val="center"/>
            </w:pPr>
            <w:r>
              <w:rPr>
                <w:sz w:val="20"/>
              </w:rPr>
              <w:t xml:space="preserve">1,4</w:t>
            </w:r>
          </w:p>
        </w:tc>
        <w:tc>
          <w:tcPr>
            <w:tcW w:w="850" w:type="dxa"/>
            <w:vAlign w:val="center"/>
            <w:tcBorders>
              <w:top w:val="nil"/>
              <w:left w:val="nil"/>
              <w:bottom w:val="nil"/>
              <w:right w:val="nil"/>
            </w:tcBorders>
          </w:tcPr>
          <w:p>
            <w:pPr>
              <w:pStyle w:val="0"/>
              <w:jc w:val="center"/>
            </w:pPr>
            <w:r>
              <w:rPr>
                <w:sz w:val="20"/>
              </w:rPr>
              <w:t xml:space="preserve">1 591</w:t>
            </w:r>
          </w:p>
        </w:tc>
        <w:tc>
          <w:tcPr>
            <w:tcW w:w="624" w:type="dxa"/>
            <w:vAlign w:val="center"/>
            <w:tcBorders>
              <w:top w:val="nil"/>
              <w:left w:val="nil"/>
              <w:bottom w:val="nil"/>
              <w:right w:val="nil"/>
            </w:tcBorders>
          </w:tcPr>
          <w:p>
            <w:pPr>
              <w:pStyle w:val="0"/>
              <w:jc w:val="center"/>
            </w:pPr>
            <w:r>
              <w:rPr>
                <w:sz w:val="20"/>
              </w:rPr>
              <w:t xml:space="preserve">1,5</w:t>
            </w:r>
          </w:p>
        </w:tc>
        <w:tc>
          <w:tcPr>
            <w:tcW w:w="794" w:type="dxa"/>
            <w:vAlign w:val="center"/>
            <w:tcBorders>
              <w:top w:val="nil"/>
              <w:left w:val="nil"/>
              <w:bottom w:val="nil"/>
              <w:right w:val="nil"/>
            </w:tcBorders>
          </w:tcPr>
          <w:p>
            <w:pPr>
              <w:pStyle w:val="0"/>
              <w:jc w:val="center"/>
            </w:pPr>
            <w:r>
              <w:rPr>
                <w:sz w:val="20"/>
              </w:rPr>
              <w:t xml:space="preserve">2 172</w:t>
            </w:r>
          </w:p>
        </w:tc>
        <w:tc>
          <w:tcPr>
            <w:tcW w:w="624" w:type="dxa"/>
            <w:vAlign w:val="center"/>
            <w:tcBorders>
              <w:top w:val="nil"/>
              <w:left w:val="nil"/>
              <w:bottom w:val="nil"/>
              <w:right w:val="nil"/>
            </w:tcBorders>
          </w:tcPr>
          <w:p>
            <w:pPr>
              <w:pStyle w:val="0"/>
              <w:jc w:val="center"/>
            </w:pPr>
            <w:r>
              <w:rPr>
                <w:sz w:val="20"/>
              </w:rPr>
              <w:t xml:space="preserve">1,6</w:t>
            </w:r>
          </w:p>
        </w:tc>
        <w:tc>
          <w:tcPr>
            <w:tcW w:w="850" w:type="dxa"/>
            <w:vAlign w:val="center"/>
            <w:tcBorders>
              <w:top w:val="nil"/>
              <w:left w:val="nil"/>
              <w:bottom w:val="nil"/>
              <w:right w:val="nil"/>
            </w:tcBorders>
          </w:tcPr>
          <w:p>
            <w:pPr>
              <w:pStyle w:val="0"/>
              <w:jc w:val="center"/>
            </w:pPr>
            <w:r>
              <w:rPr>
                <w:sz w:val="20"/>
              </w:rPr>
              <w:t xml:space="preserve">2 853</w:t>
            </w:r>
          </w:p>
        </w:tc>
        <w:tc>
          <w:tcPr>
            <w:tcW w:w="624" w:type="dxa"/>
            <w:vAlign w:val="center"/>
            <w:tcBorders>
              <w:top w:val="nil"/>
              <w:left w:val="nil"/>
              <w:bottom w:val="nil"/>
              <w:right w:val="nil"/>
            </w:tcBorders>
          </w:tcPr>
          <w:p>
            <w:pPr>
              <w:pStyle w:val="0"/>
              <w:jc w:val="center"/>
            </w:pPr>
            <w:r>
              <w:rPr>
                <w:sz w:val="20"/>
              </w:rPr>
              <w:t xml:space="preserve">1,7</w:t>
            </w:r>
          </w:p>
        </w:tc>
        <w:tc>
          <w:tcPr>
            <w:tcW w:w="794" w:type="dxa"/>
            <w:vAlign w:val="center"/>
            <w:tcBorders>
              <w:top w:val="nil"/>
              <w:left w:val="nil"/>
              <w:bottom w:val="nil"/>
              <w:right w:val="nil"/>
            </w:tcBorders>
          </w:tcPr>
          <w:p>
            <w:pPr>
              <w:pStyle w:val="0"/>
              <w:jc w:val="center"/>
            </w:pPr>
            <w:r>
              <w:rPr>
                <w:sz w:val="20"/>
              </w:rPr>
              <w:t xml:space="preserve">3 110</w:t>
            </w:r>
          </w:p>
        </w:tc>
        <w:tc>
          <w:tcPr>
            <w:tcW w:w="624" w:type="dxa"/>
            <w:vAlign w:val="center"/>
            <w:tcBorders>
              <w:top w:val="nil"/>
              <w:left w:val="nil"/>
              <w:bottom w:val="nil"/>
              <w:right w:val="nil"/>
            </w:tcBorders>
          </w:tcPr>
          <w:p>
            <w:pPr>
              <w:pStyle w:val="0"/>
              <w:jc w:val="center"/>
            </w:pPr>
            <w:r>
              <w:rPr>
                <w:sz w:val="20"/>
              </w:rPr>
              <w:t xml:space="preserve">1,7</w:t>
            </w:r>
          </w:p>
        </w:tc>
        <w:tc>
          <w:tcPr>
            <w:tcW w:w="850" w:type="dxa"/>
            <w:vAlign w:val="center"/>
            <w:tcBorders>
              <w:top w:val="nil"/>
              <w:left w:val="nil"/>
              <w:bottom w:val="nil"/>
              <w:right w:val="nil"/>
            </w:tcBorders>
          </w:tcPr>
          <w:p>
            <w:pPr>
              <w:pStyle w:val="0"/>
              <w:jc w:val="center"/>
            </w:pPr>
            <w:r>
              <w:rPr>
                <w:sz w:val="20"/>
              </w:rPr>
              <w:t xml:space="preserve">2 755</w:t>
            </w:r>
          </w:p>
        </w:tc>
        <w:tc>
          <w:tcPr>
            <w:tcW w:w="624" w:type="dxa"/>
            <w:vAlign w:val="center"/>
            <w:tcBorders>
              <w:top w:val="nil"/>
              <w:left w:val="nil"/>
              <w:bottom w:val="nil"/>
              <w:right w:val="nil"/>
            </w:tcBorders>
          </w:tcPr>
          <w:p>
            <w:pPr>
              <w:pStyle w:val="0"/>
              <w:jc w:val="center"/>
            </w:pPr>
            <w:r>
              <w:rPr>
                <w:sz w:val="20"/>
              </w:rPr>
              <w:t xml:space="preserve">1,4</w:t>
            </w:r>
          </w:p>
        </w:tc>
        <w:tc>
          <w:tcPr>
            <w:tcW w:w="850" w:type="dxa"/>
            <w:vAlign w:val="center"/>
            <w:tcBorders>
              <w:top w:val="nil"/>
              <w:left w:val="nil"/>
              <w:bottom w:val="nil"/>
              <w:right w:val="nil"/>
            </w:tcBorders>
          </w:tcPr>
          <w:p>
            <w:pPr>
              <w:pStyle w:val="0"/>
              <w:jc w:val="center"/>
            </w:pPr>
            <w:r>
              <w:rPr>
                <w:sz w:val="20"/>
              </w:rPr>
              <w:t xml:space="preserve">2 766</w:t>
            </w:r>
          </w:p>
        </w:tc>
        <w:tc>
          <w:tcPr>
            <w:tcW w:w="624" w:type="dxa"/>
            <w:vAlign w:val="center"/>
            <w:tcBorders>
              <w:top w:val="nil"/>
              <w:left w:val="nil"/>
              <w:bottom w:val="nil"/>
              <w:right w:val="nil"/>
            </w:tcBorders>
          </w:tcPr>
          <w:p>
            <w:pPr>
              <w:pStyle w:val="0"/>
              <w:jc w:val="center"/>
            </w:pPr>
            <w:r>
              <w:rPr>
                <w:sz w:val="20"/>
              </w:rPr>
              <w:t xml:space="preserve">1,4</w:t>
            </w:r>
          </w:p>
        </w:tc>
      </w:tr>
      <w:tr>
        <w:tc>
          <w:tcPr>
            <w:tcW w:w="1984" w:type="dxa"/>
            <w:tcBorders>
              <w:top w:val="nil"/>
              <w:left w:val="nil"/>
              <w:bottom w:val="nil"/>
              <w:right w:val="nil"/>
            </w:tcBorders>
          </w:tcPr>
          <w:p>
            <w:pPr>
              <w:pStyle w:val="0"/>
            </w:pPr>
            <w:r>
              <w:rPr>
                <w:sz w:val="20"/>
              </w:rPr>
              <w:t xml:space="preserve">Охрана окружающей среды</w:t>
            </w:r>
          </w:p>
        </w:tc>
        <w:tc>
          <w:tcPr>
            <w:tcW w:w="850" w:type="dxa"/>
            <w:vAlign w:val="center"/>
            <w:tcBorders>
              <w:top w:val="nil"/>
              <w:left w:val="nil"/>
              <w:bottom w:val="nil"/>
              <w:right w:val="nil"/>
            </w:tcBorders>
          </w:tcPr>
          <w:p>
            <w:pPr>
              <w:pStyle w:val="0"/>
              <w:jc w:val="center"/>
            </w:pPr>
            <w:r>
              <w:rPr>
                <w:sz w:val="20"/>
              </w:rPr>
              <w:t xml:space="preserve">250</w:t>
            </w:r>
          </w:p>
        </w:tc>
        <w:tc>
          <w:tcPr>
            <w:tcW w:w="680" w:type="dxa"/>
            <w:vAlign w:val="center"/>
            <w:tcBorders>
              <w:top w:val="nil"/>
              <w:left w:val="nil"/>
              <w:bottom w:val="nil"/>
              <w:right w:val="nil"/>
            </w:tcBorders>
          </w:tcPr>
          <w:p>
            <w:pPr>
              <w:pStyle w:val="0"/>
              <w:jc w:val="center"/>
            </w:pPr>
            <w:r>
              <w:rPr>
                <w:sz w:val="20"/>
              </w:rPr>
              <w:t xml:space="preserve">0,2</w:t>
            </w:r>
          </w:p>
        </w:tc>
        <w:tc>
          <w:tcPr>
            <w:tcW w:w="850" w:type="dxa"/>
            <w:vAlign w:val="center"/>
            <w:tcBorders>
              <w:top w:val="nil"/>
              <w:left w:val="nil"/>
              <w:bottom w:val="nil"/>
              <w:right w:val="nil"/>
            </w:tcBorders>
          </w:tcPr>
          <w:p>
            <w:pPr>
              <w:pStyle w:val="0"/>
              <w:jc w:val="center"/>
            </w:pPr>
            <w:r>
              <w:rPr>
                <w:sz w:val="20"/>
              </w:rPr>
              <w:t xml:space="preserve">304</w:t>
            </w:r>
          </w:p>
        </w:tc>
        <w:tc>
          <w:tcPr>
            <w:tcW w:w="624" w:type="dxa"/>
            <w:vAlign w:val="center"/>
            <w:tcBorders>
              <w:top w:val="nil"/>
              <w:left w:val="nil"/>
              <w:bottom w:val="nil"/>
              <w:right w:val="nil"/>
            </w:tcBorders>
          </w:tcPr>
          <w:p>
            <w:pPr>
              <w:pStyle w:val="0"/>
              <w:jc w:val="center"/>
            </w:pPr>
            <w:r>
              <w:rPr>
                <w:sz w:val="20"/>
              </w:rPr>
              <w:t xml:space="preserve">0,3</w:t>
            </w:r>
          </w:p>
        </w:tc>
        <w:tc>
          <w:tcPr>
            <w:tcW w:w="794" w:type="dxa"/>
            <w:vAlign w:val="center"/>
            <w:tcBorders>
              <w:top w:val="nil"/>
              <w:left w:val="nil"/>
              <w:bottom w:val="nil"/>
              <w:right w:val="nil"/>
            </w:tcBorders>
          </w:tcPr>
          <w:p>
            <w:pPr>
              <w:pStyle w:val="0"/>
              <w:jc w:val="center"/>
            </w:pPr>
            <w:r>
              <w:rPr>
                <w:sz w:val="20"/>
              </w:rPr>
              <w:t xml:space="preserve">438</w:t>
            </w:r>
          </w:p>
        </w:tc>
        <w:tc>
          <w:tcPr>
            <w:tcW w:w="624" w:type="dxa"/>
            <w:vAlign w:val="center"/>
            <w:tcBorders>
              <w:top w:val="nil"/>
              <w:left w:val="nil"/>
              <w:bottom w:val="nil"/>
              <w:right w:val="nil"/>
            </w:tcBorders>
          </w:tcPr>
          <w:p>
            <w:pPr>
              <w:pStyle w:val="0"/>
              <w:jc w:val="center"/>
            </w:pPr>
            <w:r>
              <w:rPr>
                <w:sz w:val="20"/>
              </w:rPr>
              <w:t xml:space="preserve">0,3</w:t>
            </w:r>
          </w:p>
        </w:tc>
        <w:tc>
          <w:tcPr>
            <w:tcW w:w="850" w:type="dxa"/>
            <w:vAlign w:val="center"/>
            <w:tcBorders>
              <w:top w:val="nil"/>
              <w:left w:val="nil"/>
              <w:bottom w:val="nil"/>
              <w:right w:val="nil"/>
            </w:tcBorders>
          </w:tcPr>
          <w:p>
            <w:pPr>
              <w:pStyle w:val="0"/>
              <w:jc w:val="center"/>
            </w:pPr>
            <w:r>
              <w:rPr>
                <w:sz w:val="20"/>
              </w:rPr>
              <w:t xml:space="preserve">451</w:t>
            </w:r>
          </w:p>
        </w:tc>
        <w:tc>
          <w:tcPr>
            <w:tcW w:w="624" w:type="dxa"/>
            <w:vAlign w:val="center"/>
            <w:tcBorders>
              <w:top w:val="nil"/>
              <w:left w:val="nil"/>
              <w:bottom w:val="nil"/>
              <w:right w:val="nil"/>
            </w:tcBorders>
          </w:tcPr>
          <w:p>
            <w:pPr>
              <w:pStyle w:val="0"/>
              <w:jc w:val="center"/>
            </w:pPr>
            <w:r>
              <w:rPr>
                <w:sz w:val="20"/>
              </w:rPr>
              <w:t xml:space="preserve">0,3</w:t>
            </w:r>
          </w:p>
        </w:tc>
        <w:tc>
          <w:tcPr>
            <w:tcW w:w="794" w:type="dxa"/>
            <w:vAlign w:val="center"/>
            <w:tcBorders>
              <w:top w:val="nil"/>
              <w:left w:val="nil"/>
              <w:bottom w:val="nil"/>
              <w:right w:val="nil"/>
            </w:tcBorders>
          </w:tcPr>
          <w:p>
            <w:pPr>
              <w:pStyle w:val="0"/>
              <w:jc w:val="center"/>
            </w:pPr>
            <w:r>
              <w:rPr>
                <w:sz w:val="20"/>
              </w:rPr>
              <w:t xml:space="preserve">580</w:t>
            </w:r>
          </w:p>
        </w:tc>
        <w:tc>
          <w:tcPr>
            <w:tcW w:w="624" w:type="dxa"/>
            <w:vAlign w:val="center"/>
            <w:tcBorders>
              <w:top w:val="nil"/>
              <w:left w:val="nil"/>
              <w:bottom w:val="nil"/>
              <w:right w:val="nil"/>
            </w:tcBorders>
          </w:tcPr>
          <w:p>
            <w:pPr>
              <w:pStyle w:val="0"/>
              <w:jc w:val="center"/>
            </w:pPr>
            <w:r>
              <w:rPr>
                <w:sz w:val="20"/>
              </w:rPr>
              <w:t xml:space="preserve">0,3</w:t>
            </w:r>
          </w:p>
        </w:tc>
        <w:tc>
          <w:tcPr>
            <w:tcW w:w="850" w:type="dxa"/>
            <w:vAlign w:val="center"/>
            <w:tcBorders>
              <w:top w:val="nil"/>
              <w:left w:val="nil"/>
              <w:bottom w:val="nil"/>
              <w:right w:val="nil"/>
            </w:tcBorders>
          </w:tcPr>
          <w:p>
            <w:pPr>
              <w:pStyle w:val="0"/>
              <w:jc w:val="center"/>
            </w:pPr>
            <w:r>
              <w:rPr>
                <w:sz w:val="20"/>
              </w:rPr>
              <w:t xml:space="preserve">562</w:t>
            </w:r>
          </w:p>
        </w:tc>
        <w:tc>
          <w:tcPr>
            <w:tcW w:w="624" w:type="dxa"/>
            <w:vAlign w:val="center"/>
            <w:tcBorders>
              <w:top w:val="nil"/>
              <w:left w:val="nil"/>
              <w:bottom w:val="nil"/>
              <w:right w:val="nil"/>
            </w:tcBorders>
          </w:tcPr>
          <w:p>
            <w:pPr>
              <w:pStyle w:val="0"/>
              <w:jc w:val="center"/>
            </w:pPr>
            <w:r>
              <w:rPr>
                <w:sz w:val="20"/>
              </w:rPr>
              <w:t xml:space="preserve">0,3</w:t>
            </w:r>
          </w:p>
        </w:tc>
        <w:tc>
          <w:tcPr>
            <w:tcW w:w="850" w:type="dxa"/>
            <w:vAlign w:val="center"/>
            <w:tcBorders>
              <w:top w:val="nil"/>
              <w:left w:val="nil"/>
              <w:bottom w:val="nil"/>
              <w:right w:val="nil"/>
            </w:tcBorders>
          </w:tcPr>
          <w:p>
            <w:pPr>
              <w:pStyle w:val="0"/>
              <w:jc w:val="center"/>
            </w:pPr>
            <w:r>
              <w:rPr>
                <w:sz w:val="20"/>
              </w:rPr>
              <w:t xml:space="preserve">619</w:t>
            </w:r>
          </w:p>
        </w:tc>
        <w:tc>
          <w:tcPr>
            <w:tcW w:w="624" w:type="dxa"/>
            <w:vAlign w:val="center"/>
            <w:tcBorders>
              <w:top w:val="nil"/>
              <w:left w:val="nil"/>
              <w:bottom w:val="nil"/>
              <w:right w:val="nil"/>
            </w:tcBorders>
          </w:tcPr>
          <w:p>
            <w:pPr>
              <w:pStyle w:val="0"/>
              <w:jc w:val="center"/>
            </w:pPr>
            <w:r>
              <w:rPr>
                <w:sz w:val="20"/>
              </w:rPr>
              <w:t xml:space="preserve">0,3</w:t>
            </w:r>
          </w:p>
        </w:tc>
      </w:tr>
      <w:tr>
        <w:tc>
          <w:tcPr>
            <w:tcW w:w="1984" w:type="dxa"/>
            <w:vAlign w:val="bottom"/>
            <w:tcBorders>
              <w:top w:val="nil"/>
              <w:left w:val="nil"/>
              <w:bottom w:val="nil"/>
              <w:right w:val="nil"/>
            </w:tcBorders>
          </w:tcPr>
          <w:p>
            <w:pPr>
              <w:pStyle w:val="0"/>
            </w:pPr>
            <w:r>
              <w:rPr>
                <w:sz w:val="20"/>
              </w:rPr>
              <w:t xml:space="preserve">Образование</w:t>
            </w:r>
          </w:p>
        </w:tc>
        <w:tc>
          <w:tcPr>
            <w:tcW w:w="850" w:type="dxa"/>
            <w:vAlign w:val="center"/>
            <w:tcBorders>
              <w:top w:val="nil"/>
              <w:left w:val="nil"/>
              <w:bottom w:val="nil"/>
              <w:right w:val="nil"/>
            </w:tcBorders>
          </w:tcPr>
          <w:p>
            <w:pPr>
              <w:pStyle w:val="0"/>
              <w:jc w:val="center"/>
            </w:pPr>
            <w:r>
              <w:rPr>
                <w:sz w:val="20"/>
              </w:rPr>
              <w:t xml:space="preserve">4 050</w:t>
            </w:r>
          </w:p>
        </w:tc>
        <w:tc>
          <w:tcPr>
            <w:tcW w:w="680" w:type="dxa"/>
            <w:vAlign w:val="center"/>
            <w:tcBorders>
              <w:top w:val="nil"/>
              <w:left w:val="nil"/>
              <w:bottom w:val="nil"/>
              <w:right w:val="nil"/>
            </w:tcBorders>
          </w:tcPr>
          <w:p>
            <w:pPr>
              <w:pStyle w:val="0"/>
              <w:jc w:val="center"/>
            </w:pPr>
            <w:r>
              <w:rPr>
                <w:sz w:val="20"/>
              </w:rPr>
              <w:t xml:space="preserve">3,7</w:t>
            </w:r>
          </w:p>
        </w:tc>
        <w:tc>
          <w:tcPr>
            <w:tcW w:w="850" w:type="dxa"/>
            <w:vAlign w:val="center"/>
            <w:tcBorders>
              <w:top w:val="nil"/>
              <w:left w:val="nil"/>
              <w:bottom w:val="nil"/>
              <w:right w:val="nil"/>
            </w:tcBorders>
          </w:tcPr>
          <w:p>
            <w:pPr>
              <w:pStyle w:val="0"/>
              <w:jc w:val="center"/>
            </w:pPr>
            <w:r>
              <w:rPr>
                <w:sz w:val="20"/>
              </w:rPr>
              <w:t xml:space="preserve">4 324</w:t>
            </w:r>
          </w:p>
        </w:tc>
        <w:tc>
          <w:tcPr>
            <w:tcW w:w="624" w:type="dxa"/>
            <w:vAlign w:val="center"/>
            <w:tcBorders>
              <w:top w:val="nil"/>
              <w:left w:val="nil"/>
              <w:bottom w:val="nil"/>
              <w:right w:val="nil"/>
            </w:tcBorders>
          </w:tcPr>
          <w:p>
            <w:pPr>
              <w:pStyle w:val="0"/>
              <w:jc w:val="center"/>
            </w:pPr>
            <w:r>
              <w:rPr>
                <w:sz w:val="20"/>
              </w:rPr>
              <w:t xml:space="preserve">4,0</w:t>
            </w:r>
          </w:p>
        </w:tc>
        <w:tc>
          <w:tcPr>
            <w:tcW w:w="794" w:type="dxa"/>
            <w:vAlign w:val="center"/>
            <w:tcBorders>
              <w:top w:val="nil"/>
              <w:left w:val="nil"/>
              <w:bottom w:val="nil"/>
              <w:right w:val="nil"/>
            </w:tcBorders>
          </w:tcPr>
          <w:p>
            <w:pPr>
              <w:pStyle w:val="0"/>
              <w:jc w:val="center"/>
            </w:pPr>
            <w:r>
              <w:rPr>
                <w:sz w:val="20"/>
              </w:rPr>
              <w:t xml:space="preserve">4 690</w:t>
            </w:r>
          </w:p>
        </w:tc>
        <w:tc>
          <w:tcPr>
            <w:tcW w:w="624" w:type="dxa"/>
            <w:vAlign w:val="center"/>
            <w:tcBorders>
              <w:top w:val="nil"/>
              <w:left w:val="nil"/>
              <w:bottom w:val="nil"/>
              <w:right w:val="nil"/>
            </w:tcBorders>
          </w:tcPr>
          <w:p>
            <w:pPr>
              <w:pStyle w:val="0"/>
              <w:jc w:val="center"/>
            </w:pPr>
            <w:r>
              <w:rPr>
                <w:sz w:val="20"/>
              </w:rPr>
              <w:t xml:space="preserve">35</w:t>
            </w:r>
          </w:p>
        </w:tc>
        <w:tc>
          <w:tcPr>
            <w:tcW w:w="850" w:type="dxa"/>
            <w:vAlign w:val="center"/>
            <w:tcBorders>
              <w:top w:val="nil"/>
              <w:left w:val="nil"/>
              <w:bottom w:val="nil"/>
              <w:right w:val="nil"/>
            </w:tcBorders>
          </w:tcPr>
          <w:p>
            <w:pPr>
              <w:pStyle w:val="0"/>
              <w:jc w:val="center"/>
            </w:pPr>
            <w:r>
              <w:rPr>
                <w:sz w:val="20"/>
              </w:rPr>
              <w:t xml:space="preserve">5 965</w:t>
            </w:r>
          </w:p>
        </w:tc>
        <w:tc>
          <w:tcPr>
            <w:tcW w:w="624" w:type="dxa"/>
            <w:vAlign w:val="center"/>
            <w:tcBorders>
              <w:top w:val="nil"/>
              <w:left w:val="nil"/>
              <w:bottom w:val="nil"/>
              <w:right w:val="nil"/>
            </w:tcBorders>
          </w:tcPr>
          <w:p>
            <w:pPr>
              <w:pStyle w:val="0"/>
              <w:jc w:val="center"/>
            </w:pPr>
            <w:r>
              <w:rPr>
                <w:sz w:val="20"/>
              </w:rPr>
              <w:t xml:space="preserve">3,6</w:t>
            </w:r>
          </w:p>
        </w:tc>
        <w:tc>
          <w:tcPr>
            <w:tcW w:w="794" w:type="dxa"/>
            <w:vAlign w:val="center"/>
            <w:tcBorders>
              <w:top w:val="nil"/>
              <w:left w:val="nil"/>
              <w:bottom w:val="nil"/>
              <w:right w:val="nil"/>
            </w:tcBorders>
          </w:tcPr>
          <w:p>
            <w:pPr>
              <w:pStyle w:val="0"/>
              <w:jc w:val="center"/>
            </w:pPr>
            <w:r>
              <w:rPr>
                <w:sz w:val="20"/>
              </w:rPr>
              <w:t xml:space="preserve">6 408</w:t>
            </w:r>
          </w:p>
        </w:tc>
        <w:tc>
          <w:tcPr>
            <w:tcW w:w="624" w:type="dxa"/>
            <w:vAlign w:val="center"/>
            <w:tcBorders>
              <w:top w:val="nil"/>
              <w:left w:val="nil"/>
              <w:bottom w:val="nil"/>
              <w:right w:val="nil"/>
            </w:tcBorders>
          </w:tcPr>
          <w:p>
            <w:pPr>
              <w:pStyle w:val="0"/>
              <w:jc w:val="center"/>
            </w:pPr>
            <w:r>
              <w:rPr>
                <w:sz w:val="20"/>
              </w:rPr>
              <w:t xml:space="preserve">3,6</w:t>
            </w:r>
          </w:p>
        </w:tc>
        <w:tc>
          <w:tcPr>
            <w:tcW w:w="850" w:type="dxa"/>
            <w:vAlign w:val="center"/>
            <w:tcBorders>
              <w:top w:val="nil"/>
              <w:left w:val="nil"/>
              <w:bottom w:val="nil"/>
              <w:right w:val="nil"/>
            </w:tcBorders>
          </w:tcPr>
          <w:p>
            <w:pPr>
              <w:pStyle w:val="0"/>
              <w:jc w:val="center"/>
            </w:pPr>
            <w:r>
              <w:rPr>
                <w:sz w:val="20"/>
              </w:rPr>
              <w:t xml:space="preserve">6 481</w:t>
            </w:r>
          </w:p>
        </w:tc>
        <w:tc>
          <w:tcPr>
            <w:tcW w:w="624" w:type="dxa"/>
            <w:vAlign w:val="center"/>
            <w:tcBorders>
              <w:top w:val="nil"/>
              <w:left w:val="nil"/>
              <w:bottom w:val="nil"/>
              <w:right w:val="nil"/>
            </w:tcBorders>
          </w:tcPr>
          <w:p>
            <w:pPr>
              <w:pStyle w:val="0"/>
              <w:jc w:val="center"/>
            </w:pPr>
            <w:r>
              <w:rPr>
                <w:sz w:val="20"/>
              </w:rPr>
              <w:t xml:space="preserve">3,4</w:t>
            </w:r>
          </w:p>
        </w:tc>
        <w:tc>
          <w:tcPr>
            <w:tcW w:w="850" w:type="dxa"/>
            <w:vAlign w:val="center"/>
            <w:tcBorders>
              <w:top w:val="nil"/>
              <w:left w:val="nil"/>
              <w:bottom w:val="nil"/>
              <w:right w:val="nil"/>
            </w:tcBorders>
          </w:tcPr>
          <w:p>
            <w:pPr>
              <w:pStyle w:val="0"/>
              <w:jc w:val="center"/>
            </w:pPr>
            <w:r>
              <w:rPr>
                <w:sz w:val="20"/>
              </w:rPr>
              <w:t xml:space="preserve">6 908</w:t>
            </w:r>
          </w:p>
        </w:tc>
        <w:tc>
          <w:tcPr>
            <w:tcW w:w="624" w:type="dxa"/>
            <w:vAlign w:val="center"/>
            <w:tcBorders>
              <w:top w:val="nil"/>
              <w:left w:val="nil"/>
              <w:bottom w:val="nil"/>
              <w:right w:val="nil"/>
            </w:tcBorders>
          </w:tcPr>
          <w:p>
            <w:pPr>
              <w:pStyle w:val="0"/>
              <w:jc w:val="center"/>
            </w:pPr>
            <w:r>
              <w:rPr>
                <w:sz w:val="20"/>
              </w:rPr>
              <w:t xml:space="preserve">3,4</w:t>
            </w:r>
          </w:p>
        </w:tc>
      </w:tr>
      <w:tr>
        <w:tc>
          <w:tcPr>
            <w:tcW w:w="1984" w:type="dxa"/>
            <w:tcBorders>
              <w:top w:val="nil"/>
              <w:left w:val="nil"/>
              <w:bottom w:val="nil"/>
              <w:right w:val="nil"/>
            </w:tcBorders>
          </w:tcPr>
          <w:p>
            <w:pPr>
              <w:pStyle w:val="0"/>
            </w:pPr>
            <w:r>
              <w:rPr>
                <w:sz w:val="20"/>
              </w:rPr>
              <w:t xml:space="preserve">Культура, кинематография</w:t>
            </w:r>
          </w:p>
        </w:tc>
        <w:tc>
          <w:tcPr>
            <w:tcW w:w="850" w:type="dxa"/>
            <w:vAlign w:val="center"/>
            <w:tcBorders>
              <w:top w:val="nil"/>
              <w:left w:val="nil"/>
              <w:bottom w:val="nil"/>
              <w:right w:val="nil"/>
            </w:tcBorders>
          </w:tcPr>
          <w:p>
            <w:pPr>
              <w:pStyle w:val="0"/>
              <w:jc w:val="center"/>
            </w:pPr>
            <w:r>
              <w:rPr>
                <w:sz w:val="20"/>
              </w:rPr>
              <w:t xml:space="preserve">588</w:t>
            </w:r>
          </w:p>
        </w:tc>
        <w:tc>
          <w:tcPr>
            <w:tcW w:w="680" w:type="dxa"/>
            <w:vAlign w:val="center"/>
            <w:tcBorders>
              <w:top w:val="nil"/>
              <w:left w:val="nil"/>
              <w:bottom w:val="nil"/>
              <w:right w:val="nil"/>
            </w:tcBorders>
          </w:tcPr>
          <w:p>
            <w:pPr>
              <w:pStyle w:val="0"/>
              <w:jc w:val="center"/>
            </w:pPr>
            <w:r>
              <w:rPr>
                <w:sz w:val="20"/>
              </w:rPr>
              <w:t xml:space="preserve">0,5</w:t>
            </w:r>
          </w:p>
        </w:tc>
        <w:tc>
          <w:tcPr>
            <w:tcW w:w="850" w:type="dxa"/>
            <w:vAlign w:val="center"/>
            <w:tcBorders>
              <w:top w:val="nil"/>
              <w:left w:val="nil"/>
              <w:bottom w:val="nil"/>
              <w:right w:val="nil"/>
            </w:tcBorders>
          </w:tcPr>
          <w:p>
            <w:pPr>
              <w:pStyle w:val="0"/>
              <w:jc w:val="center"/>
            </w:pPr>
            <w:r>
              <w:rPr>
                <w:sz w:val="20"/>
              </w:rPr>
              <w:t xml:space="preserve">610</w:t>
            </w:r>
          </w:p>
        </w:tc>
        <w:tc>
          <w:tcPr>
            <w:tcW w:w="624" w:type="dxa"/>
            <w:vAlign w:val="center"/>
            <w:tcBorders>
              <w:top w:val="nil"/>
              <w:left w:val="nil"/>
              <w:bottom w:val="nil"/>
              <w:right w:val="nil"/>
            </w:tcBorders>
          </w:tcPr>
          <w:p>
            <w:pPr>
              <w:pStyle w:val="0"/>
              <w:jc w:val="center"/>
            </w:pPr>
            <w:r>
              <w:rPr>
                <w:sz w:val="20"/>
              </w:rPr>
              <w:t xml:space="preserve">0,6</w:t>
            </w:r>
          </w:p>
        </w:tc>
        <w:tc>
          <w:tcPr>
            <w:tcW w:w="794" w:type="dxa"/>
            <w:vAlign w:val="center"/>
            <w:tcBorders>
              <w:top w:val="nil"/>
              <w:left w:val="nil"/>
              <w:bottom w:val="nil"/>
              <w:right w:val="nil"/>
            </w:tcBorders>
          </w:tcPr>
          <w:p>
            <w:pPr>
              <w:pStyle w:val="0"/>
              <w:jc w:val="center"/>
            </w:pPr>
            <w:r>
              <w:rPr>
                <w:sz w:val="20"/>
              </w:rPr>
              <w:t xml:space="preserve">652</w:t>
            </w:r>
          </w:p>
        </w:tc>
        <w:tc>
          <w:tcPr>
            <w:tcW w:w="624" w:type="dxa"/>
            <w:vAlign w:val="center"/>
            <w:tcBorders>
              <w:top w:val="nil"/>
              <w:left w:val="nil"/>
              <w:bottom w:val="nil"/>
              <w:right w:val="nil"/>
            </w:tcBorders>
          </w:tcPr>
          <w:p>
            <w:pPr>
              <w:pStyle w:val="0"/>
              <w:jc w:val="center"/>
            </w:pPr>
            <w:r>
              <w:rPr>
                <w:sz w:val="20"/>
              </w:rPr>
              <w:t xml:space="preserve">0,5</w:t>
            </w:r>
          </w:p>
        </w:tc>
        <w:tc>
          <w:tcPr>
            <w:tcW w:w="850" w:type="dxa"/>
            <w:vAlign w:val="center"/>
            <w:tcBorders>
              <w:top w:val="nil"/>
              <w:left w:val="nil"/>
              <w:bottom w:val="nil"/>
              <w:right w:val="nil"/>
            </w:tcBorders>
          </w:tcPr>
          <w:p>
            <w:pPr>
              <w:pStyle w:val="0"/>
              <w:jc w:val="center"/>
            </w:pPr>
            <w:r>
              <w:rPr>
                <w:sz w:val="20"/>
              </w:rPr>
              <w:t xml:space="preserve">930</w:t>
            </w:r>
          </w:p>
        </w:tc>
        <w:tc>
          <w:tcPr>
            <w:tcW w:w="624" w:type="dxa"/>
            <w:vAlign w:val="center"/>
            <w:tcBorders>
              <w:top w:val="nil"/>
              <w:left w:val="nil"/>
              <w:bottom w:val="nil"/>
              <w:right w:val="nil"/>
            </w:tcBorders>
          </w:tcPr>
          <w:p>
            <w:pPr>
              <w:pStyle w:val="0"/>
              <w:jc w:val="center"/>
            </w:pPr>
            <w:r>
              <w:rPr>
                <w:sz w:val="20"/>
              </w:rPr>
              <w:t xml:space="preserve">0,6</w:t>
            </w:r>
          </w:p>
        </w:tc>
        <w:tc>
          <w:tcPr>
            <w:tcW w:w="794" w:type="dxa"/>
            <w:vAlign w:val="center"/>
            <w:tcBorders>
              <w:top w:val="nil"/>
              <w:left w:val="nil"/>
              <w:bottom w:val="nil"/>
              <w:right w:val="nil"/>
            </w:tcBorders>
          </w:tcPr>
          <w:p>
            <w:pPr>
              <w:pStyle w:val="0"/>
              <w:jc w:val="center"/>
            </w:pPr>
            <w:r>
              <w:rPr>
                <w:sz w:val="20"/>
              </w:rPr>
              <w:t xml:space="preserve">1003</w:t>
            </w:r>
          </w:p>
        </w:tc>
        <w:tc>
          <w:tcPr>
            <w:tcW w:w="624" w:type="dxa"/>
            <w:vAlign w:val="center"/>
            <w:tcBorders>
              <w:top w:val="nil"/>
              <w:left w:val="nil"/>
              <w:bottom w:val="nil"/>
              <w:right w:val="nil"/>
            </w:tcBorders>
          </w:tcPr>
          <w:p>
            <w:pPr>
              <w:pStyle w:val="0"/>
              <w:jc w:val="center"/>
            </w:pPr>
            <w:r>
              <w:rPr>
                <w:sz w:val="20"/>
              </w:rPr>
              <w:t xml:space="preserve">0,6</w:t>
            </w:r>
          </w:p>
        </w:tc>
        <w:tc>
          <w:tcPr>
            <w:tcW w:w="850" w:type="dxa"/>
            <w:vAlign w:val="center"/>
            <w:tcBorders>
              <w:top w:val="nil"/>
              <w:left w:val="nil"/>
              <w:bottom w:val="nil"/>
              <w:right w:val="nil"/>
            </w:tcBorders>
          </w:tcPr>
          <w:p>
            <w:pPr>
              <w:pStyle w:val="0"/>
              <w:jc w:val="center"/>
            </w:pPr>
            <w:r>
              <w:rPr>
                <w:sz w:val="20"/>
              </w:rPr>
              <w:t xml:space="preserve">1001</w:t>
            </w:r>
          </w:p>
        </w:tc>
        <w:tc>
          <w:tcPr>
            <w:tcW w:w="624" w:type="dxa"/>
            <w:vAlign w:val="center"/>
            <w:tcBorders>
              <w:top w:val="nil"/>
              <w:left w:val="nil"/>
              <w:bottom w:val="nil"/>
              <w:right w:val="nil"/>
            </w:tcBorders>
          </w:tcPr>
          <w:p>
            <w:pPr>
              <w:pStyle w:val="0"/>
              <w:jc w:val="center"/>
            </w:pPr>
            <w:r>
              <w:rPr>
                <w:sz w:val="20"/>
              </w:rPr>
              <w:t xml:space="preserve">0,5</w:t>
            </w:r>
          </w:p>
        </w:tc>
        <w:tc>
          <w:tcPr>
            <w:tcW w:w="850" w:type="dxa"/>
            <w:vAlign w:val="center"/>
            <w:tcBorders>
              <w:top w:val="nil"/>
              <w:left w:val="nil"/>
              <w:bottom w:val="nil"/>
              <w:right w:val="nil"/>
            </w:tcBorders>
          </w:tcPr>
          <w:p>
            <w:pPr>
              <w:pStyle w:val="0"/>
              <w:jc w:val="center"/>
            </w:pPr>
            <w:r>
              <w:rPr>
                <w:sz w:val="20"/>
              </w:rPr>
              <w:t xml:space="preserve">1106</w:t>
            </w:r>
          </w:p>
        </w:tc>
        <w:tc>
          <w:tcPr>
            <w:tcW w:w="624" w:type="dxa"/>
            <w:vAlign w:val="center"/>
            <w:tcBorders>
              <w:top w:val="nil"/>
              <w:left w:val="nil"/>
              <w:bottom w:val="nil"/>
              <w:right w:val="nil"/>
            </w:tcBorders>
          </w:tcPr>
          <w:p>
            <w:pPr>
              <w:pStyle w:val="0"/>
              <w:jc w:val="center"/>
            </w:pPr>
            <w:r>
              <w:rPr>
                <w:sz w:val="20"/>
              </w:rPr>
              <w:t xml:space="preserve">0,5</w:t>
            </w:r>
          </w:p>
        </w:tc>
      </w:tr>
      <w:tr>
        <w:tc>
          <w:tcPr>
            <w:tcW w:w="1984" w:type="dxa"/>
            <w:vAlign w:val="bottom"/>
            <w:tcBorders>
              <w:top w:val="nil"/>
              <w:left w:val="nil"/>
              <w:bottom w:val="nil"/>
              <w:right w:val="nil"/>
            </w:tcBorders>
          </w:tcPr>
          <w:p>
            <w:pPr>
              <w:pStyle w:val="0"/>
            </w:pPr>
            <w:r>
              <w:rPr>
                <w:sz w:val="20"/>
              </w:rPr>
              <w:t xml:space="preserve">Здравоохранение</w:t>
            </w:r>
          </w:p>
        </w:tc>
        <w:tc>
          <w:tcPr>
            <w:tcW w:w="850" w:type="dxa"/>
            <w:vAlign w:val="center"/>
            <w:tcBorders>
              <w:top w:val="nil"/>
              <w:left w:val="nil"/>
              <w:bottom w:val="nil"/>
              <w:right w:val="nil"/>
            </w:tcBorders>
          </w:tcPr>
          <w:p>
            <w:pPr>
              <w:pStyle w:val="0"/>
              <w:jc w:val="center"/>
            </w:pPr>
            <w:r>
              <w:rPr>
                <w:sz w:val="20"/>
              </w:rPr>
              <w:t xml:space="preserve">3 805</w:t>
            </w:r>
          </w:p>
        </w:tc>
        <w:tc>
          <w:tcPr>
            <w:tcW w:w="680" w:type="dxa"/>
            <w:vAlign w:val="center"/>
            <w:tcBorders>
              <w:top w:val="nil"/>
              <w:left w:val="nil"/>
              <w:bottom w:val="nil"/>
              <w:right w:val="nil"/>
            </w:tcBorders>
          </w:tcPr>
          <w:p>
            <w:pPr>
              <w:pStyle w:val="0"/>
              <w:jc w:val="center"/>
            </w:pPr>
            <w:r>
              <w:rPr>
                <w:sz w:val="20"/>
              </w:rPr>
              <w:t xml:space="preserve">3,5</w:t>
            </w:r>
          </w:p>
        </w:tc>
        <w:tc>
          <w:tcPr>
            <w:tcW w:w="850" w:type="dxa"/>
            <w:vAlign w:val="center"/>
            <w:tcBorders>
              <w:top w:val="nil"/>
              <w:left w:val="nil"/>
              <w:bottom w:val="nil"/>
              <w:right w:val="nil"/>
            </w:tcBorders>
          </w:tcPr>
          <w:p>
            <w:pPr>
              <w:pStyle w:val="0"/>
              <w:jc w:val="center"/>
            </w:pPr>
            <w:r>
              <w:rPr>
                <w:sz w:val="20"/>
              </w:rPr>
              <w:t xml:space="preserve">4 964</w:t>
            </w:r>
          </w:p>
        </w:tc>
        <w:tc>
          <w:tcPr>
            <w:tcW w:w="624" w:type="dxa"/>
            <w:vAlign w:val="center"/>
            <w:tcBorders>
              <w:top w:val="nil"/>
              <w:left w:val="nil"/>
              <w:bottom w:val="nil"/>
              <w:right w:val="nil"/>
            </w:tcBorders>
          </w:tcPr>
          <w:p>
            <w:pPr>
              <w:pStyle w:val="0"/>
              <w:jc w:val="center"/>
            </w:pPr>
            <w:r>
              <w:rPr>
                <w:sz w:val="20"/>
              </w:rPr>
              <w:t xml:space="preserve">4,6</w:t>
            </w:r>
          </w:p>
        </w:tc>
        <w:tc>
          <w:tcPr>
            <w:tcW w:w="794" w:type="dxa"/>
            <w:vAlign w:val="center"/>
            <w:tcBorders>
              <w:top w:val="nil"/>
              <w:left w:val="nil"/>
              <w:bottom w:val="nil"/>
              <w:right w:val="nil"/>
            </w:tcBorders>
          </w:tcPr>
          <w:p>
            <w:pPr>
              <w:pStyle w:val="0"/>
              <w:jc w:val="center"/>
            </w:pPr>
            <w:r>
              <w:rPr>
                <w:sz w:val="20"/>
              </w:rPr>
              <w:t xml:space="preserve">5 202</w:t>
            </w:r>
          </w:p>
        </w:tc>
        <w:tc>
          <w:tcPr>
            <w:tcW w:w="624" w:type="dxa"/>
            <w:vAlign w:val="center"/>
            <w:tcBorders>
              <w:top w:val="nil"/>
              <w:left w:val="nil"/>
              <w:bottom w:val="nil"/>
              <w:right w:val="nil"/>
            </w:tcBorders>
          </w:tcPr>
          <w:p>
            <w:pPr>
              <w:pStyle w:val="0"/>
              <w:jc w:val="center"/>
            </w:pPr>
            <w:r>
              <w:rPr>
                <w:sz w:val="20"/>
              </w:rPr>
              <w:t xml:space="preserve">3,8</w:t>
            </w:r>
          </w:p>
        </w:tc>
        <w:tc>
          <w:tcPr>
            <w:tcW w:w="850" w:type="dxa"/>
            <w:vAlign w:val="center"/>
            <w:tcBorders>
              <w:top w:val="nil"/>
              <w:left w:val="nil"/>
              <w:bottom w:val="nil"/>
              <w:right w:val="nil"/>
            </w:tcBorders>
          </w:tcPr>
          <w:p>
            <w:pPr>
              <w:pStyle w:val="0"/>
              <w:jc w:val="center"/>
            </w:pPr>
            <w:r>
              <w:rPr>
                <w:sz w:val="20"/>
              </w:rPr>
              <w:t xml:space="preserve">6 001</w:t>
            </w:r>
          </w:p>
        </w:tc>
        <w:tc>
          <w:tcPr>
            <w:tcW w:w="624" w:type="dxa"/>
            <w:vAlign w:val="center"/>
            <w:tcBorders>
              <w:top w:val="nil"/>
              <w:left w:val="nil"/>
              <w:bottom w:val="nil"/>
              <w:right w:val="nil"/>
            </w:tcBorders>
          </w:tcPr>
          <w:p>
            <w:pPr>
              <w:pStyle w:val="0"/>
              <w:jc w:val="center"/>
            </w:pPr>
            <w:r>
              <w:rPr>
                <w:sz w:val="20"/>
              </w:rPr>
              <w:t xml:space="preserve">3,6</w:t>
            </w:r>
          </w:p>
        </w:tc>
        <w:tc>
          <w:tcPr>
            <w:tcW w:w="794" w:type="dxa"/>
            <w:vAlign w:val="center"/>
            <w:tcBorders>
              <w:top w:val="nil"/>
              <w:left w:val="nil"/>
              <w:bottom w:val="nil"/>
              <w:right w:val="nil"/>
            </w:tcBorders>
          </w:tcPr>
          <w:p>
            <w:pPr>
              <w:pStyle w:val="0"/>
              <w:jc w:val="center"/>
            </w:pPr>
            <w:r>
              <w:rPr>
                <w:sz w:val="20"/>
              </w:rPr>
              <w:t xml:space="preserve">6 740</w:t>
            </w:r>
          </w:p>
        </w:tc>
        <w:tc>
          <w:tcPr>
            <w:tcW w:w="624" w:type="dxa"/>
            <w:vAlign w:val="center"/>
            <w:tcBorders>
              <w:top w:val="nil"/>
              <w:left w:val="nil"/>
              <w:bottom w:val="nil"/>
              <w:right w:val="nil"/>
            </w:tcBorders>
          </w:tcPr>
          <w:p>
            <w:pPr>
              <w:pStyle w:val="0"/>
              <w:jc w:val="center"/>
            </w:pPr>
            <w:r>
              <w:rPr>
                <w:sz w:val="20"/>
              </w:rPr>
              <w:t xml:space="preserve">3,7</w:t>
            </w:r>
          </w:p>
        </w:tc>
        <w:tc>
          <w:tcPr>
            <w:tcW w:w="850" w:type="dxa"/>
            <w:vAlign w:val="center"/>
            <w:tcBorders>
              <w:top w:val="nil"/>
              <w:left w:val="nil"/>
              <w:bottom w:val="nil"/>
              <w:right w:val="nil"/>
            </w:tcBorders>
          </w:tcPr>
          <w:p>
            <w:pPr>
              <w:pStyle w:val="0"/>
              <w:jc w:val="center"/>
            </w:pPr>
            <w:r>
              <w:rPr>
                <w:sz w:val="20"/>
              </w:rPr>
              <w:t xml:space="preserve">6 918</w:t>
            </w:r>
          </w:p>
        </w:tc>
        <w:tc>
          <w:tcPr>
            <w:tcW w:w="624" w:type="dxa"/>
            <w:vAlign w:val="center"/>
            <w:tcBorders>
              <w:top w:val="nil"/>
              <w:left w:val="nil"/>
              <w:bottom w:val="nil"/>
              <w:right w:val="nil"/>
            </w:tcBorders>
          </w:tcPr>
          <w:p>
            <w:pPr>
              <w:pStyle w:val="0"/>
              <w:jc w:val="center"/>
            </w:pPr>
            <w:r>
              <w:rPr>
                <w:sz w:val="20"/>
              </w:rPr>
              <w:t xml:space="preserve">3,6</w:t>
            </w:r>
          </w:p>
        </w:tc>
        <w:tc>
          <w:tcPr>
            <w:tcW w:w="850" w:type="dxa"/>
            <w:vAlign w:val="center"/>
            <w:tcBorders>
              <w:top w:val="nil"/>
              <w:left w:val="nil"/>
              <w:bottom w:val="nil"/>
              <w:right w:val="nil"/>
            </w:tcBorders>
          </w:tcPr>
          <w:p>
            <w:pPr>
              <w:pStyle w:val="0"/>
              <w:jc w:val="center"/>
            </w:pPr>
            <w:r>
              <w:rPr>
                <w:sz w:val="20"/>
              </w:rPr>
              <w:t xml:space="preserve">7 229</w:t>
            </w:r>
          </w:p>
        </w:tc>
        <w:tc>
          <w:tcPr>
            <w:tcW w:w="624" w:type="dxa"/>
            <w:vAlign w:val="center"/>
            <w:tcBorders>
              <w:top w:val="nil"/>
              <w:left w:val="nil"/>
              <w:bottom w:val="nil"/>
              <w:right w:val="nil"/>
            </w:tcBorders>
          </w:tcPr>
          <w:p>
            <w:pPr>
              <w:pStyle w:val="0"/>
              <w:jc w:val="center"/>
            </w:pPr>
            <w:r>
              <w:rPr>
                <w:sz w:val="20"/>
              </w:rPr>
              <w:t xml:space="preserve">3,6</w:t>
            </w:r>
          </w:p>
        </w:tc>
      </w:tr>
      <w:tr>
        <w:tc>
          <w:tcPr>
            <w:tcW w:w="1984" w:type="dxa"/>
            <w:vAlign w:val="bottom"/>
            <w:tcBorders>
              <w:top w:val="nil"/>
              <w:left w:val="nil"/>
              <w:bottom w:val="nil"/>
              <w:right w:val="nil"/>
            </w:tcBorders>
          </w:tcPr>
          <w:p>
            <w:pPr>
              <w:pStyle w:val="0"/>
            </w:pPr>
            <w:r>
              <w:rPr>
                <w:sz w:val="20"/>
              </w:rPr>
              <w:t xml:space="preserve">Социальная политика</w:t>
            </w:r>
          </w:p>
        </w:tc>
        <w:tc>
          <w:tcPr>
            <w:tcW w:w="850" w:type="dxa"/>
            <w:vAlign w:val="center"/>
            <w:tcBorders>
              <w:top w:val="nil"/>
              <w:left w:val="nil"/>
              <w:bottom w:val="nil"/>
              <w:right w:val="nil"/>
            </w:tcBorders>
          </w:tcPr>
          <w:p>
            <w:pPr>
              <w:pStyle w:val="0"/>
              <w:jc w:val="center"/>
            </w:pPr>
            <w:r>
              <w:rPr>
                <w:sz w:val="20"/>
              </w:rPr>
              <w:t xml:space="preserve">12 966</w:t>
            </w:r>
          </w:p>
        </w:tc>
        <w:tc>
          <w:tcPr>
            <w:tcW w:w="680" w:type="dxa"/>
            <w:vAlign w:val="center"/>
            <w:tcBorders>
              <w:top w:val="nil"/>
              <w:left w:val="nil"/>
              <w:bottom w:val="nil"/>
              <w:right w:val="nil"/>
            </w:tcBorders>
          </w:tcPr>
          <w:p>
            <w:pPr>
              <w:pStyle w:val="0"/>
              <w:jc w:val="center"/>
            </w:pPr>
            <w:r>
              <w:rPr>
                <w:sz w:val="20"/>
              </w:rPr>
              <w:t xml:space="preserve">11,8</w:t>
            </w:r>
          </w:p>
        </w:tc>
        <w:tc>
          <w:tcPr>
            <w:tcW w:w="850" w:type="dxa"/>
            <w:vAlign w:val="center"/>
            <w:tcBorders>
              <w:top w:val="nil"/>
              <w:left w:val="nil"/>
              <w:bottom w:val="nil"/>
              <w:right w:val="nil"/>
            </w:tcBorders>
          </w:tcPr>
          <w:p>
            <w:pPr>
              <w:pStyle w:val="0"/>
              <w:jc w:val="center"/>
            </w:pPr>
            <w:r>
              <w:rPr>
                <w:sz w:val="20"/>
              </w:rPr>
              <w:t xml:space="preserve">15 090</w:t>
            </w:r>
          </w:p>
        </w:tc>
        <w:tc>
          <w:tcPr>
            <w:tcW w:w="624" w:type="dxa"/>
            <w:vAlign w:val="center"/>
            <w:tcBorders>
              <w:top w:val="nil"/>
              <w:left w:val="nil"/>
              <w:bottom w:val="nil"/>
              <w:right w:val="nil"/>
            </w:tcBorders>
          </w:tcPr>
          <w:p>
            <w:pPr>
              <w:pStyle w:val="0"/>
              <w:jc w:val="center"/>
            </w:pPr>
            <w:r>
              <w:rPr>
                <w:sz w:val="20"/>
              </w:rPr>
              <w:t xml:space="preserve">14,0</w:t>
            </w:r>
          </w:p>
        </w:tc>
        <w:tc>
          <w:tcPr>
            <w:tcW w:w="794" w:type="dxa"/>
            <w:vAlign w:val="center"/>
            <w:tcBorders>
              <w:top w:val="nil"/>
              <w:left w:val="nil"/>
              <w:bottom w:val="nil"/>
              <w:right w:val="nil"/>
            </w:tcBorders>
          </w:tcPr>
          <w:p>
            <w:pPr>
              <w:pStyle w:val="0"/>
              <w:jc w:val="center"/>
            </w:pPr>
            <w:r>
              <w:rPr>
                <w:sz w:val="20"/>
              </w:rPr>
              <w:t xml:space="preserve">15 960</w:t>
            </w:r>
          </w:p>
        </w:tc>
        <w:tc>
          <w:tcPr>
            <w:tcW w:w="624" w:type="dxa"/>
            <w:vAlign w:val="center"/>
            <w:tcBorders>
              <w:top w:val="nil"/>
              <w:left w:val="nil"/>
              <w:bottom w:val="nil"/>
              <w:right w:val="nil"/>
            </w:tcBorders>
          </w:tcPr>
          <w:p>
            <w:pPr>
              <w:pStyle w:val="0"/>
              <w:jc w:val="center"/>
            </w:pPr>
            <w:r>
              <w:rPr>
                <w:sz w:val="20"/>
              </w:rPr>
              <w:t xml:space="preserve">11,8</w:t>
            </w:r>
          </w:p>
        </w:tc>
        <w:tc>
          <w:tcPr>
            <w:tcW w:w="850" w:type="dxa"/>
            <w:vAlign w:val="center"/>
            <w:tcBorders>
              <w:top w:val="nil"/>
              <w:left w:val="nil"/>
              <w:bottom w:val="nil"/>
              <w:right w:val="nil"/>
            </w:tcBorders>
          </w:tcPr>
          <w:p>
            <w:pPr>
              <w:pStyle w:val="0"/>
              <w:jc w:val="center"/>
            </w:pPr>
            <w:r>
              <w:rPr>
                <w:sz w:val="20"/>
              </w:rPr>
              <w:t xml:space="preserve">19 250</w:t>
            </w:r>
          </w:p>
        </w:tc>
        <w:tc>
          <w:tcPr>
            <w:tcW w:w="624" w:type="dxa"/>
            <w:vAlign w:val="center"/>
            <w:tcBorders>
              <w:top w:val="nil"/>
              <w:left w:val="nil"/>
              <w:bottom w:val="nil"/>
              <w:right w:val="nil"/>
            </w:tcBorders>
          </w:tcPr>
          <w:p>
            <w:pPr>
              <w:pStyle w:val="0"/>
              <w:jc w:val="center"/>
            </w:pPr>
            <w:r>
              <w:rPr>
                <w:sz w:val="20"/>
              </w:rPr>
              <w:t xml:space="preserve">11,6</w:t>
            </w:r>
          </w:p>
        </w:tc>
        <w:tc>
          <w:tcPr>
            <w:tcW w:w="794" w:type="dxa"/>
            <w:vAlign w:val="center"/>
            <w:tcBorders>
              <w:top w:val="nil"/>
              <w:left w:val="nil"/>
              <w:bottom w:val="nil"/>
              <w:right w:val="nil"/>
            </w:tcBorders>
          </w:tcPr>
          <w:p>
            <w:pPr>
              <w:pStyle w:val="0"/>
              <w:jc w:val="center"/>
            </w:pPr>
            <w:r>
              <w:rPr>
                <w:sz w:val="20"/>
              </w:rPr>
              <w:t xml:space="preserve">20 738</w:t>
            </w:r>
          </w:p>
        </w:tc>
        <w:tc>
          <w:tcPr>
            <w:tcW w:w="624" w:type="dxa"/>
            <w:vAlign w:val="center"/>
            <w:tcBorders>
              <w:top w:val="nil"/>
              <w:left w:val="nil"/>
              <w:bottom w:val="nil"/>
              <w:right w:val="nil"/>
            </w:tcBorders>
          </w:tcPr>
          <w:p>
            <w:pPr>
              <w:pStyle w:val="0"/>
              <w:jc w:val="center"/>
            </w:pPr>
            <w:r>
              <w:rPr>
                <w:sz w:val="20"/>
              </w:rPr>
              <w:t xml:space="preserve">11,5</w:t>
            </w:r>
          </w:p>
        </w:tc>
        <w:tc>
          <w:tcPr>
            <w:tcW w:w="850" w:type="dxa"/>
            <w:vAlign w:val="center"/>
            <w:tcBorders>
              <w:top w:val="nil"/>
              <w:left w:val="nil"/>
              <w:bottom w:val="nil"/>
              <w:right w:val="nil"/>
            </w:tcBorders>
          </w:tcPr>
          <w:p>
            <w:pPr>
              <w:pStyle w:val="0"/>
              <w:jc w:val="center"/>
            </w:pPr>
            <w:r>
              <w:rPr>
                <w:sz w:val="20"/>
              </w:rPr>
              <w:t xml:space="preserve">21 741</w:t>
            </w:r>
          </w:p>
        </w:tc>
        <w:tc>
          <w:tcPr>
            <w:tcW w:w="624" w:type="dxa"/>
            <w:vAlign w:val="center"/>
            <w:tcBorders>
              <w:top w:val="nil"/>
              <w:left w:val="nil"/>
              <w:bottom w:val="nil"/>
              <w:right w:val="nil"/>
            </w:tcBorders>
          </w:tcPr>
          <w:p>
            <w:pPr>
              <w:pStyle w:val="0"/>
              <w:jc w:val="center"/>
            </w:pPr>
            <w:r>
              <w:rPr>
                <w:sz w:val="20"/>
              </w:rPr>
              <w:t xml:space="preserve">11,4</w:t>
            </w:r>
          </w:p>
        </w:tc>
        <w:tc>
          <w:tcPr>
            <w:tcW w:w="850" w:type="dxa"/>
            <w:vAlign w:val="center"/>
            <w:tcBorders>
              <w:top w:val="nil"/>
              <w:left w:val="nil"/>
              <w:bottom w:val="nil"/>
              <w:right w:val="nil"/>
            </w:tcBorders>
          </w:tcPr>
          <w:p>
            <w:pPr>
              <w:pStyle w:val="0"/>
              <w:jc w:val="center"/>
            </w:pPr>
            <w:r>
              <w:rPr>
                <w:sz w:val="20"/>
              </w:rPr>
              <w:t xml:space="preserve">22 844</w:t>
            </w:r>
          </w:p>
        </w:tc>
        <w:tc>
          <w:tcPr>
            <w:tcW w:w="624" w:type="dxa"/>
            <w:vAlign w:val="center"/>
            <w:tcBorders>
              <w:top w:val="nil"/>
              <w:left w:val="nil"/>
              <w:bottom w:val="nil"/>
              <w:right w:val="nil"/>
            </w:tcBorders>
          </w:tcPr>
          <w:p>
            <w:pPr>
              <w:pStyle w:val="0"/>
              <w:jc w:val="center"/>
            </w:pPr>
            <w:r>
              <w:rPr>
                <w:sz w:val="20"/>
              </w:rPr>
              <w:t xml:space="preserve">11,3</w:t>
            </w:r>
          </w:p>
        </w:tc>
      </w:tr>
      <w:tr>
        <w:tc>
          <w:tcPr>
            <w:tcW w:w="1984" w:type="dxa"/>
            <w:vAlign w:val="bottom"/>
            <w:tcBorders>
              <w:top w:val="nil"/>
              <w:left w:val="nil"/>
              <w:bottom w:val="nil"/>
              <w:right w:val="nil"/>
            </w:tcBorders>
          </w:tcPr>
          <w:p>
            <w:pPr>
              <w:pStyle w:val="0"/>
            </w:pPr>
            <w:r>
              <w:rPr>
                <w:sz w:val="20"/>
              </w:rPr>
              <w:t xml:space="preserve">Физкультура и спорт</w:t>
            </w:r>
          </w:p>
        </w:tc>
        <w:tc>
          <w:tcPr>
            <w:tcW w:w="850" w:type="dxa"/>
            <w:vAlign w:val="center"/>
            <w:tcBorders>
              <w:top w:val="nil"/>
              <w:left w:val="nil"/>
              <w:bottom w:val="nil"/>
              <w:right w:val="nil"/>
            </w:tcBorders>
          </w:tcPr>
          <w:p>
            <w:pPr>
              <w:pStyle w:val="0"/>
              <w:jc w:val="center"/>
            </w:pPr>
            <w:r>
              <w:rPr>
                <w:sz w:val="20"/>
              </w:rPr>
              <w:t xml:space="preserve">375</w:t>
            </w:r>
          </w:p>
        </w:tc>
        <w:tc>
          <w:tcPr>
            <w:tcW w:w="680" w:type="dxa"/>
            <w:vAlign w:val="center"/>
            <w:tcBorders>
              <w:top w:val="nil"/>
              <w:left w:val="nil"/>
              <w:bottom w:val="nil"/>
              <w:right w:val="nil"/>
            </w:tcBorders>
          </w:tcPr>
          <w:p>
            <w:pPr>
              <w:pStyle w:val="0"/>
              <w:jc w:val="center"/>
            </w:pPr>
            <w:r>
              <w:rPr>
                <w:sz w:val="20"/>
              </w:rPr>
              <w:t xml:space="preserve">0,3</w:t>
            </w:r>
          </w:p>
        </w:tc>
        <w:tc>
          <w:tcPr>
            <w:tcW w:w="850" w:type="dxa"/>
            <w:vAlign w:val="center"/>
            <w:tcBorders>
              <w:top w:val="nil"/>
              <w:left w:val="nil"/>
              <w:bottom w:val="nil"/>
              <w:right w:val="nil"/>
            </w:tcBorders>
          </w:tcPr>
          <w:p>
            <w:pPr>
              <w:pStyle w:val="0"/>
              <w:jc w:val="center"/>
            </w:pPr>
            <w:r>
              <w:rPr>
                <w:sz w:val="20"/>
              </w:rPr>
              <w:t xml:space="preserve">401</w:t>
            </w:r>
          </w:p>
        </w:tc>
        <w:tc>
          <w:tcPr>
            <w:tcW w:w="624" w:type="dxa"/>
            <w:vAlign w:val="center"/>
            <w:tcBorders>
              <w:top w:val="nil"/>
              <w:left w:val="nil"/>
              <w:bottom w:val="nil"/>
              <w:right w:val="nil"/>
            </w:tcBorders>
          </w:tcPr>
          <w:p>
            <w:pPr>
              <w:pStyle w:val="0"/>
              <w:jc w:val="center"/>
            </w:pPr>
            <w:r>
              <w:rPr>
                <w:sz w:val="20"/>
              </w:rPr>
              <w:t xml:space="preserve">0,4</w:t>
            </w:r>
          </w:p>
        </w:tc>
        <w:tc>
          <w:tcPr>
            <w:tcW w:w="794" w:type="dxa"/>
            <w:vAlign w:val="center"/>
            <w:tcBorders>
              <w:top w:val="nil"/>
              <w:left w:val="nil"/>
              <w:bottom w:val="nil"/>
              <w:right w:val="nil"/>
            </w:tcBorders>
          </w:tcPr>
          <w:p>
            <w:pPr>
              <w:pStyle w:val="0"/>
              <w:jc w:val="center"/>
            </w:pPr>
            <w:r>
              <w:rPr>
                <w:sz w:val="20"/>
              </w:rPr>
              <w:t xml:space="preserve">438</w:t>
            </w:r>
          </w:p>
        </w:tc>
        <w:tc>
          <w:tcPr>
            <w:tcW w:w="624" w:type="dxa"/>
            <w:vAlign w:val="center"/>
            <w:tcBorders>
              <w:top w:val="nil"/>
              <w:left w:val="nil"/>
              <w:bottom w:val="nil"/>
              <w:right w:val="nil"/>
            </w:tcBorders>
          </w:tcPr>
          <w:p>
            <w:pPr>
              <w:pStyle w:val="0"/>
              <w:jc w:val="center"/>
            </w:pPr>
            <w:r>
              <w:rPr>
                <w:sz w:val="20"/>
              </w:rPr>
              <w:t xml:space="preserve">0,3</w:t>
            </w:r>
          </w:p>
        </w:tc>
        <w:tc>
          <w:tcPr>
            <w:tcW w:w="850" w:type="dxa"/>
            <w:vAlign w:val="center"/>
            <w:tcBorders>
              <w:top w:val="nil"/>
              <w:left w:val="nil"/>
              <w:bottom w:val="nil"/>
              <w:right w:val="nil"/>
            </w:tcBorders>
          </w:tcPr>
          <w:p>
            <w:pPr>
              <w:pStyle w:val="0"/>
              <w:jc w:val="center"/>
            </w:pPr>
            <w:r>
              <w:rPr>
                <w:sz w:val="20"/>
              </w:rPr>
              <w:t xml:space="preserve">549</w:t>
            </w:r>
          </w:p>
        </w:tc>
        <w:tc>
          <w:tcPr>
            <w:tcW w:w="624" w:type="dxa"/>
            <w:vAlign w:val="center"/>
            <w:tcBorders>
              <w:top w:val="nil"/>
              <w:left w:val="nil"/>
              <w:bottom w:val="nil"/>
              <w:right w:val="nil"/>
            </w:tcBorders>
          </w:tcPr>
          <w:p>
            <w:pPr>
              <w:pStyle w:val="0"/>
              <w:jc w:val="center"/>
            </w:pPr>
            <w:r>
              <w:rPr>
                <w:sz w:val="20"/>
              </w:rPr>
              <w:t xml:space="preserve">0,3</w:t>
            </w:r>
          </w:p>
        </w:tc>
        <w:tc>
          <w:tcPr>
            <w:tcW w:w="794" w:type="dxa"/>
            <w:vAlign w:val="center"/>
            <w:tcBorders>
              <w:top w:val="nil"/>
              <w:left w:val="nil"/>
              <w:bottom w:val="nil"/>
              <w:right w:val="nil"/>
            </w:tcBorders>
          </w:tcPr>
          <w:p>
            <w:pPr>
              <w:pStyle w:val="0"/>
              <w:jc w:val="center"/>
            </w:pPr>
            <w:r>
              <w:rPr>
                <w:sz w:val="20"/>
              </w:rPr>
              <w:t xml:space="preserve">576</w:t>
            </w:r>
          </w:p>
        </w:tc>
        <w:tc>
          <w:tcPr>
            <w:tcW w:w="624" w:type="dxa"/>
            <w:vAlign w:val="center"/>
            <w:tcBorders>
              <w:top w:val="nil"/>
              <w:left w:val="nil"/>
              <w:bottom w:val="nil"/>
              <w:right w:val="nil"/>
            </w:tcBorders>
          </w:tcPr>
          <w:p>
            <w:pPr>
              <w:pStyle w:val="0"/>
              <w:jc w:val="center"/>
            </w:pPr>
            <w:r>
              <w:rPr>
                <w:sz w:val="20"/>
              </w:rPr>
              <w:t xml:space="preserve">0,3</w:t>
            </w:r>
          </w:p>
        </w:tc>
        <w:tc>
          <w:tcPr>
            <w:tcW w:w="850" w:type="dxa"/>
            <w:vAlign w:val="center"/>
            <w:tcBorders>
              <w:top w:val="nil"/>
              <w:left w:val="nil"/>
              <w:bottom w:val="nil"/>
              <w:right w:val="nil"/>
            </w:tcBorders>
          </w:tcPr>
          <w:p>
            <w:pPr>
              <w:pStyle w:val="0"/>
              <w:jc w:val="center"/>
            </w:pPr>
            <w:r>
              <w:rPr>
                <w:sz w:val="20"/>
              </w:rPr>
              <w:t xml:space="preserve">592</w:t>
            </w:r>
          </w:p>
        </w:tc>
        <w:tc>
          <w:tcPr>
            <w:tcW w:w="624" w:type="dxa"/>
            <w:vAlign w:val="center"/>
            <w:tcBorders>
              <w:top w:val="nil"/>
              <w:left w:val="nil"/>
              <w:bottom w:val="nil"/>
              <w:right w:val="nil"/>
            </w:tcBorders>
          </w:tcPr>
          <w:p>
            <w:pPr>
              <w:pStyle w:val="0"/>
              <w:jc w:val="center"/>
            </w:pPr>
            <w:r>
              <w:rPr>
                <w:sz w:val="20"/>
              </w:rPr>
              <w:t xml:space="preserve">0,3</w:t>
            </w:r>
          </w:p>
        </w:tc>
        <w:tc>
          <w:tcPr>
            <w:tcW w:w="850" w:type="dxa"/>
            <w:vAlign w:val="center"/>
            <w:tcBorders>
              <w:top w:val="nil"/>
              <w:left w:val="nil"/>
              <w:bottom w:val="nil"/>
              <w:right w:val="nil"/>
            </w:tcBorders>
          </w:tcPr>
          <w:p>
            <w:pPr>
              <w:pStyle w:val="0"/>
              <w:jc w:val="center"/>
            </w:pPr>
            <w:r>
              <w:rPr>
                <w:sz w:val="20"/>
              </w:rPr>
              <w:t xml:space="preserve">620</w:t>
            </w:r>
          </w:p>
        </w:tc>
        <w:tc>
          <w:tcPr>
            <w:tcW w:w="624" w:type="dxa"/>
            <w:vAlign w:val="center"/>
            <w:tcBorders>
              <w:top w:val="nil"/>
              <w:left w:val="nil"/>
              <w:bottom w:val="nil"/>
              <w:right w:val="nil"/>
            </w:tcBorders>
          </w:tcPr>
          <w:p>
            <w:pPr>
              <w:pStyle w:val="0"/>
              <w:jc w:val="center"/>
            </w:pPr>
            <w:r>
              <w:rPr>
                <w:sz w:val="20"/>
              </w:rPr>
              <w:t xml:space="preserve">0,3</w:t>
            </w:r>
          </w:p>
        </w:tc>
      </w:tr>
      <w:tr>
        <w:tc>
          <w:tcPr>
            <w:tcW w:w="1984" w:type="dxa"/>
            <w:vAlign w:val="bottom"/>
            <w:tcBorders>
              <w:top w:val="nil"/>
              <w:left w:val="nil"/>
              <w:bottom w:val="nil"/>
              <w:right w:val="nil"/>
            </w:tcBorders>
          </w:tcPr>
          <w:p>
            <w:pPr>
              <w:pStyle w:val="0"/>
            </w:pPr>
            <w:r>
              <w:rPr>
                <w:sz w:val="20"/>
              </w:rPr>
              <w:t xml:space="preserve">СМИ</w:t>
            </w:r>
          </w:p>
        </w:tc>
        <w:tc>
          <w:tcPr>
            <w:tcW w:w="850" w:type="dxa"/>
            <w:vAlign w:val="center"/>
            <w:tcBorders>
              <w:top w:val="nil"/>
              <w:left w:val="nil"/>
              <w:bottom w:val="nil"/>
              <w:right w:val="nil"/>
            </w:tcBorders>
          </w:tcPr>
          <w:p>
            <w:pPr>
              <w:pStyle w:val="0"/>
              <w:jc w:val="center"/>
            </w:pPr>
            <w:r>
              <w:rPr>
                <w:sz w:val="20"/>
              </w:rPr>
              <w:t xml:space="preserve">156</w:t>
            </w:r>
          </w:p>
        </w:tc>
        <w:tc>
          <w:tcPr>
            <w:tcW w:w="680" w:type="dxa"/>
            <w:vAlign w:val="center"/>
            <w:tcBorders>
              <w:top w:val="nil"/>
              <w:left w:val="nil"/>
              <w:bottom w:val="nil"/>
              <w:right w:val="nil"/>
            </w:tcBorders>
          </w:tcPr>
          <w:p>
            <w:pPr>
              <w:pStyle w:val="0"/>
              <w:jc w:val="center"/>
            </w:pPr>
            <w:r>
              <w:rPr>
                <w:sz w:val="20"/>
              </w:rPr>
              <w:t xml:space="preserve">0,1</w:t>
            </w:r>
          </w:p>
        </w:tc>
        <w:tc>
          <w:tcPr>
            <w:tcW w:w="850" w:type="dxa"/>
            <w:vAlign w:val="center"/>
            <w:tcBorders>
              <w:top w:val="nil"/>
              <w:left w:val="nil"/>
              <w:bottom w:val="nil"/>
              <w:right w:val="nil"/>
            </w:tcBorders>
          </w:tcPr>
          <w:p>
            <w:pPr>
              <w:pStyle w:val="0"/>
              <w:jc w:val="center"/>
            </w:pPr>
            <w:r>
              <w:rPr>
                <w:sz w:val="20"/>
              </w:rPr>
              <w:t xml:space="preserve">174</w:t>
            </w:r>
          </w:p>
        </w:tc>
        <w:tc>
          <w:tcPr>
            <w:tcW w:w="624" w:type="dxa"/>
            <w:vAlign w:val="center"/>
            <w:tcBorders>
              <w:top w:val="nil"/>
              <w:left w:val="nil"/>
              <w:bottom w:val="nil"/>
              <w:right w:val="nil"/>
            </w:tcBorders>
          </w:tcPr>
          <w:p>
            <w:pPr>
              <w:pStyle w:val="0"/>
              <w:jc w:val="center"/>
            </w:pPr>
            <w:r>
              <w:rPr>
                <w:sz w:val="20"/>
              </w:rPr>
              <w:t xml:space="preserve">0,2</w:t>
            </w:r>
          </w:p>
        </w:tc>
        <w:tc>
          <w:tcPr>
            <w:tcW w:w="794" w:type="dxa"/>
            <w:vAlign w:val="center"/>
            <w:tcBorders>
              <w:top w:val="nil"/>
              <w:left w:val="nil"/>
              <w:bottom w:val="nil"/>
              <w:right w:val="nil"/>
            </w:tcBorders>
          </w:tcPr>
          <w:p>
            <w:pPr>
              <w:pStyle w:val="0"/>
              <w:jc w:val="center"/>
            </w:pPr>
            <w:r>
              <w:rPr>
                <w:sz w:val="20"/>
              </w:rPr>
              <w:t xml:space="preserve">171</w:t>
            </w:r>
          </w:p>
        </w:tc>
        <w:tc>
          <w:tcPr>
            <w:tcW w:w="624" w:type="dxa"/>
            <w:vAlign w:val="center"/>
            <w:tcBorders>
              <w:top w:val="nil"/>
              <w:left w:val="nil"/>
              <w:bottom w:val="nil"/>
              <w:right w:val="nil"/>
            </w:tcBorders>
          </w:tcPr>
          <w:p>
            <w:pPr>
              <w:pStyle w:val="0"/>
              <w:jc w:val="center"/>
            </w:pPr>
            <w:r>
              <w:rPr>
                <w:sz w:val="20"/>
              </w:rPr>
              <w:t xml:space="preserve">0,1</w:t>
            </w:r>
          </w:p>
        </w:tc>
        <w:tc>
          <w:tcPr>
            <w:tcW w:w="850" w:type="dxa"/>
            <w:vAlign w:val="center"/>
            <w:tcBorders>
              <w:top w:val="nil"/>
              <w:left w:val="nil"/>
              <w:bottom w:val="nil"/>
              <w:right w:val="nil"/>
            </w:tcBorders>
          </w:tcPr>
          <w:p>
            <w:pPr>
              <w:pStyle w:val="0"/>
              <w:jc w:val="center"/>
            </w:pPr>
            <w:r>
              <w:rPr>
                <w:sz w:val="20"/>
              </w:rPr>
              <w:t xml:space="preserve">182</w:t>
            </w:r>
          </w:p>
        </w:tc>
        <w:tc>
          <w:tcPr>
            <w:tcW w:w="624" w:type="dxa"/>
            <w:vAlign w:val="center"/>
            <w:tcBorders>
              <w:top w:val="nil"/>
              <w:left w:val="nil"/>
              <w:bottom w:val="nil"/>
              <w:right w:val="nil"/>
            </w:tcBorders>
          </w:tcPr>
          <w:p>
            <w:pPr>
              <w:pStyle w:val="0"/>
              <w:jc w:val="center"/>
            </w:pPr>
            <w:r>
              <w:rPr>
                <w:sz w:val="20"/>
              </w:rPr>
              <w:t xml:space="preserve">0,1</w:t>
            </w:r>
          </w:p>
        </w:tc>
        <w:tc>
          <w:tcPr>
            <w:tcW w:w="794" w:type="dxa"/>
            <w:vAlign w:val="center"/>
            <w:tcBorders>
              <w:top w:val="nil"/>
              <w:left w:val="nil"/>
              <w:bottom w:val="nil"/>
              <w:right w:val="nil"/>
            </w:tcBorders>
          </w:tcPr>
          <w:p>
            <w:pPr>
              <w:pStyle w:val="0"/>
              <w:jc w:val="center"/>
            </w:pPr>
            <w:r>
              <w:rPr>
                <w:sz w:val="20"/>
              </w:rPr>
              <w:t xml:space="preserve">181</w:t>
            </w:r>
          </w:p>
        </w:tc>
        <w:tc>
          <w:tcPr>
            <w:tcW w:w="624" w:type="dxa"/>
            <w:vAlign w:val="center"/>
            <w:tcBorders>
              <w:top w:val="nil"/>
              <w:left w:val="nil"/>
              <w:bottom w:val="nil"/>
              <w:right w:val="nil"/>
            </w:tcBorders>
          </w:tcPr>
          <w:p>
            <w:pPr>
              <w:pStyle w:val="0"/>
              <w:jc w:val="center"/>
            </w:pPr>
            <w:r>
              <w:rPr>
                <w:sz w:val="20"/>
              </w:rPr>
              <w:t xml:space="preserve">0,1</w:t>
            </w:r>
          </w:p>
        </w:tc>
        <w:tc>
          <w:tcPr>
            <w:tcW w:w="850" w:type="dxa"/>
            <w:vAlign w:val="center"/>
            <w:tcBorders>
              <w:top w:val="nil"/>
              <w:left w:val="nil"/>
              <w:bottom w:val="nil"/>
              <w:right w:val="nil"/>
            </w:tcBorders>
          </w:tcPr>
          <w:p>
            <w:pPr>
              <w:pStyle w:val="0"/>
              <w:jc w:val="center"/>
            </w:pPr>
            <w:r>
              <w:rPr>
                <w:sz w:val="20"/>
              </w:rPr>
              <w:t xml:space="preserve">154</w:t>
            </w:r>
          </w:p>
        </w:tc>
        <w:tc>
          <w:tcPr>
            <w:tcW w:w="624" w:type="dxa"/>
            <w:vAlign w:val="center"/>
            <w:tcBorders>
              <w:top w:val="nil"/>
              <w:left w:val="nil"/>
              <w:bottom w:val="nil"/>
              <w:right w:val="nil"/>
            </w:tcBorders>
          </w:tcPr>
          <w:p>
            <w:pPr>
              <w:pStyle w:val="0"/>
              <w:jc w:val="center"/>
            </w:pPr>
            <w:r>
              <w:rPr>
                <w:sz w:val="20"/>
              </w:rPr>
              <w:t xml:space="preserve">0,1</w:t>
            </w:r>
          </w:p>
        </w:tc>
        <w:tc>
          <w:tcPr>
            <w:tcW w:w="850" w:type="dxa"/>
            <w:vAlign w:val="center"/>
            <w:tcBorders>
              <w:top w:val="nil"/>
              <w:left w:val="nil"/>
              <w:bottom w:val="nil"/>
              <w:right w:val="nil"/>
            </w:tcBorders>
          </w:tcPr>
          <w:p>
            <w:pPr>
              <w:pStyle w:val="0"/>
              <w:jc w:val="center"/>
            </w:pPr>
            <w:r>
              <w:rPr>
                <w:sz w:val="20"/>
              </w:rPr>
              <w:t xml:space="preserve">159</w:t>
            </w:r>
          </w:p>
        </w:tc>
        <w:tc>
          <w:tcPr>
            <w:tcW w:w="624" w:type="dxa"/>
            <w:vAlign w:val="center"/>
            <w:tcBorders>
              <w:top w:val="nil"/>
              <w:left w:val="nil"/>
              <w:bottom w:val="nil"/>
              <w:right w:val="nil"/>
            </w:tcBorders>
          </w:tcPr>
          <w:p>
            <w:pPr>
              <w:pStyle w:val="0"/>
              <w:jc w:val="center"/>
            </w:pPr>
            <w:r>
              <w:rPr>
                <w:sz w:val="20"/>
              </w:rPr>
              <w:t xml:space="preserve">0,1</w:t>
            </w:r>
          </w:p>
        </w:tc>
      </w:tr>
      <w:tr>
        <w:tc>
          <w:tcPr>
            <w:tcW w:w="1984" w:type="dxa"/>
            <w:tcBorders>
              <w:top w:val="nil"/>
              <w:left w:val="nil"/>
              <w:bottom w:val="nil"/>
              <w:right w:val="nil"/>
            </w:tcBorders>
          </w:tcPr>
          <w:p>
            <w:pPr>
              <w:pStyle w:val="0"/>
            </w:pPr>
            <w:r>
              <w:rPr>
                <w:sz w:val="20"/>
              </w:rPr>
              <w:t xml:space="preserve">Обслуживание госдолга</w:t>
            </w:r>
          </w:p>
        </w:tc>
        <w:tc>
          <w:tcPr>
            <w:tcW w:w="850" w:type="dxa"/>
            <w:vAlign w:val="center"/>
            <w:tcBorders>
              <w:top w:val="nil"/>
              <w:left w:val="nil"/>
              <w:bottom w:val="nil"/>
              <w:right w:val="nil"/>
            </w:tcBorders>
          </w:tcPr>
          <w:p>
            <w:pPr>
              <w:pStyle w:val="0"/>
              <w:jc w:val="center"/>
            </w:pPr>
            <w:r>
              <w:rPr>
                <w:sz w:val="20"/>
              </w:rPr>
              <w:t xml:space="preserve">835</w:t>
            </w:r>
          </w:p>
        </w:tc>
        <w:tc>
          <w:tcPr>
            <w:tcW w:w="680" w:type="dxa"/>
            <w:vAlign w:val="center"/>
            <w:tcBorders>
              <w:top w:val="nil"/>
              <w:left w:val="nil"/>
              <w:bottom w:val="nil"/>
              <w:right w:val="nil"/>
            </w:tcBorders>
          </w:tcPr>
          <w:p>
            <w:pPr>
              <w:pStyle w:val="0"/>
              <w:jc w:val="center"/>
            </w:pPr>
            <w:r>
              <w:rPr>
                <w:sz w:val="20"/>
              </w:rPr>
              <w:t xml:space="preserve">0,8</w:t>
            </w:r>
          </w:p>
        </w:tc>
        <w:tc>
          <w:tcPr>
            <w:tcW w:w="850" w:type="dxa"/>
            <w:vAlign w:val="center"/>
            <w:tcBorders>
              <w:top w:val="nil"/>
              <w:left w:val="nil"/>
              <w:bottom w:val="nil"/>
              <w:right w:val="nil"/>
            </w:tcBorders>
          </w:tcPr>
          <w:p>
            <w:pPr>
              <w:pStyle w:val="0"/>
              <w:jc w:val="center"/>
            </w:pPr>
            <w:r>
              <w:rPr>
                <w:sz w:val="20"/>
              </w:rPr>
              <w:t xml:space="preserve">884</w:t>
            </w:r>
          </w:p>
        </w:tc>
        <w:tc>
          <w:tcPr>
            <w:tcW w:w="624" w:type="dxa"/>
            <w:vAlign w:val="center"/>
            <w:tcBorders>
              <w:top w:val="nil"/>
              <w:left w:val="nil"/>
              <w:bottom w:val="nil"/>
              <w:right w:val="nil"/>
            </w:tcBorders>
          </w:tcPr>
          <w:p>
            <w:pPr>
              <w:pStyle w:val="0"/>
              <w:jc w:val="center"/>
            </w:pPr>
            <w:r>
              <w:rPr>
                <w:sz w:val="20"/>
              </w:rPr>
              <w:t xml:space="preserve">0,8</w:t>
            </w:r>
          </w:p>
        </w:tc>
        <w:tc>
          <w:tcPr>
            <w:tcW w:w="794" w:type="dxa"/>
            <w:vAlign w:val="center"/>
            <w:tcBorders>
              <w:top w:val="nil"/>
              <w:left w:val="nil"/>
              <w:bottom w:val="nil"/>
              <w:right w:val="nil"/>
            </w:tcBorders>
          </w:tcPr>
          <w:p>
            <w:pPr>
              <w:pStyle w:val="0"/>
              <w:jc w:val="center"/>
            </w:pPr>
            <w:r>
              <w:rPr>
                <w:sz w:val="20"/>
              </w:rPr>
              <w:t xml:space="preserve">1 185</w:t>
            </w:r>
          </w:p>
        </w:tc>
        <w:tc>
          <w:tcPr>
            <w:tcW w:w="624" w:type="dxa"/>
            <w:vAlign w:val="center"/>
            <w:tcBorders>
              <w:top w:val="nil"/>
              <w:left w:val="nil"/>
              <w:bottom w:val="nil"/>
              <w:right w:val="nil"/>
            </w:tcBorders>
          </w:tcPr>
          <w:p>
            <w:pPr>
              <w:pStyle w:val="0"/>
              <w:jc w:val="center"/>
            </w:pPr>
            <w:r>
              <w:rPr>
                <w:sz w:val="20"/>
              </w:rPr>
              <w:t xml:space="preserve">0,9</w:t>
            </w:r>
          </w:p>
        </w:tc>
        <w:tc>
          <w:tcPr>
            <w:tcW w:w="850" w:type="dxa"/>
            <w:vAlign w:val="center"/>
            <w:tcBorders>
              <w:top w:val="nil"/>
              <w:left w:val="nil"/>
              <w:bottom w:val="nil"/>
              <w:right w:val="nil"/>
            </w:tcBorders>
          </w:tcPr>
          <w:p>
            <w:pPr>
              <w:pStyle w:val="0"/>
              <w:jc w:val="center"/>
            </w:pPr>
            <w:r>
              <w:rPr>
                <w:sz w:val="20"/>
              </w:rPr>
              <w:t xml:space="preserve">1 607</w:t>
            </w:r>
          </w:p>
        </w:tc>
        <w:tc>
          <w:tcPr>
            <w:tcW w:w="624" w:type="dxa"/>
            <w:vAlign w:val="center"/>
            <w:tcBorders>
              <w:top w:val="nil"/>
              <w:left w:val="nil"/>
              <w:bottom w:val="nil"/>
              <w:right w:val="nil"/>
            </w:tcBorders>
          </w:tcPr>
          <w:p>
            <w:pPr>
              <w:pStyle w:val="0"/>
              <w:jc w:val="center"/>
            </w:pPr>
            <w:r>
              <w:rPr>
                <w:sz w:val="20"/>
              </w:rPr>
              <w:t xml:space="preserve">1,0</w:t>
            </w:r>
          </w:p>
        </w:tc>
        <w:tc>
          <w:tcPr>
            <w:tcW w:w="794" w:type="dxa"/>
            <w:vAlign w:val="center"/>
            <w:tcBorders>
              <w:top w:val="nil"/>
              <w:left w:val="nil"/>
              <w:bottom w:val="nil"/>
              <w:right w:val="nil"/>
            </w:tcBorders>
          </w:tcPr>
          <w:p>
            <w:pPr>
              <w:pStyle w:val="0"/>
              <w:jc w:val="center"/>
            </w:pPr>
            <w:r>
              <w:rPr>
                <w:sz w:val="20"/>
              </w:rPr>
              <w:t xml:space="preserve">2 382</w:t>
            </w:r>
          </w:p>
        </w:tc>
        <w:tc>
          <w:tcPr>
            <w:tcW w:w="624" w:type="dxa"/>
            <w:vAlign w:val="center"/>
            <w:tcBorders>
              <w:top w:val="nil"/>
              <w:left w:val="nil"/>
              <w:bottom w:val="nil"/>
              <w:right w:val="nil"/>
            </w:tcBorders>
          </w:tcPr>
          <w:p>
            <w:pPr>
              <w:pStyle w:val="0"/>
              <w:jc w:val="center"/>
            </w:pPr>
            <w:r>
              <w:rPr>
                <w:sz w:val="20"/>
              </w:rPr>
              <w:t xml:space="preserve">1,3</w:t>
            </w:r>
          </w:p>
        </w:tc>
        <w:tc>
          <w:tcPr>
            <w:tcW w:w="850" w:type="dxa"/>
            <w:vAlign w:val="center"/>
            <w:tcBorders>
              <w:top w:val="nil"/>
              <w:left w:val="nil"/>
              <w:bottom w:val="nil"/>
              <w:right w:val="nil"/>
            </w:tcBorders>
          </w:tcPr>
          <w:p>
            <w:pPr>
              <w:pStyle w:val="0"/>
              <w:jc w:val="center"/>
            </w:pPr>
            <w:r>
              <w:rPr>
                <w:sz w:val="20"/>
              </w:rPr>
              <w:t xml:space="preserve">2 898</w:t>
            </w:r>
          </w:p>
        </w:tc>
        <w:tc>
          <w:tcPr>
            <w:tcW w:w="624" w:type="dxa"/>
            <w:vAlign w:val="center"/>
            <w:tcBorders>
              <w:top w:val="nil"/>
              <w:left w:val="nil"/>
              <w:bottom w:val="nil"/>
              <w:right w:val="nil"/>
            </w:tcBorders>
          </w:tcPr>
          <w:p>
            <w:pPr>
              <w:pStyle w:val="0"/>
              <w:jc w:val="center"/>
            </w:pPr>
            <w:r>
              <w:rPr>
                <w:sz w:val="20"/>
              </w:rPr>
              <w:t xml:space="preserve">1,5</w:t>
            </w:r>
          </w:p>
        </w:tc>
        <w:tc>
          <w:tcPr>
            <w:tcW w:w="850" w:type="dxa"/>
            <w:vAlign w:val="center"/>
            <w:tcBorders>
              <w:top w:val="nil"/>
              <w:left w:val="nil"/>
              <w:bottom w:val="nil"/>
              <w:right w:val="nil"/>
            </w:tcBorders>
          </w:tcPr>
          <w:p>
            <w:pPr>
              <w:pStyle w:val="0"/>
              <w:jc w:val="center"/>
            </w:pPr>
            <w:r>
              <w:rPr>
                <w:sz w:val="20"/>
              </w:rPr>
              <w:t xml:space="preserve">3 414</w:t>
            </w:r>
          </w:p>
        </w:tc>
        <w:tc>
          <w:tcPr>
            <w:tcW w:w="624" w:type="dxa"/>
            <w:vAlign w:val="center"/>
            <w:tcBorders>
              <w:top w:val="nil"/>
              <w:left w:val="nil"/>
              <w:bottom w:val="nil"/>
              <w:right w:val="nil"/>
            </w:tcBorders>
          </w:tcPr>
          <w:p>
            <w:pPr>
              <w:pStyle w:val="0"/>
              <w:jc w:val="center"/>
            </w:pPr>
            <w:r>
              <w:rPr>
                <w:sz w:val="20"/>
              </w:rPr>
              <w:t xml:space="preserve">1,7</w:t>
            </w:r>
          </w:p>
        </w:tc>
      </w:tr>
      <w:tr>
        <w:tc>
          <w:tcPr>
            <w:tcW w:w="1984" w:type="dxa"/>
            <w:vAlign w:val="bottom"/>
            <w:tcBorders>
              <w:top w:val="nil"/>
              <w:left w:val="nil"/>
              <w:bottom w:val="single" w:sz="4"/>
              <w:right w:val="nil"/>
            </w:tcBorders>
          </w:tcPr>
          <w:p>
            <w:pPr>
              <w:pStyle w:val="0"/>
            </w:pPr>
            <w:r>
              <w:rPr>
                <w:sz w:val="20"/>
              </w:rPr>
              <w:t xml:space="preserve">Условно утвержденные расходы</w:t>
            </w:r>
          </w:p>
        </w:tc>
        <w:tc>
          <w:tcPr>
            <w:tcW w:w="850" w:type="dxa"/>
            <w:vAlign w:val="center"/>
            <w:tcBorders>
              <w:top w:val="nil"/>
              <w:left w:val="nil"/>
              <w:bottom w:val="single" w:sz="4"/>
              <w:right w:val="nil"/>
            </w:tcBorders>
          </w:tcPr>
          <w:p>
            <w:pPr>
              <w:pStyle w:val="0"/>
              <w:jc w:val="center"/>
            </w:pPr>
            <w:r>
              <w:rPr>
                <w:sz w:val="20"/>
              </w:rPr>
              <w:t xml:space="preserve">-</w:t>
            </w:r>
          </w:p>
        </w:tc>
        <w:tc>
          <w:tcPr>
            <w:tcW w:w="680" w:type="dxa"/>
            <w:vAlign w:val="center"/>
            <w:tcBorders>
              <w:top w:val="nil"/>
              <w:left w:val="nil"/>
              <w:bottom w:val="single" w:sz="4"/>
              <w:right w:val="nil"/>
            </w:tcBorders>
          </w:tcPr>
          <w:p>
            <w:pPr>
              <w:pStyle w:val="0"/>
            </w:pPr>
            <w:r>
              <w:rPr>
                <w:sz w:val="20"/>
              </w:rPr>
            </w:r>
          </w:p>
        </w:tc>
        <w:tc>
          <w:tcPr>
            <w:tcW w:w="850" w:type="dxa"/>
            <w:vAlign w:val="center"/>
            <w:tcBorders>
              <w:top w:val="nil"/>
              <w:left w:val="nil"/>
              <w:bottom w:val="single" w:sz="4"/>
              <w:right w:val="nil"/>
            </w:tcBorders>
          </w:tcPr>
          <w:p>
            <w:pPr>
              <w:pStyle w:val="0"/>
              <w:jc w:val="center"/>
            </w:pPr>
            <w:r>
              <w:rPr>
                <w:sz w:val="20"/>
              </w:rPr>
              <w:t xml:space="preserve">-</w:t>
            </w:r>
          </w:p>
        </w:tc>
        <w:tc>
          <w:tcPr>
            <w:tcW w:w="624" w:type="dxa"/>
            <w:vAlign w:val="center"/>
            <w:tcBorders>
              <w:top w:val="nil"/>
              <w:left w:val="nil"/>
              <w:bottom w:val="single" w:sz="4"/>
              <w:right w:val="nil"/>
            </w:tcBorders>
          </w:tcPr>
          <w:p>
            <w:pPr>
              <w:pStyle w:val="0"/>
            </w:pPr>
            <w:r>
              <w:rPr>
                <w:sz w:val="20"/>
              </w:rPr>
            </w:r>
          </w:p>
        </w:tc>
        <w:tc>
          <w:tcPr>
            <w:tcW w:w="794" w:type="dxa"/>
            <w:vAlign w:val="center"/>
            <w:tcBorders>
              <w:top w:val="nil"/>
              <w:left w:val="nil"/>
              <w:bottom w:val="single" w:sz="4"/>
              <w:right w:val="nil"/>
            </w:tcBorders>
          </w:tcPr>
          <w:p>
            <w:pPr>
              <w:pStyle w:val="0"/>
              <w:jc w:val="center"/>
            </w:pPr>
            <w:r>
              <w:rPr>
                <w:sz w:val="20"/>
              </w:rPr>
              <w:t xml:space="preserve">-</w:t>
            </w:r>
          </w:p>
        </w:tc>
        <w:tc>
          <w:tcPr>
            <w:tcW w:w="624" w:type="dxa"/>
            <w:vAlign w:val="center"/>
            <w:tcBorders>
              <w:top w:val="nil"/>
              <w:left w:val="nil"/>
              <w:bottom w:val="single" w:sz="4"/>
              <w:right w:val="nil"/>
            </w:tcBorders>
          </w:tcPr>
          <w:p>
            <w:pPr>
              <w:pStyle w:val="0"/>
            </w:pPr>
            <w:r>
              <w:rPr>
                <w:sz w:val="20"/>
              </w:rPr>
            </w:r>
          </w:p>
        </w:tc>
        <w:tc>
          <w:tcPr>
            <w:tcW w:w="850" w:type="dxa"/>
            <w:vAlign w:val="center"/>
            <w:tcBorders>
              <w:top w:val="nil"/>
              <w:left w:val="nil"/>
              <w:bottom w:val="single" w:sz="4"/>
              <w:right w:val="nil"/>
            </w:tcBorders>
          </w:tcPr>
          <w:p>
            <w:pPr>
              <w:pStyle w:val="0"/>
              <w:jc w:val="center"/>
            </w:pPr>
            <w:r>
              <w:rPr>
                <w:sz w:val="20"/>
              </w:rPr>
              <w:t xml:space="preserve">-</w:t>
            </w:r>
          </w:p>
        </w:tc>
        <w:tc>
          <w:tcPr>
            <w:tcW w:w="624" w:type="dxa"/>
            <w:vAlign w:val="center"/>
            <w:tcBorders>
              <w:top w:val="nil"/>
              <w:left w:val="nil"/>
              <w:bottom w:val="single" w:sz="4"/>
              <w:right w:val="nil"/>
            </w:tcBorders>
          </w:tcPr>
          <w:p>
            <w:pPr>
              <w:pStyle w:val="0"/>
            </w:pPr>
            <w:r>
              <w:rPr>
                <w:sz w:val="20"/>
              </w:rPr>
            </w:r>
          </w:p>
        </w:tc>
        <w:tc>
          <w:tcPr>
            <w:tcW w:w="794" w:type="dxa"/>
            <w:vAlign w:val="center"/>
            <w:tcBorders>
              <w:top w:val="nil"/>
              <w:left w:val="nil"/>
              <w:bottom w:val="single" w:sz="4"/>
              <w:right w:val="nil"/>
            </w:tcBorders>
          </w:tcPr>
          <w:p>
            <w:pPr>
              <w:pStyle w:val="0"/>
              <w:jc w:val="center"/>
            </w:pPr>
            <w:r>
              <w:rPr>
                <w:sz w:val="20"/>
              </w:rPr>
              <w:t xml:space="preserve">0</w:t>
            </w:r>
          </w:p>
        </w:tc>
        <w:tc>
          <w:tcPr>
            <w:tcW w:w="624" w:type="dxa"/>
            <w:vAlign w:val="center"/>
            <w:tcBorders>
              <w:top w:val="nil"/>
              <w:left w:val="nil"/>
              <w:bottom w:val="single" w:sz="4"/>
              <w:right w:val="nil"/>
            </w:tcBorders>
          </w:tcPr>
          <w:p>
            <w:pPr>
              <w:pStyle w:val="0"/>
              <w:jc w:val="center"/>
            </w:pPr>
            <w:r>
              <w:rPr>
                <w:sz w:val="20"/>
              </w:rPr>
              <w:t xml:space="preserve">0,0</w:t>
            </w:r>
          </w:p>
        </w:tc>
        <w:tc>
          <w:tcPr>
            <w:tcW w:w="850" w:type="dxa"/>
            <w:vAlign w:val="center"/>
            <w:tcBorders>
              <w:top w:val="nil"/>
              <w:left w:val="nil"/>
              <w:bottom w:val="single" w:sz="4"/>
              <w:right w:val="nil"/>
            </w:tcBorders>
          </w:tcPr>
          <w:p>
            <w:pPr>
              <w:pStyle w:val="0"/>
              <w:jc w:val="center"/>
            </w:pPr>
            <w:r>
              <w:rPr>
                <w:sz w:val="20"/>
              </w:rPr>
              <w:t xml:space="preserve">860</w:t>
            </w:r>
          </w:p>
        </w:tc>
        <w:tc>
          <w:tcPr>
            <w:tcW w:w="624" w:type="dxa"/>
            <w:vAlign w:val="center"/>
            <w:tcBorders>
              <w:top w:val="nil"/>
              <w:left w:val="nil"/>
              <w:bottom w:val="single" w:sz="4"/>
              <w:right w:val="nil"/>
            </w:tcBorders>
          </w:tcPr>
          <w:p>
            <w:pPr>
              <w:pStyle w:val="0"/>
              <w:jc w:val="center"/>
            </w:pPr>
            <w:r>
              <w:rPr>
                <w:sz w:val="20"/>
              </w:rPr>
              <w:t xml:space="preserve">0,5</w:t>
            </w:r>
          </w:p>
        </w:tc>
        <w:tc>
          <w:tcPr>
            <w:tcW w:w="850" w:type="dxa"/>
            <w:vAlign w:val="center"/>
            <w:tcBorders>
              <w:top w:val="nil"/>
              <w:left w:val="nil"/>
              <w:bottom w:val="single" w:sz="4"/>
              <w:right w:val="nil"/>
            </w:tcBorders>
          </w:tcPr>
          <w:p>
            <w:pPr>
              <w:pStyle w:val="0"/>
              <w:jc w:val="center"/>
            </w:pPr>
            <w:r>
              <w:rPr>
                <w:sz w:val="20"/>
              </w:rPr>
              <w:t xml:space="preserve">1 779</w:t>
            </w:r>
          </w:p>
        </w:tc>
        <w:tc>
          <w:tcPr>
            <w:tcW w:w="624" w:type="dxa"/>
            <w:vAlign w:val="center"/>
            <w:tcBorders>
              <w:top w:val="nil"/>
              <w:left w:val="nil"/>
              <w:bottom w:val="single" w:sz="4"/>
              <w:right w:val="nil"/>
            </w:tcBorders>
          </w:tcPr>
          <w:p>
            <w:pPr>
              <w:pStyle w:val="0"/>
              <w:jc w:val="center"/>
            </w:pPr>
            <w:r>
              <w:rPr>
                <w:sz w:val="20"/>
              </w:rPr>
              <w:t xml:space="preserve">0,9</w:t>
            </w:r>
          </w:p>
        </w:tc>
      </w:tr>
    </w:tbl>
    <w:p>
      <w:pPr>
        <w:sectPr>
          <w:headerReference w:type="default" r:id="rId28"/>
          <w:headerReference w:type="first" r:id="rId28"/>
          <w:footerReference w:type="default" r:id="rId29"/>
          <w:footerReference w:type="first" r:id="rId2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3046" w:name="P3046"/>
    <w:bookmarkEnd w:id="3046"/>
    <w:p>
      <w:pPr>
        <w:pStyle w:val="0"/>
        <w:spacing w:before="200" w:line-rule="auto"/>
        <w:ind w:firstLine="540"/>
        <w:jc w:val="both"/>
      </w:pPr>
      <w:r>
        <w:rPr>
          <w:sz w:val="20"/>
        </w:rPr>
        <w:t xml:space="preserve">&lt;*&gt; без учета накопительной составляющей пенсионной системы;</w:t>
      </w:r>
    </w:p>
    <w:bookmarkStart w:id="3047" w:name="P3047"/>
    <w:bookmarkEnd w:id="3047"/>
    <w:p>
      <w:pPr>
        <w:pStyle w:val="0"/>
        <w:spacing w:before="200" w:line-rule="auto"/>
        <w:ind w:firstLine="540"/>
        <w:jc w:val="both"/>
      </w:pPr>
      <w:r>
        <w:rPr>
          <w:sz w:val="20"/>
        </w:rPr>
        <w:t xml:space="preserve">&lt;**&gt; с учетом сводной бюджетной росписи федерального бюджета на 1 сентября 2023 г.</w:t>
      </w:r>
    </w:p>
    <w:p>
      <w:pPr>
        <w:pStyle w:val="0"/>
        <w:jc w:val="both"/>
      </w:pPr>
      <w:r>
        <w:rPr>
          <w:sz w:val="20"/>
        </w:rPr>
      </w:r>
    </w:p>
    <w:p>
      <w:pPr>
        <w:pStyle w:val="0"/>
        <w:ind w:firstLine="540"/>
        <w:jc w:val="both"/>
      </w:pPr>
      <w:r>
        <w:rPr>
          <w:sz w:val="20"/>
        </w:rPr>
        <w:t xml:space="preserve">Сформированный на основе изложенных выше основных направлений бюджетной политики проект федерального бюджета на 2024 - 2026 годы должен стать одним из ключевых инструментов экономической политики, обеспечивающих финансовую и ценовую стабильность, повышение потенциала развития экономики и достижение национальных целей развития.</w:t>
      </w:r>
    </w:p>
    <w:p>
      <w:pPr>
        <w:pStyle w:val="0"/>
        <w:spacing w:before="200" w:line-rule="auto"/>
        <w:ind w:firstLine="540"/>
        <w:jc w:val="both"/>
      </w:pPr>
      <w:r>
        <w:rPr>
          <w:sz w:val="20"/>
        </w:rPr>
        <w:t xml:space="preserve">Бюджетные параметры предусматривают сохранение экспансивной направленности бюджетной политики в 2024 году с полной нормализацией и выходом на параметры, соответствующие "бюджетному правилу" с 2025 года.</w:t>
      </w:r>
    </w:p>
    <w:p>
      <w:pPr>
        <w:pStyle w:val="0"/>
        <w:spacing w:before="200" w:line-rule="auto"/>
        <w:ind w:firstLine="540"/>
        <w:jc w:val="both"/>
      </w:pPr>
      <w:r>
        <w:rPr>
          <w:sz w:val="20"/>
        </w:rPr>
        <w:t xml:space="preserve">Формирование основных параметров федерального бюджета на основе обозначенных подходов, с одной стороны, позволит обеспечить поддержку экономики и завершение периода перестройки хозяйственных связей, а с другой стороны, будет содействовать сохранению доверия к целостности и предсказуемости конструкции проводимой макроэкономической политики, устойчивому развитию и структурным изменениям в экономике на среднесрочном горизонте.</w:t>
      </w:r>
    </w:p>
    <w:p>
      <w:pPr>
        <w:pStyle w:val="0"/>
        <w:spacing w:before="200" w:line-rule="auto"/>
        <w:ind w:firstLine="540"/>
        <w:jc w:val="both"/>
      </w:pPr>
      <w:r>
        <w:rPr>
          <w:sz w:val="20"/>
        </w:rPr>
        <w:t xml:space="preserve">Структура расходов федерального бюджета предполагает выделение в приоритетном порядке бюджетных ассигнований на реализацию задач, поставленных Президентом Российской Федерации Федеральному Собранию, национальных проектов, а также инициатив социально-экономического развития Российской Федерации. В бюджете учтены направления по финансированию технологического развития и поддержку инфраструктуры, обеспечение безопасности страны и интеграцию новых регионов. Особенный приоритет акцентирован на мерах по снижению бедности и поддержке семей с детьми.</w:t>
      </w:r>
    </w:p>
    <w:p>
      <w:pPr>
        <w:pStyle w:val="0"/>
        <w:spacing w:before="200" w:line-rule="auto"/>
        <w:ind w:firstLine="540"/>
        <w:jc w:val="both"/>
      </w:pPr>
      <w:r>
        <w:rPr>
          <w:sz w:val="20"/>
        </w:rPr>
        <w:t xml:space="preserve">На достижение национальных целей развития ориентированы как национальные проекты, так и мероприятия государственных программ в рамках Единого </w:t>
      </w:r>
      <w:hyperlink w:history="0" r:id="rId34" w:tooltip="&quot;Единый план по достижению национальных целей развития Российской Федерации на период до 2024 года и на плановый период до 2030 года&quot; (утв. распоряжением Правительства РФ от 01.10.2021 N 2765-р) (с изм. от 24.12.2021) {КонсультантПлюс}">
        <w:r>
          <w:rPr>
            <w:sz w:val="20"/>
            <w:color w:val="0000ff"/>
          </w:rPr>
          <w:t xml:space="preserve">плана</w:t>
        </w:r>
      </w:hyperlink>
      <w:r>
        <w:rPr>
          <w:sz w:val="20"/>
        </w:rPr>
        <w:t xml:space="preserve"> по достижению национальных целей развития (на период до 2024 года и на плановый период до 2030 года).</w:t>
      </w:r>
    </w:p>
    <w:p>
      <w:pPr>
        <w:pStyle w:val="0"/>
        <w:spacing w:before="200" w:line-rule="auto"/>
        <w:ind w:firstLine="540"/>
        <w:jc w:val="both"/>
      </w:pPr>
      <w:r>
        <w:rPr>
          <w:sz w:val="20"/>
        </w:rPr>
        <w:t xml:space="preserve">Развитие института госпрограмм, совершенствование проектных принципов управления, обновление подходов к обзорам бюджетных расходов, совершенствование системы государственных закупок, развитие единой системы учета, контроля и оценки налоговых расходов, а также внедрение современных технологий планирования и исполнения бюджета будут ключевыми мерами операционной эффективности для повышения вклада мер государственной поддержки в достижение национальных целей развития.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1</w:t>
      </w:r>
    </w:p>
    <w:p>
      <w:pPr>
        <w:pStyle w:val="0"/>
        <w:jc w:val="both"/>
      </w:pPr>
      <w:r>
        <w:rPr>
          <w:sz w:val="20"/>
        </w:rPr>
      </w:r>
    </w:p>
    <w:p>
      <w:pPr>
        <w:pStyle w:val="2"/>
        <w:jc w:val="center"/>
      </w:pPr>
      <w:r>
        <w:rPr>
          <w:sz w:val="20"/>
        </w:rPr>
        <w:t xml:space="preserve">АНАЛИЗ ВНУТРЕННИХ НАЛОГОВЫХ УСЛОВИЙ</w:t>
      </w:r>
    </w:p>
    <w:p>
      <w:pPr>
        <w:pStyle w:val="0"/>
        <w:jc w:val="both"/>
      </w:pPr>
      <w:r>
        <w:rPr>
          <w:sz w:val="20"/>
        </w:rPr>
      </w:r>
    </w:p>
    <w:p>
      <w:pPr>
        <w:pStyle w:val="0"/>
        <w:ind w:firstLine="540"/>
        <w:jc w:val="both"/>
      </w:pPr>
      <w:r>
        <w:rPr>
          <w:sz w:val="20"/>
        </w:rPr>
        <w:t xml:space="preserve">Анализ уровня налоговой нагрузки показывает, что налоговые доходы бюджетной системы &lt;1&gt;, определяемые как процентная доля ВВП, на протяжении последних лет существенно не изменяется. Так, налоговая нагрузка на экономику в Российской Федерации в 2022 году составила 32,4% к ВВП, увеличившись по сравнению с 2021 годом на 0,39 п.п.</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Налоговые доходы бюджетной системы рассчитываются как сумма поступлений всех налогов и сборов, таможенных пошлин, страховых взносов на обязательное государственное социальное страхование и прочих налоговых платежей.</w:t>
      </w:r>
    </w:p>
    <w:p>
      <w:pPr>
        <w:pStyle w:val="0"/>
        <w:jc w:val="both"/>
      </w:pPr>
      <w:r>
        <w:rPr>
          <w:sz w:val="20"/>
        </w:rPr>
      </w:r>
    </w:p>
    <w:p>
      <w:pPr>
        <w:pStyle w:val="0"/>
        <w:ind w:firstLine="540"/>
        <w:jc w:val="both"/>
      </w:pPr>
      <w:r>
        <w:rPr>
          <w:sz w:val="20"/>
        </w:rPr>
        <w:t xml:space="preserve">Таблица 1. Доходы бюджета расширенного Правительства Российской Федерации в 2016 - 2022 гг.</w:t>
      </w:r>
    </w:p>
    <w:p>
      <w:pPr>
        <w:pStyle w:val="0"/>
        <w:jc w:val="both"/>
      </w:pPr>
      <w:r>
        <w:rPr>
          <w:sz w:val="20"/>
        </w:rPr>
      </w:r>
    </w:p>
    <w:p>
      <w:pPr>
        <w:pStyle w:val="0"/>
        <w:jc w:val="right"/>
      </w:pPr>
      <w:r>
        <w:rPr>
          <w:sz w:val="20"/>
        </w:rPr>
        <w:t xml:space="preserve">% к ВВП</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3912"/>
        <w:gridCol w:w="749"/>
        <w:gridCol w:w="730"/>
        <w:gridCol w:w="730"/>
        <w:gridCol w:w="730"/>
        <w:gridCol w:w="730"/>
        <w:gridCol w:w="730"/>
        <w:gridCol w:w="754"/>
      </w:tblGrid>
      <w:tr>
        <w:tblPrEx>
          <w:tblBorders>
            <w:insideH w:val="single" w:sz="4"/>
          </w:tblBorders>
        </w:tblPrEx>
        <w:tc>
          <w:tcPr>
            <w:tcW w:w="3912" w:type="dxa"/>
            <w:tcBorders>
              <w:top w:val="single" w:sz="4"/>
              <w:left w:val="nil"/>
              <w:bottom w:val="single" w:sz="4"/>
              <w:right w:val="nil"/>
            </w:tcBorders>
          </w:tcPr>
          <w:p>
            <w:pPr>
              <w:pStyle w:val="0"/>
              <w:jc w:val="center"/>
            </w:pPr>
            <w:r>
              <w:rPr>
                <w:sz w:val="20"/>
              </w:rPr>
              <w:t xml:space="preserve">Показатель</w:t>
            </w:r>
          </w:p>
        </w:tc>
        <w:tc>
          <w:tcPr>
            <w:tcW w:w="749" w:type="dxa"/>
            <w:tcBorders>
              <w:top w:val="single" w:sz="4"/>
              <w:left w:val="nil"/>
              <w:bottom w:val="single" w:sz="4"/>
              <w:right w:val="nil"/>
            </w:tcBorders>
          </w:tcPr>
          <w:p>
            <w:pPr>
              <w:pStyle w:val="0"/>
              <w:jc w:val="center"/>
            </w:pPr>
            <w:r>
              <w:rPr>
                <w:sz w:val="20"/>
              </w:rPr>
              <w:t xml:space="preserve">2016</w:t>
            </w:r>
          </w:p>
        </w:tc>
        <w:tc>
          <w:tcPr>
            <w:tcW w:w="730" w:type="dxa"/>
            <w:tcBorders>
              <w:top w:val="single" w:sz="4"/>
              <w:left w:val="nil"/>
              <w:bottom w:val="single" w:sz="4"/>
              <w:right w:val="nil"/>
            </w:tcBorders>
          </w:tcPr>
          <w:p>
            <w:pPr>
              <w:pStyle w:val="0"/>
              <w:jc w:val="center"/>
            </w:pPr>
            <w:r>
              <w:rPr>
                <w:sz w:val="20"/>
              </w:rPr>
              <w:t xml:space="preserve">2017</w:t>
            </w:r>
          </w:p>
        </w:tc>
        <w:tc>
          <w:tcPr>
            <w:tcW w:w="730" w:type="dxa"/>
            <w:tcBorders>
              <w:top w:val="single" w:sz="4"/>
              <w:left w:val="nil"/>
              <w:bottom w:val="single" w:sz="4"/>
              <w:right w:val="nil"/>
            </w:tcBorders>
          </w:tcPr>
          <w:p>
            <w:pPr>
              <w:pStyle w:val="0"/>
              <w:jc w:val="center"/>
            </w:pPr>
            <w:r>
              <w:rPr>
                <w:sz w:val="20"/>
              </w:rPr>
              <w:t xml:space="preserve">2018</w:t>
            </w:r>
          </w:p>
        </w:tc>
        <w:tc>
          <w:tcPr>
            <w:tcW w:w="730" w:type="dxa"/>
            <w:tcBorders>
              <w:top w:val="single" w:sz="4"/>
              <w:left w:val="nil"/>
              <w:bottom w:val="single" w:sz="4"/>
              <w:right w:val="nil"/>
            </w:tcBorders>
          </w:tcPr>
          <w:p>
            <w:pPr>
              <w:pStyle w:val="0"/>
              <w:jc w:val="center"/>
            </w:pPr>
            <w:r>
              <w:rPr>
                <w:sz w:val="20"/>
              </w:rPr>
              <w:t xml:space="preserve">2019</w:t>
            </w:r>
          </w:p>
        </w:tc>
        <w:tc>
          <w:tcPr>
            <w:tcW w:w="730" w:type="dxa"/>
            <w:tcBorders>
              <w:top w:val="single" w:sz="4"/>
              <w:left w:val="nil"/>
              <w:bottom w:val="single" w:sz="4"/>
              <w:right w:val="nil"/>
            </w:tcBorders>
          </w:tcPr>
          <w:p>
            <w:pPr>
              <w:pStyle w:val="0"/>
              <w:jc w:val="center"/>
            </w:pPr>
            <w:r>
              <w:rPr>
                <w:sz w:val="20"/>
              </w:rPr>
              <w:t xml:space="preserve">2020</w:t>
            </w:r>
          </w:p>
        </w:tc>
        <w:tc>
          <w:tcPr>
            <w:tcW w:w="730" w:type="dxa"/>
            <w:tcBorders>
              <w:top w:val="single" w:sz="4"/>
              <w:left w:val="nil"/>
              <w:bottom w:val="single" w:sz="4"/>
              <w:right w:val="nil"/>
            </w:tcBorders>
          </w:tcPr>
          <w:p>
            <w:pPr>
              <w:pStyle w:val="0"/>
              <w:jc w:val="center"/>
            </w:pPr>
            <w:r>
              <w:rPr>
                <w:sz w:val="20"/>
              </w:rPr>
              <w:t xml:space="preserve">2021</w:t>
            </w:r>
          </w:p>
        </w:tc>
        <w:tc>
          <w:tcPr>
            <w:tcW w:w="754" w:type="dxa"/>
            <w:tcBorders>
              <w:top w:val="single" w:sz="4"/>
              <w:left w:val="nil"/>
              <w:bottom w:val="single" w:sz="4"/>
              <w:right w:val="nil"/>
            </w:tcBorders>
          </w:tcPr>
          <w:p>
            <w:pPr>
              <w:pStyle w:val="0"/>
              <w:jc w:val="center"/>
            </w:pPr>
            <w:r>
              <w:rPr>
                <w:sz w:val="20"/>
              </w:rPr>
              <w:t xml:space="preserve">2022</w:t>
            </w:r>
          </w:p>
        </w:tc>
      </w:tr>
      <w:tr>
        <w:tc>
          <w:tcPr>
            <w:tcW w:w="3912" w:type="dxa"/>
            <w:tcBorders>
              <w:top w:val="single" w:sz="4"/>
              <w:left w:val="nil"/>
              <w:bottom w:val="nil"/>
              <w:right w:val="nil"/>
            </w:tcBorders>
          </w:tcPr>
          <w:p>
            <w:pPr>
              <w:pStyle w:val="0"/>
            </w:pPr>
            <w:r>
              <w:rPr>
                <w:sz w:val="20"/>
              </w:rPr>
              <w:t xml:space="preserve">Доходы всего</w:t>
            </w:r>
          </w:p>
        </w:tc>
        <w:tc>
          <w:tcPr>
            <w:tcW w:w="749" w:type="dxa"/>
            <w:vAlign w:val="center"/>
            <w:tcBorders>
              <w:top w:val="single" w:sz="4"/>
              <w:left w:val="nil"/>
              <w:bottom w:val="nil"/>
              <w:right w:val="nil"/>
            </w:tcBorders>
          </w:tcPr>
          <w:p>
            <w:pPr>
              <w:pStyle w:val="0"/>
              <w:jc w:val="center"/>
            </w:pPr>
            <w:r>
              <w:rPr>
                <w:sz w:val="20"/>
              </w:rPr>
              <w:t xml:space="preserve">32,92</w:t>
            </w:r>
          </w:p>
        </w:tc>
        <w:tc>
          <w:tcPr>
            <w:tcW w:w="730" w:type="dxa"/>
            <w:vAlign w:val="center"/>
            <w:tcBorders>
              <w:top w:val="single" w:sz="4"/>
              <w:left w:val="nil"/>
              <w:bottom w:val="nil"/>
              <w:right w:val="nil"/>
            </w:tcBorders>
          </w:tcPr>
          <w:p>
            <w:pPr>
              <w:pStyle w:val="0"/>
              <w:jc w:val="center"/>
            </w:pPr>
            <w:r>
              <w:rPr>
                <w:sz w:val="20"/>
              </w:rPr>
              <w:t xml:space="preserve">33,80</w:t>
            </w:r>
          </w:p>
        </w:tc>
        <w:tc>
          <w:tcPr>
            <w:tcW w:w="730" w:type="dxa"/>
            <w:vAlign w:val="center"/>
            <w:tcBorders>
              <w:top w:val="single" w:sz="4"/>
              <w:left w:val="nil"/>
              <w:bottom w:val="nil"/>
              <w:right w:val="nil"/>
            </w:tcBorders>
          </w:tcPr>
          <w:p>
            <w:pPr>
              <w:pStyle w:val="0"/>
              <w:jc w:val="center"/>
            </w:pPr>
            <w:r>
              <w:rPr>
                <w:sz w:val="20"/>
              </w:rPr>
              <w:t xml:space="preserve">35,93</w:t>
            </w:r>
          </w:p>
        </w:tc>
        <w:tc>
          <w:tcPr>
            <w:tcW w:w="730" w:type="dxa"/>
            <w:vAlign w:val="center"/>
            <w:tcBorders>
              <w:top w:val="single" w:sz="4"/>
              <w:left w:val="nil"/>
              <w:bottom w:val="nil"/>
              <w:right w:val="nil"/>
            </w:tcBorders>
          </w:tcPr>
          <w:p>
            <w:pPr>
              <w:pStyle w:val="0"/>
              <w:jc w:val="center"/>
            </w:pPr>
            <w:r>
              <w:rPr>
                <w:sz w:val="20"/>
              </w:rPr>
              <w:t xml:space="preserve">36,04</w:t>
            </w:r>
          </w:p>
        </w:tc>
        <w:tc>
          <w:tcPr>
            <w:tcW w:w="730" w:type="dxa"/>
            <w:vAlign w:val="center"/>
            <w:tcBorders>
              <w:top w:val="single" w:sz="4"/>
              <w:left w:val="nil"/>
              <w:bottom w:val="nil"/>
              <w:right w:val="nil"/>
            </w:tcBorders>
          </w:tcPr>
          <w:p>
            <w:pPr>
              <w:pStyle w:val="0"/>
              <w:jc w:val="center"/>
            </w:pPr>
            <w:r>
              <w:rPr>
                <w:sz w:val="20"/>
              </w:rPr>
              <w:t xml:space="preserve">35,49</w:t>
            </w:r>
          </w:p>
        </w:tc>
        <w:tc>
          <w:tcPr>
            <w:tcW w:w="730" w:type="dxa"/>
            <w:vAlign w:val="center"/>
            <w:tcBorders>
              <w:top w:val="single" w:sz="4"/>
              <w:left w:val="nil"/>
              <w:bottom w:val="nil"/>
              <w:right w:val="nil"/>
            </w:tcBorders>
          </w:tcPr>
          <w:p>
            <w:pPr>
              <w:pStyle w:val="0"/>
              <w:jc w:val="center"/>
            </w:pPr>
            <w:r>
              <w:rPr>
                <w:sz w:val="20"/>
              </w:rPr>
              <w:t xml:space="preserve">35,57</w:t>
            </w:r>
          </w:p>
        </w:tc>
        <w:tc>
          <w:tcPr>
            <w:tcW w:w="754" w:type="dxa"/>
            <w:vAlign w:val="center"/>
            <w:tcBorders>
              <w:top w:val="single" w:sz="4"/>
              <w:left w:val="nil"/>
              <w:bottom w:val="nil"/>
              <w:right w:val="nil"/>
            </w:tcBorders>
          </w:tcPr>
          <w:p>
            <w:pPr>
              <w:pStyle w:val="0"/>
              <w:jc w:val="center"/>
            </w:pPr>
            <w:r>
              <w:rPr>
                <w:sz w:val="20"/>
              </w:rPr>
              <w:t xml:space="preserve">35,04</w:t>
            </w:r>
          </w:p>
        </w:tc>
      </w:tr>
      <w:tr>
        <w:tc>
          <w:tcPr>
            <w:tcW w:w="3912" w:type="dxa"/>
            <w:tcBorders>
              <w:top w:val="nil"/>
              <w:left w:val="nil"/>
              <w:bottom w:val="nil"/>
              <w:right w:val="nil"/>
            </w:tcBorders>
          </w:tcPr>
          <w:p>
            <w:pPr>
              <w:pStyle w:val="0"/>
            </w:pPr>
            <w:r>
              <w:rPr>
                <w:sz w:val="20"/>
              </w:rPr>
              <w:t xml:space="preserve">Налоговые доходы и платежи</w:t>
            </w:r>
          </w:p>
        </w:tc>
        <w:tc>
          <w:tcPr>
            <w:tcW w:w="749" w:type="dxa"/>
            <w:vAlign w:val="center"/>
            <w:tcBorders>
              <w:top w:val="nil"/>
              <w:left w:val="nil"/>
              <w:bottom w:val="nil"/>
              <w:right w:val="nil"/>
            </w:tcBorders>
          </w:tcPr>
          <w:p>
            <w:pPr>
              <w:pStyle w:val="0"/>
              <w:jc w:val="center"/>
            </w:pPr>
            <w:r>
              <w:rPr>
                <w:sz w:val="20"/>
              </w:rPr>
              <w:t xml:space="preserve">28,64</w:t>
            </w:r>
          </w:p>
        </w:tc>
        <w:tc>
          <w:tcPr>
            <w:tcW w:w="730" w:type="dxa"/>
            <w:vAlign w:val="center"/>
            <w:tcBorders>
              <w:top w:val="nil"/>
              <w:left w:val="nil"/>
              <w:bottom w:val="nil"/>
              <w:right w:val="nil"/>
            </w:tcBorders>
          </w:tcPr>
          <w:p>
            <w:pPr>
              <w:pStyle w:val="0"/>
              <w:jc w:val="center"/>
            </w:pPr>
            <w:r>
              <w:rPr>
                <w:sz w:val="20"/>
              </w:rPr>
              <w:t xml:space="preserve">30,35</w:t>
            </w:r>
          </w:p>
        </w:tc>
        <w:tc>
          <w:tcPr>
            <w:tcW w:w="730" w:type="dxa"/>
            <w:vAlign w:val="center"/>
            <w:tcBorders>
              <w:top w:val="nil"/>
              <w:left w:val="nil"/>
              <w:bottom w:val="nil"/>
              <w:right w:val="nil"/>
            </w:tcBorders>
          </w:tcPr>
          <w:p>
            <w:pPr>
              <w:pStyle w:val="0"/>
              <w:jc w:val="center"/>
            </w:pPr>
            <w:r>
              <w:rPr>
                <w:sz w:val="20"/>
              </w:rPr>
              <w:t xml:space="preserve">32,72</w:t>
            </w:r>
          </w:p>
        </w:tc>
        <w:tc>
          <w:tcPr>
            <w:tcW w:w="730" w:type="dxa"/>
            <w:vAlign w:val="center"/>
            <w:tcBorders>
              <w:top w:val="nil"/>
              <w:left w:val="nil"/>
              <w:bottom w:val="nil"/>
              <w:right w:val="nil"/>
            </w:tcBorders>
          </w:tcPr>
          <w:p>
            <w:pPr>
              <w:pStyle w:val="0"/>
              <w:jc w:val="center"/>
            </w:pPr>
            <w:r>
              <w:rPr>
                <w:sz w:val="20"/>
              </w:rPr>
              <w:t xml:space="preserve">32,51</w:t>
            </w:r>
          </w:p>
        </w:tc>
        <w:tc>
          <w:tcPr>
            <w:tcW w:w="730" w:type="dxa"/>
            <w:vAlign w:val="center"/>
            <w:tcBorders>
              <w:top w:val="nil"/>
              <w:left w:val="nil"/>
              <w:bottom w:val="nil"/>
              <w:right w:val="nil"/>
            </w:tcBorders>
          </w:tcPr>
          <w:p>
            <w:pPr>
              <w:pStyle w:val="0"/>
              <w:jc w:val="center"/>
            </w:pPr>
            <w:r>
              <w:rPr>
                <w:sz w:val="20"/>
              </w:rPr>
              <w:t xml:space="preserve">30,58</w:t>
            </w:r>
          </w:p>
        </w:tc>
        <w:tc>
          <w:tcPr>
            <w:tcW w:w="730" w:type="dxa"/>
            <w:vAlign w:val="center"/>
            <w:tcBorders>
              <w:top w:val="nil"/>
              <w:left w:val="nil"/>
              <w:bottom w:val="nil"/>
              <w:right w:val="nil"/>
            </w:tcBorders>
          </w:tcPr>
          <w:p>
            <w:pPr>
              <w:pStyle w:val="0"/>
              <w:jc w:val="center"/>
            </w:pPr>
            <w:r>
              <w:rPr>
                <w:sz w:val="20"/>
              </w:rPr>
              <w:t xml:space="preserve">32,01</w:t>
            </w:r>
          </w:p>
        </w:tc>
        <w:tc>
          <w:tcPr>
            <w:tcW w:w="754" w:type="dxa"/>
            <w:vAlign w:val="center"/>
            <w:tcBorders>
              <w:top w:val="nil"/>
              <w:left w:val="nil"/>
              <w:bottom w:val="nil"/>
              <w:right w:val="nil"/>
            </w:tcBorders>
          </w:tcPr>
          <w:p>
            <w:pPr>
              <w:pStyle w:val="0"/>
              <w:jc w:val="center"/>
            </w:pPr>
            <w:r>
              <w:rPr>
                <w:sz w:val="20"/>
              </w:rPr>
              <w:t xml:space="preserve">32,40</w:t>
            </w:r>
          </w:p>
        </w:tc>
      </w:tr>
      <w:tr>
        <w:tc>
          <w:tcPr>
            <w:tcW w:w="3912" w:type="dxa"/>
            <w:tcBorders>
              <w:top w:val="nil"/>
              <w:left w:val="nil"/>
              <w:bottom w:val="nil"/>
              <w:right w:val="nil"/>
            </w:tcBorders>
          </w:tcPr>
          <w:p>
            <w:pPr>
              <w:pStyle w:val="0"/>
              <w:ind w:left="283"/>
            </w:pPr>
            <w:r>
              <w:rPr>
                <w:sz w:val="20"/>
              </w:rPr>
              <w:t xml:space="preserve">в том числе</w:t>
            </w:r>
          </w:p>
        </w:tc>
        <w:tc>
          <w:tcPr>
            <w:tcW w:w="749"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54" w:type="dxa"/>
            <w:vAlign w:val="center"/>
            <w:tcBorders>
              <w:top w:val="nil"/>
              <w:left w:val="nil"/>
              <w:bottom w:val="nil"/>
              <w:right w:val="nil"/>
            </w:tcBorders>
          </w:tcPr>
          <w:p>
            <w:pPr>
              <w:pStyle w:val="0"/>
            </w:pPr>
            <w:r>
              <w:rPr>
                <w:sz w:val="20"/>
              </w:rPr>
            </w:r>
          </w:p>
        </w:tc>
      </w:tr>
      <w:tr>
        <w:tc>
          <w:tcPr>
            <w:tcW w:w="3912" w:type="dxa"/>
            <w:tcBorders>
              <w:top w:val="nil"/>
              <w:left w:val="nil"/>
              <w:bottom w:val="nil"/>
              <w:right w:val="nil"/>
            </w:tcBorders>
          </w:tcPr>
          <w:p>
            <w:pPr>
              <w:pStyle w:val="0"/>
              <w:ind w:left="566"/>
            </w:pPr>
            <w:r>
              <w:rPr>
                <w:sz w:val="20"/>
              </w:rPr>
              <w:t xml:space="preserve">налог на прибыль организаций</w:t>
            </w:r>
          </w:p>
        </w:tc>
        <w:tc>
          <w:tcPr>
            <w:tcW w:w="749" w:type="dxa"/>
            <w:vAlign w:val="center"/>
            <w:tcBorders>
              <w:top w:val="nil"/>
              <w:left w:val="nil"/>
              <w:bottom w:val="nil"/>
              <w:right w:val="nil"/>
            </w:tcBorders>
          </w:tcPr>
          <w:p>
            <w:pPr>
              <w:pStyle w:val="0"/>
              <w:jc w:val="center"/>
            </w:pPr>
            <w:r>
              <w:rPr>
                <w:sz w:val="20"/>
              </w:rPr>
              <w:t xml:space="preserve">3,24</w:t>
            </w:r>
          </w:p>
        </w:tc>
        <w:tc>
          <w:tcPr>
            <w:tcW w:w="730" w:type="dxa"/>
            <w:vAlign w:val="center"/>
            <w:tcBorders>
              <w:top w:val="nil"/>
              <w:left w:val="nil"/>
              <w:bottom w:val="nil"/>
              <w:right w:val="nil"/>
            </w:tcBorders>
          </w:tcPr>
          <w:p>
            <w:pPr>
              <w:pStyle w:val="0"/>
              <w:jc w:val="center"/>
            </w:pPr>
            <w:r>
              <w:rPr>
                <w:sz w:val="20"/>
              </w:rPr>
              <w:t xml:space="preserve">3,58</w:t>
            </w:r>
          </w:p>
        </w:tc>
        <w:tc>
          <w:tcPr>
            <w:tcW w:w="730" w:type="dxa"/>
            <w:vAlign w:val="center"/>
            <w:tcBorders>
              <w:top w:val="nil"/>
              <w:left w:val="nil"/>
              <w:bottom w:val="nil"/>
              <w:right w:val="nil"/>
            </w:tcBorders>
          </w:tcPr>
          <w:p>
            <w:pPr>
              <w:pStyle w:val="0"/>
              <w:jc w:val="center"/>
            </w:pPr>
            <w:r>
              <w:rPr>
                <w:sz w:val="20"/>
              </w:rPr>
              <w:t xml:space="preserve">3,95</w:t>
            </w:r>
          </w:p>
        </w:tc>
        <w:tc>
          <w:tcPr>
            <w:tcW w:w="730" w:type="dxa"/>
            <w:vAlign w:val="center"/>
            <w:tcBorders>
              <w:top w:val="nil"/>
              <w:left w:val="nil"/>
              <w:bottom w:val="nil"/>
              <w:right w:val="nil"/>
            </w:tcBorders>
          </w:tcPr>
          <w:p>
            <w:pPr>
              <w:pStyle w:val="0"/>
              <w:jc w:val="center"/>
            </w:pPr>
            <w:r>
              <w:rPr>
                <w:sz w:val="20"/>
              </w:rPr>
              <w:t xml:space="preserve">4,14</w:t>
            </w:r>
          </w:p>
        </w:tc>
        <w:tc>
          <w:tcPr>
            <w:tcW w:w="730" w:type="dxa"/>
            <w:vAlign w:val="center"/>
            <w:tcBorders>
              <w:top w:val="nil"/>
              <w:left w:val="nil"/>
              <w:bottom w:val="nil"/>
              <w:right w:val="nil"/>
            </w:tcBorders>
          </w:tcPr>
          <w:p>
            <w:pPr>
              <w:pStyle w:val="0"/>
              <w:jc w:val="center"/>
            </w:pPr>
            <w:r>
              <w:rPr>
                <w:sz w:val="20"/>
              </w:rPr>
              <w:t xml:space="preserve">3,73</w:t>
            </w:r>
          </w:p>
        </w:tc>
        <w:tc>
          <w:tcPr>
            <w:tcW w:w="730" w:type="dxa"/>
            <w:vAlign w:val="center"/>
            <w:tcBorders>
              <w:top w:val="nil"/>
              <w:left w:val="nil"/>
              <w:bottom w:val="nil"/>
              <w:right w:val="nil"/>
            </w:tcBorders>
          </w:tcPr>
          <w:p>
            <w:pPr>
              <w:pStyle w:val="0"/>
              <w:jc w:val="center"/>
            </w:pPr>
            <w:r>
              <w:rPr>
                <w:sz w:val="20"/>
              </w:rPr>
              <w:t xml:space="preserve">4,50</w:t>
            </w:r>
          </w:p>
        </w:tc>
        <w:tc>
          <w:tcPr>
            <w:tcW w:w="754" w:type="dxa"/>
            <w:vAlign w:val="center"/>
            <w:tcBorders>
              <w:top w:val="nil"/>
              <w:left w:val="nil"/>
              <w:bottom w:val="nil"/>
              <w:right w:val="nil"/>
            </w:tcBorders>
          </w:tcPr>
          <w:p>
            <w:pPr>
              <w:pStyle w:val="0"/>
              <w:jc w:val="center"/>
            </w:pPr>
            <w:r>
              <w:rPr>
                <w:sz w:val="20"/>
              </w:rPr>
              <w:t xml:space="preserve">4,20</w:t>
            </w:r>
          </w:p>
        </w:tc>
      </w:tr>
      <w:tr>
        <w:tc>
          <w:tcPr>
            <w:tcW w:w="3912" w:type="dxa"/>
            <w:tcBorders>
              <w:top w:val="nil"/>
              <w:left w:val="nil"/>
              <w:bottom w:val="nil"/>
              <w:right w:val="nil"/>
            </w:tcBorders>
          </w:tcPr>
          <w:p>
            <w:pPr>
              <w:pStyle w:val="0"/>
              <w:ind w:left="566"/>
            </w:pPr>
            <w:r>
              <w:rPr>
                <w:sz w:val="20"/>
              </w:rPr>
              <w:t xml:space="preserve">налог на доходы физических лиц</w:t>
            </w:r>
          </w:p>
        </w:tc>
        <w:tc>
          <w:tcPr>
            <w:tcW w:w="749" w:type="dxa"/>
            <w:vAlign w:val="center"/>
            <w:tcBorders>
              <w:top w:val="nil"/>
              <w:left w:val="nil"/>
              <w:bottom w:val="nil"/>
              <w:right w:val="nil"/>
            </w:tcBorders>
          </w:tcPr>
          <w:p>
            <w:pPr>
              <w:pStyle w:val="0"/>
              <w:jc w:val="center"/>
            </w:pPr>
            <w:r>
              <w:rPr>
                <w:sz w:val="20"/>
              </w:rPr>
              <w:t xml:space="preserve">3,53</w:t>
            </w:r>
          </w:p>
        </w:tc>
        <w:tc>
          <w:tcPr>
            <w:tcW w:w="730" w:type="dxa"/>
            <w:vAlign w:val="center"/>
            <w:tcBorders>
              <w:top w:val="nil"/>
              <w:left w:val="nil"/>
              <w:bottom w:val="nil"/>
              <w:right w:val="nil"/>
            </w:tcBorders>
          </w:tcPr>
          <w:p>
            <w:pPr>
              <w:pStyle w:val="0"/>
              <w:jc w:val="center"/>
            </w:pPr>
            <w:r>
              <w:rPr>
                <w:sz w:val="20"/>
              </w:rPr>
              <w:t xml:space="preserve">3,54</w:t>
            </w:r>
          </w:p>
        </w:tc>
        <w:tc>
          <w:tcPr>
            <w:tcW w:w="730" w:type="dxa"/>
            <w:vAlign w:val="center"/>
            <w:tcBorders>
              <w:top w:val="nil"/>
              <w:left w:val="nil"/>
              <w:bottom w:val="nil"/>
              <w:right w:val="nil"/>
            </w:tcBorders>
          </w:tcPr>
          <w:p>
            <w:pPr>
              <w:pStyle w:val="0"/>
              <w:jc w:val="center"/>
            </w:pPr>
            <w:r>
              <w:rPr>
                <w:sz w:val="20"/>
              </w:rPr>
              <w:t xml:space="preserve">3,52</w:t>
            </w:r>
          </w:p>
        </w:tc>
        <w:tc>
          <w:tcPr>
            <w:tcW w:w="730" w:type="dxa"/>
            <w:vAlign w:val="center"/>
            <w:tcBorders>
              <w:top w:val="nil"/>
              <w:left w:val="nil"/>
              <w:bottom w:val="nil"/>
              <w:right w:val="nil"/>
            </w:tcBorders>
          </w:tcPr>
          <w:p>
            <w:pPr>
              <w:pStyle w:val="0"/>
              <w:jc w:val="center"/>
            </w:pPr>
            <w:r>
              <w:rPr>
                <w:sz w:val="20"/>
              </w:rPr>
              <w:t xml:space="preserve">3,61</w:t>
            </w:r>
          </w:p>
        </w:tc>
        <w:tc>
          <w:tcPr>
            <w:tcW w:w="730" w:type="dxa"/>
            <w:vAlign w:val="center"/>
            <w:tcBorders>
              <w:top w:val="nil"/>
              <w:left w:val="nil"/>
              <w:bottom w:val="nil"/>
              <w:right w:val="nil"/>
            </w:tcBorders>
          </w:tcPr>
          <w:p>
            <w:pPr>
              <w:pStyle w:val="0"/>
              <w:jc w:val="center"/>
            </w:pPr>
            <w:r>
              <w:rPr>
                <w:sz w:val="20"/>
              </w:rPr>
              <w:t xml:space="preserve">3,95</w:t>
            </w:r>
          </w:p>
        </w:tc>
        <w:tc>
          <w:tcPr>
            <w:tcW w:w="730" w:type="dxa"/>
            <w:vAlign w:val="center"/>
            <w:tcBorders>
              <w:top w:val="nil"/>
              <w:left w:val="nil"/>
              <w:bottom w:val="nil"/>
              <w:right w:val="nil"/>
            </w:tcBorders>
          </w:tcPr>
          <w:p>
            <w:pPr>
              <w:pStyle w:val="0"/>
              <w:jc w:val="center"/>
            </w:pPr>
            <w:r>
              <w:rPr>
                <w:sz w:val="20"/>
              </w:rPr>
              <w:t xml:space="preserve">3,61</w:t>
            </w:r>
          </w:p>
        </w:tc>
        <w:tc>
          <w:tcPr>
            <w:tcW w:w="754" w:type="dxa"/>
            <w:vAlign w:val="center"/>
            <w:tcBorders>
              <w:top w:val="nil"/>
              <w:left w:val="nil"/>
              <w:bottom w:val="nil"/>
              <w:right w:val="nil"/>
            </w:tcBorders>
          </w:tcPr>
          <w:p>
            <w:pPr>
              <w:pStyle w:val="0"/>
              <w:jc w:val="center"/>
            </w:pPr>
            <w:r>
              <w:rPr>
                <w:sz w:val="20"/>
              </w:rPr>
              <w:t xml:space="preserve">3,78</w:t>
            </w:r>
          </w:p>
        </w:tc>
      </w:tr>
      <w:tr>
        <w:tc>
          <w:tcPr>
            <w:tcW w:w="3912" w:type="dxa"/>
            <w:tcBorders>
              <w:top w:val="nil"/>
              <w:left w:val="nil"/>
              <w:bottom w:val="nil"/>
              <w:right w:val="nil"/>
            </w:tcBorders>
          </w:tcPr>
          <w:p>
            <w:pPr>
              <w:pStyle w:val="0"/>
              <w:ind w:left="566"/>
            </w:pPr>
            <w:r>
              <w:rPr>
                <w:sz w:val="20"/>
              </w:rPr>
              <w:t xml:space="preserve">налог на добавленную стоимость</w:t>
            </w:r>
          </w:p>
        </w:tc>
        <w:tc>
          <w:tcPr>
            <w:tcW w:w="749" w:type="dxa"/>
            <w:vAlign w:val="center"/>
            <w:tcBorders>
              <w:top w:val="nil"/>
              <w:left w:val="nil"/>
              <w:bottom w:val="nil"/>
              <w:right w:val="nil"/>
            </w:tcBorders>
          </w:tcPr>
          <w:p>
            <w:pPr>
              <w:pStyle w:val="0"/>
              <w:jc w:val="center"/>
            </w:pPr>
            <w:r>
              <w:rPr>
                <w:sz w:val="20"/>
              </w:rPr>
              <w:t xml:space="preserve">5,34</w:t>
            </w:r>
          </w:p>
        </w:tc>
        <w:tc>
          <w:tcPr>
            <w:tcW w:w="730" w:type="dxa"/>
            <w:vAlign w:val="center"/>
            <w:tcBorders>
              <w:top w:val="nil"/>
              <w:left w:val="nil"/>
              <w:bottom w:val="nil"/>
              <w:right w:val="nil"/>
            </w:tcBorders>
          </w:tcPr>
          <w:p>
            <w:pPr>
              <w:pStyle w:val="0"/>
              <w:jc w:val="center"/>
            </w:pPr>
            <w:r>
              <w:rPr>
                <w:sz w:val="20"/>
              </w:rPr>
              <w:t xml:space="preserve">5,59</w:t>
            </w:r>
          </w:p>
        </w:tc>
        <w:tc>
          <w:tcPr>
            <w:tcW w:w="730" w:type="dxa"/>
            <w:vAlign w:val="center"/>
            <w:tcBorders>
              <w:top w:val="nil"/>
              <w:left w:val="nil"/>
              <w:bottom w:val="nil"/>
              <w:right w:val="nil"/>
            </w:tcBorders>
          </w:tcPr>
          <w:p>
            <w:pPr>
              <w:pStyle w:val="0"/>
              <w:jc w:val="center"/>
            </w:pPr>
            <w:r>
              <w:rPr>
                <w:sz w:val="20"/>
              </w:rPr>
              <w:t xml:space="preserve">5,79</w:t>
            </w:r>
          </w:p>
        </w:tc>
        <w:tc>
          <w:tcPr>
            <w:tcW w:w="730" w:type="dxa"/>
            <w:vAlign w:val="center"/>
            <w:tcBorders>
              <w:top w:val="nil"/>
              <w:left w:val="nil"/>
              <w:bottom w:val="nil"/>
              <w:right w:val="nil"/>
            </w:tcBorders>
          </w:tcPr>
          <w:p>
            <w:pPr>
              <w:pStyle w:val="0"/>
              <w:jc w:val="center"/>
            </w:pPr>
            <w:r>
              <w:rPr>
                <w:sz w:val="20"/>
              </w:rPr>
              <w:t xml:space="preserve">6,47</w:t>
            </w:r>
          </w:p>
        </w:tc>
        <w:tc>
          <w:tcPr>
            <w:tcW w:w="730" w:type="dxa"/>
            <w:vAlign w:val="center"/>
            <w:tcBorders>
              <w:top w:val="nil"/>
              <w:left w:val="nil"/>
              <w:bottom w:val="nil"/>
              <w:right w:val="nil"/>
            </w:tcBorders>
          </w:tcPr>
          <w:p>
            <w:pPr>
              <w:pStyle w:val="0"/>
              <w:jc w:val="center"/>
            </w:pPr>
            <w:r>
              <w:rPr>
                <w:sz w:val="20"/>
              </w:rPr>
              <w:t xml:space="preserve">6,69</w:t>
            </w:r>
          </w:p>
        </w:tc>
        <w:tc>
          <w:tcPr>
            <w:tcW w:w="730" w:type="dxa"/>
            <w:vAlign w:val="center"/>
            <w:tcBorders>
              <w:top w:val="nil"/>
              <w:left w:val="nil"/>
              <w:bottom w:val="nil"/>
              <w:right w:val="nil"/>
            </w:tcBorders>
          </w:tcPr>
          <w:p>
            <w:pPr>
              <w:pStyle w:val="0"/>
              <w:jc w:val="center"/>
            </w:pPr>
            <w:r>
              <w:rPr>
                <w:sz w:val="20"/>
              </w:rPr>
              <w:t xml:space="preserve">6,81</w:t>
            </w:r>
          </w:p>
        </w:tc>
        <w:tc>
          <w:tcPr>
            <w:tcW w:w="754" w:type="dxa"/>
            <w:vAlign w:val="center"/>
            <w:tcBorders>
              <w:top w:val="nil"/>
              <w:left w:val="nil"/>
              <w:bottom w:val="nil"/>
              <w:right w:val="nil"/>
            </w:tcBorders>
          </w:tcPr>
          <w:p>
            <w:pPr>
              <w:pStyle w:val="0"/>
              <w:jc w:val="center"/>
            </w:pPr>
            <w:r>
              <w:rPr>
                <w:sz w:val="20"/>
              </w:rPr>
              <w:t xml:space="preserve">6,31</w:t>
            </w:r>
          </w:p>
        </w:tc>
      </w:tr>
      <w:tr>
        <w:tc>
          <w:tcPr>
            <w:tcW w:w="3912" w:type="dxa"/>
            <w:tcBorders>
              <w:top w:val="nil"/>
              <w:left w:val="nil"/>
              <w:bottom w:val="nil"/>
              <w:right w:val="nil"/>
            </w:tcBorders>
          </w:tcPr>
          <w:p>
            <w:pPr>
              <w:pStyle w:val="0"/>
              <w:ind w:left="566"/>
            </w:pPr>
            <w:r>
              <w:rPr>
                <w:sz w:val="20"/>
              </w:rPr>
              <w:t xml:space="preserve">акцизы</w:t>
            </w:r>
          </w:p>
        </w:tc>
        <w:tc>
          <w:tcPr>
            <w:tcW w:w="749" w:type="dxa"/>
            <w:vAlign w:val="center"/>
            <w:tcBorders>
              <w:top w:val="nil"/>
              <w:left w:val="nil"/>
              <w:bottom w:val="nil"/>
              <w:right w:val="nil"/>
            </w:tcBorders>
          </w:tcPr>
          <w:p>
            <w:pPr>
              <w:pStyle w:val="0"/>
              <w:jc w:val="center"/>
            </w:pPr>
            <w:r>
              <w:rPr>
                <w:sz w:val="20"/>
              </w:rPr>
              <w:t xml:space="preserve">1,58</w:t>
            </w:r>
          </w:p>
        </w:tc>
        <w:tc>
          <w:tcPr>
            <w:tcW w:w="730" w:type="dxa"/>
            <w:vAlign w:val="center"/>
            <w:tcBorders>
              <w:top w:val="nil"/>
              <w:left w:val="nil"/>
              <w:bottom w:val="nil"/>
              <w:right w:val="nil"/>
            </w:tcBorders>
          </w:tcPr>
          <w:p>
            <w:pPr>
              <w:pStyle w:val="0"/>
              <w:jc w:val="center"/>
            </w:pPr>
            <w:r>
              <w:rPr>
                <w:sz w:val="20"/>
              </w:rPr>
              <w:t xml:space="preserve">1,74</w:t>
            </w:r>
          </w:p>
        </w:tc>
        <w:tc>
          <w:tcPr>
            <w:tcW w:w="730" w:type="dxa"/>
            <w:vAlign w:val="center"/>
            <w:tcBorders>
              <w:top w:val="nil"/>
              <w:left w:val="nil"/>
              <w:bottom w:val="nil"/>
              <w:right w:val="nil"/>
            </w:tcBorders>
          </w:tcPr>
          <w:p>
            <w:pPr>
              <w:pStyle w:val="0"/>
              <w:jc w:val="center"/>
            </w:pPr>
            <w:r>
              <w:rPr>
                <w:sz w:val="20"/>
              </w:rPr>
              <w:t xml:space="preserve">1,53</w:t>
            </w:r>
          </w:p>
        </w:tc>
        <w:tc>
          <w:tcPr>
            <w:tcW w:w="730" w:type="dxa"/>
            <w:vAlign w:val="center"/>
            <w:tcBorders>
              <w:top w:val="nil"/>
              <w:left w:val="nil"/>
              <w:bottom w:val="nil"/>
              <w:right w:val="nil"/>
            </w:tcBorders>
          </w:tcPr>
          <w:p>
            <w:pPr>
              <w:pStyle w:val="0"/>
              <w:jc w:val="center"/>
            </w:pPr>
            <w:r>
              <w:rPr>
                <w:sz w:val="20"/>
              </w:rPr>
              <w:t xml:space="preserve">1,25</w:t>
            </w:r>
          </w:p>
        </w:tc>
        <w:tc>
          <w:tcPr>
            <w:tcW w:w="730" w:type="dxa"/>
            <w:vAlign w:val="center"/>
            <w:tcBorders>
              <w:top w:val="nil"/>
              <w:left w:val="nil"/>
              <w:bottom w:val="nil"/>
              <w:right w:val="nil"/>
            </w:tcBorders>
          </w:tcPr>
          <w:p>
            <w:pPr>
              <w:pStyle w:val="0"/>
              <w:jc w:val="center"/>
            </w:pPr>
            <w:r>
              <w:rPr>
                <w:sz w:val="20"/>
              </w:rPr>
              <w:t xml:space="preserve">1,80</w:t>
            </w:r>
          </w:p>
        </w:tc>
        <w:tc>
          <w:tcPr>
            <w:tcW w:w="730" w:type="dxa"/>
            <w:vAlign w:val="center"/>
            <w:tcBorders>
              <w:top w:val="nil"/>
              <w:left w:val="nil"/>
              <w:bottom w:val="nil"/>
              <w:right w:val="nil"/>
            </w:tcBorders>
          </w:tcPr>
          <w:p>
            <w:pPr>
              <w:pStyle w:val="0"/>
              <w:jc w:val="center"/>
            </w:pPr>
            <w:r>
              <w:rPr>
                <w:sz w:val="20"/>
              </w:rPr>
              <w:t xml:space="preserve">0,60</w:t>
            </w:r>
          </w:p>
        </w:tc>
        <w:tc>
          <w:tcPr>
            <w:tcW w:w="754" w:type="dxa"/>
            <w:vAlign w:val="center"/>
            <w:tcBorders>
              <w:top w:val="nil"/>
              <w:left w:val="nil"/>
              <w:bottom w:val="nil"/>
              <w:right w:val="nil"/>
            </w:tcBorders>
          </w:tcPr>
          <w:p>
            <w:pPr>
              <w:pStyle w:val="0"/>
              <w:jc w:val="center"/>
            </w:pPr>
            <w:r>
              <w:rPr>
                <w:sz w:val="20"/>
              </w:rPr>
              <w:t xml:space="preserve">-0,58</w:t>
            </w:r>
          </w:p>
        </w:tc>
      </w:tr>
      <w:tr>
        <w:tc>
          <w:tcPr>
            <w:tcW w:w="3912" w:type="dxa"/>
            <w:tcBorders>
              <w:top w:val="nil"/>
              <w:left w:val="nil"/>
              <w:bottom w:val="nil"/>
              <w:right w:val="nil"/>
            </w:tcBorders>
          </w:tcPr>
          <w:p>
            <w:pPr>
              <w:pStyle w:val="0"/>
              <w:ind w:left="566"/>
            </w:pPr>
            <w:r>
              <w:rPr>
                <w:sz w:val="20"/>
              </w:rPr>
              <w:t xml:space="preserve">таможенные пошлины</w:t>
            </w:r>
          </w:p>
        </w:tc>
        <w:tc>
          <w:tcPr>
            <w:tcW w:w="749" w:type="dxa"/>
            <w:vAlign w:val="center"/>
            <w:tcBorders>
              <w:top w:val="nil"/>
              <w:left w:val="nil"/>
              <w:bottom w:val="nil"/>
              <w:right w:val="nil"/>
            </w:tcBorders>
          </w:tcPr>
          <w:p>
            <w:pPr>
              <w:pStyle w:val="0"/>
              <w:jc w:val="center"/>
            </w:pPr>
            <w:r>
              <w:rPr>
                <w:sz w:val="20"/>
              </w:rPr>
              <w:t xml:space="preserve">3,08</w:t>
            </w:r>
          </w:p>
        </w:tc>
        <w:tc>
          <w:tcPr>
            <w:tcW w:w="730" w:type="dxa"/>
            <w:vAlign w:val="center"/>
            <w:tcBorders>
              <w:top w:val="nil"/>
              <w:left w:val="nil"/>
              <w:bottom w:val="nil"/>
              <w:right w:val="nil"/>
            </w:tcBorders>
          </w:tcPr>
          <w:p>
            <w:pPr>
              <w:pStyle w:val="0"/>
              <w:jc w:val="center"/>
            </w:pPr>
            <w:r>
              <w:rPr>
                <w:sz w:val="20"/>
              </w:rPr>
              <w:t xml:space="preserve">2,80</w:t>
            </w:r>
          </w:p>
        </w:tc>
        <w:tc>
          <w:tcPr>
            <w:tcW w:w="730" w:type="dxa"/>
            <w:vAlign w:val="center"/>
            <w:tcBorders>
              <w:top w:val="nil"/>
              <w:left w:val="nil"/>
              <w:bottom w:val="nil"/>
              <w:right w:val="nil"/>
            </w:tcBorders>
          </w:tcPr>
          <w:p>
            <w:pPr>
              <w:pStyle w:val="0"/>
              <w:jc w:val="center"/>
            </w:pPr>
            <w:r>
              <w:rPr>
                <w:sz w:val="20"/>
              </w:rPr>
              <w:t xml:space="preserve">3,57</w:t>
            </w:r>
          </w:p>
        </w:tc>
        <w:tc>
          <w:tcPr>
            <w:tcW w:w="730" w:type="dxa"/>
            <w:vAlign w:val="center"/>
            <w:tcBorders>
              <w:top w:val="nil"/>
              <w:left w:val="nil"/>
              <w:bottom w:val="nil"/>
              <w:right w:val="nil"/>
            </w:tcBorders>
          </w:tcPr>
          <w:p>
            <w:pPr>
              <w:pStyle w:val="0"/>
              <w:jc w:val="center"/>
            </w:pPr>
            <w:r>
              <w:rPr>
                <w:sz w:val="20"/>
              </w:rPr>
              <w:t xml:space="preserve">2,76</w:t>
            </w:r>
          </w:p>
        </w:tc>
        <w:tc>
          <w:tcPr>
            <w:tcW w:w="730" w:type="dxa"/>
            <w:vAlign w:val="center"/>
            <w:tcBorders>
              <w:top w:val="nil"/>
              <w:left w:val="nil"/>
              <w:bottom w:val="nil"/>
              <w:right w:val="nil"/>
            </w:tcBorders>
          </w:tcPr>
          <w:p>
            <w:pPr>
              <w:pStyle w:val="0"/>
              <w:jc w:val="center"/>
            </w:pPr>
            <w:r>
              <w:rPr>
                <w:sz w:val="20"/>
              </w:rPr>
              <w:t xml:space="preserve">1,74</w:t>
            </w:r>
          </w:p>
        </w:tc>
        <w:tc>
          <w:tcPr>
            <w:tcW w:w="730" w:type="dxa"/>
            <w:vAlign w:val="center"/>
            <w:tcBorders>
              <w:top w:val="nil"/>
              <w:left w:val="nil"/>
              <w:bottom w:val="nil"/>
              <w:right w:val="nil"/>
            </w:tcBorders>
          </w:tcPr>
          <w:p>
            <w:pPr>
              <w:pStyle w:val="0"/>
              <w:jc w:val="center"/>
            </w:pPr>
            <w:r>
              <w:rPr>
                <w:sz w:val="20"/>
              </w:rPr>
              <w:t xml:space="preserve">2,53</w:t>
            </w:r>
          </w:p>
        </w:tc>
        <w:tc>
          <w:tcPr>
            <w:tcW w:w="754" w:type="dxa"/>
            <w:vAlign w:val="center"/>
            <w:tcBorders>
              <w:top w:val="nil"/>
              <w:left w:val="nil"/>
              <w:bottom w:val="nil"/>
              <w:right w:val="nil"/>
            </w:tcBorders>
          </w:tcPr>
          <w:p>
            <w:pPr>
              <w:pStyle w:val="0"/>
              <w:jc w:val="center"/>
            </w:pPr>
            <w:r>
              <w:rPr>
                <w:sz w:val="20"/>
              </w:rPr>
              <w:t xml:space="preserve">2,23</w:t>
            </w:r>
          </w:p>
        </w:tc>
      </w:tr>
      <w:tr>
        <w:tc>
          <w:tcPr>
            <w:tcW w:w="3912" w:type="dxa"/>
            <w:tcBorders>
              <w:top w:val="nil"/>
              <w:left w:val="nil"/>
              <w:bottom w:val="nil"/>
              <w:right w:val="nil"/>
            </w:tcBorders>
          </w:tcPr>
          <w:p>
            <w:pPr>
              <w:pStyle w:val="0"/>
              <w:ind w:left="566"/>
            </w:pPr>
            <w:r>
              <w:rPr>
                <w:sz w:val="20"/>
              </w:rPr>
              <w:t xml:space="preserve">налог на добычу полезных ископаемых</w:t>
            </w:r>
          </w:p>
        </w:tc>
        <w:tc>
          <w:tcPr>
            <w:tcW w:w="749" w:type="dxa"/>
            <w:vAlign w:val="center"/>
            <w:tcBorders>
              <w:top w:val="nil"/>
              <w:left w:val="nil"/>
              <w:bottom w:val="nil"/>
              <w:right w:val="nil"/>
            </w:tcBorders>
          </w:tcPr>
          <w:p>
            <w:pPr>
              <w:pStyle w:val="0"/>
              <w:jc w:val="center"/>
            </w:pPr>
            <w:r>
              <w:rPr>
                <w:sz w:val="20"/>
              </w:rPr>
              <w:t xml:space="preserve">3,42</w:t>
            </w:r>
          </w:p>
        </w:tc>
        <w:tc>
          <w:tcPr>
            <w:tcW w:w="730" w:type="dxa"/>
            <w:vAlign w:val="center"/>
            <w:tcBorders>
              <w:top w:val="nil"/>
              <w:left w:val="nil"/>
              <w:bottom w:val="nil"/>
              <w:right w:val="nil"/>
            </w:tcBorders>
          </w:tcPr>
          <w:p>
            <w:pPr>
              <w:pStyle w:val="0"/>
              <w:jc w:val="center"/>
            </w:pPr>
            <w:r>
              <w:rPr>
                <w:sz w:val="20"/>
              </w:rPr>
              <w:t xml:space="preserve">4,50</w:t>
            </w:r>
          </w:p>
        </w:tc>
        <w:tc>
          <w:tcPr>
            <w:tcW w:w="730" w:type="dxa"/>
            <w:vAlign w:val="center"/>
            <w:tcBorders>
              <w:top w:val="nil"/>
              <w:left w:val="nil"/>
              <w:bottom w:val="nil"/>
              <w:right w:val="nil"/>
            </w:tcBorders>
          </w:tcPr>
          <w:p>
            <w:pPr>
              <w:pStyle w:val="0"/>
              <w:jc w:val="center"/>
            </w:pPr>
            <w:r>
              <w:rPr>
                <w:sz w:val="20"/>
              </w:rPr>
              <w:t xml:space="preserve">5,90</w:t>
            </w:r>
          </w:p>
        </w:tc>
        <w:tc>
          <w:tcPr>
            <w:tcW w:w="730" w:type="dxa"/>
            <w:vAlign w:val="center"/>
            <w:tcBorders>
              <w:top w:val="nil"/>
              <w:left w:val="nil"/>
              <w:bottom w:val="nil"/>
              <w:right w:val="nil"/>
            </w:tcBorders>
          </w:tcPr>
          <w:p>
            <w:pPr>
              <w:pStyle w:val="0"/>
              <w:jc w:val="center"/>
            </w:pPr>
            <w:r>
              <w:rPr>
                <w:sz w:val="20"/>
              </w:rPr>
              <w:t xml:space="preserve">5,57</w:t>
            </w:r>
          </w:p>
        </w:tc>
        <w:tc>
          <w:tcPr>
            <w:tcW w:w="730" w:type="dxa"/>
            <w:vAlign w:val="center"/>
            <w:tcBorders>
              <w:top w:val="nil"/>
              <w:left w:val="nil"/>
              <w:bottom w:val="nil"/>
              <w:right w:val="nil"/>
            </w:tcBorders>
          </w:tcPr>
          <w:p>
            <w:pPr>
              <w:pStyle w:val="0"/>
              <w:jc w:val="center"/>
            </w:pPr>
            <w:r>
              <w:rPr>
                <w:sz w:val="20"/>
              </w:rPr>
              <w:t xml:space="preserve">3,67</w:t>
            </w:r>
          </w:p>
        </w:tc>
        <w:tc>
          <w:tcPr>
            <w:tcW w:w="730" w:type="dxa"/>
            <w:vAlign w:val="center"/>
            <w:tcBorders>
              <w:top w:val="nil"/>
              <w:left w:val="nil"/>
              <w:bottom w:val="nil"/>
              <w:right w:val="nil"/>
            </w:tcBorders>
          </w:tcPr>
          <w:p>
            <w:pPr>
              <w:pStyle w:val="0"/>
              <w:jc w:val="center"/>
            </w:pPr>
            <w:r>
              <w:rPr>
                <w:sz w:val="20"/>
              </w:rPr>
              <w:t xml:space="preserve">5,42</w:t>
            </w:r>
          </w:p>
        </w:tc>
        <w:tc>
          <w:tcPr>
            <w:tcW w:w="754" w:type="dxa"/>
            <w:vAlign w:val="center"/>
            <w:tcBorders>
              <w:top w:val="nil"/>
              <w:left w:val="nil"/>
              <w:bottom w:val="nil"/>
              <w:right w:val="nil"/>
            </w:tcBorders>
          </w:tcPr>
          <w:p>
            <w:pPr>
              <w:pStyle w:val="0"/>
              <w:jc w:val="center"/>
            </w:pPr>
            <w:r>
              <w:rPr>
                <w:sz w:val="20"/>
              </w:rPr>
              <w:t xml:space="preserve">7,24</w:t>
            </w:r>
          </w:p>
        </w:tc>
      </w:tr>
      <w:tr>
        <w:tc>
          <w:tcPr>
            <w:tcW w:w="3912" w:type="dxa"/>
            <w:tcBorders>
              <w:top w:val="nil"/>
              <w:left w:val="nil"/>
              <w:bottom w:val="nil"/>
              <w:right w:val="nil"/>
            </w:tcBorders>
          </w:tcPr>
          <w:p>
            <w:pPr>
              <w:pStyle w:val="0"/>
              <w:ind w:left="566"/>
            </w:pPr>
            <w:r>
              <w:rPr>
                <w:sz w:val="20"/>
              </w:rPr>
              <w:t xml:space="preserve">страховые взносы</w:t>
            </w:r>
          </w:p>
        </w:tc>
        <w:tc>
          <w:tcPr>
            <w:tcW w:w="749" w:type="dxa"/>
            <w:vAlign w:val="center"/>
            <w:tcBorders>
              <w:top w:val="nil"/>
              <w:left w:val="nil"/>
              <w:bottom w:val="nil"/>
              <w:right w:val="nil"/>
            </w:tcBorders>
          </w:tcPr>
          <w:p>
            <w:pPr>
              <w:pStyle w:val="0"/>
              <w:jc w:val="center"/>
            </w:pPr>
            <w:r>
              <w:rPr>
                <w:sz w:val="20"/>
              </w:rPr>
              <w:t xml:space="preserve">6,67</w:t>
            </w:r>
          </w:p>
        </w:tc>
        <w:tc>
          <w:tcPr>
            <w:tcW w:w="730" w:type="dxa"/>
            <w:vAlign w:val="center"/>
            <w:tcBorders>
              <w:top w:val="nil"/>
              <w:left w:val="nil"/>
              <w:bottom w:val="nil"/>
              <w:right w:val="nil"/>
            </w:tcBorders>
          </w:tcPr>
          <w:p>
            <w:pPr>
              <w:pStyle w:val="0"/>
              <w:jc w:val="center"/>
            </w:pPr>
            <w:r>
              <w:rPr>
                <w:sz w:val="20"/>
              </w:rPr>
              <w:t xml:space="preserve">6,71</w:t>
            </w:r>
          </w:p>
        </w:tc>
        <w:tc>
          <w:tcPr>
            <w:tcW w:w="730" w:type="dxa"/>
            <w:vAlign w:val="center"/>
            <w:tcBorders>
              <w:top w:val="nil"/>
              <w:left w:val="nil"/>
              <w:bottom w:val="nil"/>
              <w:right w:val="nil"/>
            </w:tcBorders>
          </w:tcPr>
          <w:p>
            <w:pPr>
              <w:pStyle w:val="0"/>
              <w:jc w:val="center"/>
            </w:pPr>
            <w:r>
              <w:rPr>
                <w:sz w:val="20"/>
              </w:rPr>
              <w:t xml:space="preserve">6,56</w:t>
            </w:r>
          </w:p>
        </w:tc>
        <w:tc>
          <w:tcPr>
            <w:tcW w:w="730" w:type="dxa"/>
            <w:vAlign w:val="center"/>
            <w:tcBorders>
              <w:top w:val="nil"/>
              <w:left w:val="nil"/>
              <w:bottom w:val="nil"/>
              <w:right w:val="nil"/>
            </w:tcBorders>
          </w:tcPr>
          <w:p>
            <w:pPr>
              <w:pStyle w:val="0"/>
              <w:jc w:val="center"/>
            </w:pPr>
            <w:r>
              <w:rPr>
                <w:sz w:val="20"/>
              </w:rPr>
              <w:t xml:space="preserve">6,79</w:t>
            </w:r>
          </w:p>
        </w:tc>
        <w:tc>
          <w:tcPr>
            <w:tcW w:w="730" w:type="dxa"/>
            <w:vAlign w:val="center"/>
            <w:tcBorders>
              <w:top w:val="nil"/>
              <w:left w:val="nil"/>
              <w:bottom w:val="nil"/>
              <w:right w:val="nil"/>
            </w:tcBorders>
          </w:tcPr>
          <w:p>
            <w:pPr>
              <w:pStyle w:val="0"/>
              <w:jc w:val="center"/>
            </w:pPr>
            <w:r>
              <w:rPr>
                <w:sz w:val="20"/>
              </w:rPr>
              <w:t xml:space="preserve">7,01</w:t>
            </w:r>
          </w:p>
        </w:tc>
        <w:tc>
          <w:tcPr>
            <w:tcW w:w="730" w:type="dxa"/>
            <w:vAlign w:val="center"/>
            <w:tcBorders>
              <w:top w:val="nil"/>
              <w:left w:val="nil"/>
              <w:bottom w:val="nil"/>
              <w:right w:val="nil"/>
            </w:tcBorders>
          </w:tcPr>
          <w:p>
            <w:pPr>
              <w:pStyle w:val="0"/>
              <w:jc w:val="center"/>
            </w:pPr>
            <w:r>
              <w:rPr>
                <w:sz w:val="20"/>
              </w:rPr>
              <w:t xml:space="preserve">6,09</w:t>
            </w:r>
          </w:p>
        </w:tc>
        <w:tc>
          <w:tcPr>
            <w:tcW w:w="754" w:type="dxa"/>
            <w:vAlign w:val="center"/>
            <w:tcBorders>
              <w:top w:val="nil"/>
              <w:left w:val="nil"/>
              <w:bottom w:val="nil"/>
              <w:right w:val="nil"/>
            </w:tcBorders>
          </w:tcPr>
          <w:p>
            <w:pPr>
              <w:pStyle w:val="0"/>
              <w:jc w:val="center"/>
            </w:pPr>
            <w:r>
              <w:rPr>
                <w:sz w:val="20"/>
              </w:rPr>
              <w:t xml:space="preserve">6,34</w:t>
            </w:r>
          </w:p>
        </w:tc>
      </w:tr>
      <w:tr>
        <w:tc>
          <w:tcPr>
            <w:tcW w:w="3912" w:type="dxa"/>
            <w:tcBorders>
              <w:top w:val="nil"/>
              <w:left w:val="nil"/>
              <w:bottom w:val="nil"/>
              <w:right w:val="nil"/>
            </w:tcBorders>
          </w:tcPr>
          <w:p>
            <w:pPr>
              <w:pStyle w:val="0"/>
              <w:ind w:left="566"/>
            </w:pPr>
            <w:r>
              <w:rPr>
                <w:sz w:val="20"/>
              </w:rPr>
              <w:t xml:space="preserve">прочие налоги и сборы </w:t>
            </w:r>
            <w:hyperlink w:history="0" w:anchor="P3177" w:tooltip="&lt;*&gt; - налоги на совокупный доход, налоги на имущество, налоги и платежи, связанные с добычей полезных ископаемых (кроме НДПИ) и без учета государственной пошлины.">
              <w:r>
                <w:rPr>
                  <w:sz w:val="20"/>
                  <w:color w:val="0000ff"/>
                </w:rPr>
                <w:t xml:space="preserve">&lt;*&gt;</w:t>
              </w:r>
            </w:hyperlink>
          </w:p>
        </w:tc>
        <w:tc>
          <w:tcPr>
            <w:tcW w:w="749" w:type="dxa"/>
            <w:vAlign w:val="center"/>
            <w:tcBorders>
              <w:top w:val="nil"/>
              <w:left w:val="nil"/>
              <w:bottom w:val="nil"/>
              <w:right w:val="nil"/>
            </w:tcBorders>
          </w:tcPr>
          <w:p>
            <w:pPr>
              <w:pStyle w:val="0"/>
              <w:jc w:val="center"/>
            </w:pPr>
            <w:r>
              <w:rPr>
                <w:sz w:val="20"/>
              </w:rPr>
              <w:t xml:space="preserve">1,78</w:t>
            </w:r>
          </w:p>
        </w:tc>
        <w:tc>
          <w:tcPr>
            <w:tcW w:w="730" w:type="dxa"/>
            <w:vAlign w:val="center"/>
            <w:tcBorders>
              <w:top w:val="nil"/>
              <w:left w:val="nil"/>
              <w:bottom w:val="nil"/>
              <w:right w:val="nil"/>
            </w:tcBorders>
          </w:tcPr>
          <w:p>
            <w:pPr>
              <w:pStyle w:val="0"/>
              <w:jc w:val="center"/>
            </w:pPr>
            <w:r>
              <w:rPr>
                <w:sz w:val="20"/>
              </w:rPr>
              <w:t xml:space="preserve">1,88</w:t>
            </w:r>
          </w:p>
        </w:tc>
        <w:tc>
          <w:tcPr>
            <w:tcW w:w="730" w:type="dxa"/>
            <w:vAlign w:val="center"/>
            <w:tcBorders>
              <w:top w:val="nil"/>
              <w:left w:val="nil"/>
              <w:bottom w:val="nil"/>
              <w:right w:val="nil"/>
            </w:tcBorders>
          </w:tcPr>
          <w:p>
            <w:pPr>
              <w:pStyle w:val="0"/>
              <w:jc w:val="center"/>
            </w:pPr>
            <w:r>
              <w:rPr>
                <w:sz w:val="20"/>
              </w:rPr>
              <w:t xml:space="preserve">1,90</w:t>
            </w:r>
          </w:p>
        </w:tc>
        <w:tc>
          <w:tcPr>
            <w:tcW w:w="730" w:type="dxa"/>
            <w:vAlign w:val="center"/>
            <w:tcBorders>
              <w:top w:val="nil"/>
              <w:left w:val="nil"/>
              <w:bottom w:val="nil"/>
              <w:right w:val="nil"/>
            </w:tcBorders>
          </w:tcPr>
          <w:p>
            <w:pPr>
              <w:pStyle w:val="0"/>
              <w:jc w:val="center"/>
            </w:pPr>
            <w:r>
              <w:rPr>
                <w:sz w:val="20"/>
              </w:rPr>
              <w:t xml:space="preserve">1,92</w:t>
            </w:r>
          </w:p>
        </w:tc>
        <w:tc>
          <w:tcPr>
            <w:tcW w:w="730" w:type="dxa"/>
            <w:vAlign w:val="center"/>
            <w:tcBorders>
              <w:top w:val="nil"/>
              <w:left w:val="nil"/>
              <w:bottom w:val="nil"/>
              <w:right w:val="nil"/>
            </w:tcBorders>
          </w:tcPr>
          <w:p>
            <w:pPr>
              <w:pStyle w:val="0"/>
              <w:jc w:val="center"/>
            </w:pPr>
            <w:r>
              <w:rPr>
                <w:sz w:val="20"/>
              </w:rPr>
              <w:t xml:space="preserve">1,99</w:t>
            </w:r>
          </w:p>
        </w:tc>
        <w:tc>
          <w:tcPr>
            <w:tcW w:w="730" w:type="dxa"/>
            <w:vAlign w:val="center"/>
            <w:tcBorders>
              <w:top w:val="nil"/>
              <w:left w:val="nil"/>
              <w:bottom w:val="nil"/>
              <w:right w:val="nil"/>
            </w:tcBorders>
          </w:tcPr>
          <w:p>
            <w:pPr>
              <w:pStyle w:val="0"/>
              <w:jc w:val="center"/>
            </w:pPr>
            <w:r>
              <w:rPr>
                <w:sz w:val="20"/>
              </w:rPr>
              <w:t xml:space="preserve">2,46</w:t>
            </w:r>
          </w:p>
        </w:tc>
        <w:tc>
          <w:tcPr>
            <w:tcW w:w="754" w:type="dxa"/>
            <w:vAlign w:val="center"/>
            <w:tcBorders>
              <w:top w:val="nil"/>
              <w:left w:val="nil"/>
              <w:bottom w:val="nil"/>
              <w:right w:val="nil"/>
            </w:tcBorders>
          </w:tcPr>
          <w:p>
            <w:pPr>
              <w:pStyle w:val="0"/>
              <w:jc w:val="center"/>
            </w:pPr>
            <w:r>
              <w:rPr>
                <w:sz w:val="20"/>
              </w:rPr>
              <w:t xml:space="preserve">2,88</w:t>
            </w:r>
          </w:p>
        </w:tc>
      </w:tr>
      <w:tr>
        <w:tc>
          <w:tcPr>
            <w:tcW w:w="3912" w:type="dxa"/>
            <w:tcBorders>
              <w:top w:val="nil"/>
              <w:left w:val="nil"/>
              <w:bottom w:val="single" w:sz="4"/>
              <w:right w:val="nil"/>
            </w:tcBorders>
          </w:tcPr>
          <w:p>
            <w:pPr>
              <w:pStyle w:val="0"/>
            </w:pPr>
            <w:r>
              <w:rPr>
                <w:sz w:val="20"/>
              </w:rPr>
              <w:t xml:space="preserve">Иные доходы</w:t>
            </w:r>
          </w:p>
        </w:tc>
        <w:tc>
          <w:tcPr>
            <w:tcW w:w="749" w:type="dxa"/>
            <w:vAlign w:val="center"/>
            <w:tcBorders>
              <w:top w:val="nil"/>
              <w:left w:val="nil"/>
              <w:bottom w:val="single" w:sz="4"/>
              <w:right w:val="nil"/>
            </w:tcBorders>
          </w:tcPr>
          <w:p>
            <w:pPr>
              <w:pStyle w:val="0"/>
              <w:jc w:val="center"/>
            </w:pPr>
            <w:r>
              <w:rPr>
                <w:sz w:val="20"/>
              </w:rPr>
              <w:t xml:space="preserve">4,28</w:t>
            </w:r>
          </w:p>
        </w:tc>
        <w:tc>
          <w:tcPr>
            <w:tcW w:w="730" w:type="dxa"/>
            <w:vAlign w:val="center"/>
            <w:tcBorders>
              <w:top w:val="nil"/>
              <w:left w:val="nil"/>
              <w:bottom w:val="single" w:sz="4"/>
              <w:right w:val="nil"/>
            </w:tcBorders>
          </w:tcPr>
          <w:p>
            <w:pPr>
              <w:pStyle w:val="0"/>
              <w:jc w:val="center"/>
            </w:pPr>
            <w:r>
              <w:rPr>
                <w:sz w:val="20"/>
              </w:rPr>
              <w:t xml:space="preserve">3,45</w:t>
            </w:r>
          </w:p>
        </w:tc>
        <w:tc>
          <w:tcPr>
            <w:tcW w:w="730" w:type="dxa"/>
            <w:vAlign w:val="center"/>
            <w:tcBorders>
              <w:top w:val="nil"/>
              <w:left w:val="nil"/>
              <w:bottom w:val="single" w:sz="4"/>
              <w:right w:val="nil"/>
            </w:tcBorders>
          </w:tcPr>
          <w:p>
            <w:pPr>
              <w:pStyle w:val="0"/>
              <w:jc w:val="center"/>
            </w:pPr>
            <w:r>
              <w:rPr>
                <w:sz w:val="20"/>
              </w:rPr>
              <w:t xml:space="preserve">3,21</w:t>
            </w:r>
          </w:p>
        </w:tc>
        <w:tc>
          <w:tcPr>
            <w:tcW w:w="730" w:type="dxa"/>
            <w:vAlign w:val="center"/>
            <w:tcBorders>
              <w:top w:val="nil"/>
              <w:left w:val="nil"/>
              <w:bottom w:val="single" w:sz="4"/>
              <w:right w:val="nil"/>
            </w:tcBorders>
          </w:tcPr>
          <w:p>
            <w:pPr>
              <w:pStyle w:val="0"/>
              <w:jc w:val="center"/>
            </w:pPr>
            <w:r>
              <w:rPr>
                <w:sz w:val="20"/>
              </w:rPr>
              <w:t xml:space="preserve">3,52</w:t>
            </w:r>
          </w:p>
        </w:tc>
        <w:tc>
          <w:tcPr>
            <w:tcW w:w="730" w:type="dxa"/>
            <w:vAlign w:val="center"/>
            <w:tcBorders>
              <w:top w:val="nil"/>
              <w:left w:val="nil"/>
              <w:bottom w:val="single" w:sz="4"/>
              <w:right w:val="nil"/>
            </w:tcBorders>
          </w:tcPr>
          <w:p>
            <w:pPr>
              <w:pStyle w:val="0"/>
              <w:jc w:val="center"/>
            </w:pPr>
            <w:r>
              <w:rPr>
                <w:sz w:val="20"/>
              </w:rPr>
              <w:t xml:space="preserve">4,91</w:t>
            </w:r>
          </w:p>
        </w:tc>
        <w:tc>
          <w:tcPr>
            <w:tcW w:w="730" w:type="dxa"/>
            <w:vAlign w:val="center"/>
            <w:tcBorders>
              <w:top w:val="nil"/>
              <w:left w:val="nil"/>
              <w:bottom w:val="single" w:sz="4"/>
              <w:right w:val="nil"/>
            </w:tcBorders>
          </w:tcPr>
          <w:p>
            <w:pPr>
              <w:pStyle w:val="0"/>
              <w:jc w:val="center"/>
            </w:pPr>
            <w:r>
              <w:rPr>
                <w:sz w:val="20"/>
              </w:rPr>
              <w:t xml:space="preserve">3,55</w:t>
            </w:r>
          </w:p>
        </w:tc>
        <w:tc>
          <w:tcPr>
            <w:tcW w:w="754" w:type="dxa"/>
            <w:vAlign w:val="center"/>
            <w:tcBorders>
              <w:top w:val="nil"/>
              <w:left w:val="nil"/>
              <w:bottom w:val="single" w:sz="4"/>
              <w:right w:val="nil"/>
            </w:tcBorders>
          </w:tcPr>
          <w:p>
            <w:pPr>
              <w:pStyle w:val="0"/>
              <w:jc w:val="center"/>
            </w:pPr>
            <w:r>
              <w:rPr>
                <w:sz w:val="20"/>
              </w:rPr>
              <w:t xml:space="preserve">2,64</w:t>
            </w:r>
          </w:p>
        </w:tc>
      </w:tr>
    </w:tbl>
    <w:p>
      <w:pPr>
        <w:pStyle w:val="0"/>
        <w:jc w:val="both"/>
      </w:pPr>
      <w:r>
        <w:rPr>
          <w:sz w:val="20"/>
        </w:rPr>
      </w:r>
    </w:p>
    <w:p>
      <w:pPr>
        <w:pStyle w:val="0"/>
        <w:ind w:firstLine="540"/>
        <w:jc w:val="both"/>
      </w:pPr>
      <w:r>
        <w:rPr>
          <w:sz w:val="20"/>
        </w:rPr>
        <w:t xml:space="preserve">--------------------------------</w:t>
      </w:r>
    </w:p>
    <w:bookmarkStart w:id="3177" w:name="P3177"/>
    <w:bookmarkEnd w:id="3177"/>
    <w:p>
      <w:pPr>
        <w:pStyle w:val="0"/>
        <w:spacing w:before="200" w:line-rule="auto"/>
        <w:ind w:firstLine="540"/>
        <w:jc w:val="both"/>
      </w:pPr>
      <w:r>
        <w:rPr>
          <w:sz w:val="20"/>
        </w:rPr>
        <w:t xml:space="preserve">&lt;*&gt; - налоги на совокупный доход, налоги на имущество, налоги и платежи, связанные с добычей полезных ископаемых (кроме НДПИ) и без учета государственной пошлины.</w:t>
      </w:r>
    </w:p>
    <w:p>
      <w:pPr>
        <w:pStyle w:val="0"/>
        <w:jc w:val="both"/>
      </w:pPr>
      <w:r>
        <w:rPr>
          <w:sz w:val="20"/>
        </w:rPr>
      </w:r>
    </w:p>
    <w:p>
      <w:pPr>
        <w:pStyle w:val="0"/>
        <w:ind w:firstLine="540"/>
        <w:jc w:val="both"/>
      </w:pPr>
      <w:r>
        <w:rPr>
          <w:sz w:val="20"/>
        </w:rPr>
        <w:t xml:space="preserve">Источники данных: ВВП - Росстат, доходы бюджета расширенного правительства - Федеральное казначейство.</w:t>
      </w:r>
    </w:p>
    <w:p>
      <w:pPr>
        <w:pStyle w:val="0"/>
        <w:jc w:val="both"/>
      </w:pPr>
      <w:r>
        <w:rPr>
          <w:sz w:val="20"/>
        </w:rPr>
      </w:r>
    </w:p>
    <w:p>
      <w:pPr>
        <w:pStyle w:val="0"/>
        <w:ind w:firstLine="540"/>
        <w:jc w:val="both"/>
      </w:pPr>
      <w:r>
        <w:rPr>
          <w:sz w:val="20"/>
        </w:rPr>
        <w:t xml:space="preserve">Основное изменения произошло в налогообложении акцизами, в связи с применением демпфирующего механизма на нефтяное сырье, направляемое на переработку. В результате вырос объем компенсаций нефтеперерабатывающим компаниям, что в свою очередь позволило им устанавливать отпускные цены на моторное топливо на уровне, который обеспечивает достаточную маржинальность АЗС при сохранении розничных цен в пределах инфляции. При этом недополученные доходы были компенсированы за счет налогов на углеводородные ископаемые, в частности налогом на добычу полезных ископаемых, который увеличился с 5,4% до 7,2% к ВВП (рост 1,82 п.п.), и налогом на дополнительный доход от добычи углеводородного сырья - 1,11% к ВВП.</w:t>
      </w:r>
    </w:p>
    <w:p>
      <w:pPr>
        <w:pStyle w:val="0"/>
        <w:spacing w:before="200" w:line-rule="auto"/>
        <w:ind w:firstLine="540"/>
        <w:jc w:val="both"/>
      </w:pPr>
      <w:r>
        <w:rPr>
          <w:sz w:val="20"/>
        </w:rPr>
        <w:t xml:space="preserve">Снижение уровня нагрузки по налогу на прибыль организаций, налогу на добавленную стоимость и таможенным пошлинам составило 1,1 р.п. и обусловлено беспрецедентным санкционным давлением, оказываемым на экономику Российской Федерации, приведшим, как следствие, к сокращению товарооборота.</w:t>
      </w:r>
    </w:p>
    <w:p>
      <w:pPr>
        <w:pStyle w:val="0"/>
        <w:spacing w:before="200" w:line-rule="auto"/>
        <w:ind w:firstLine="540"/>
        <w:jc w:val="both"/>
      </w:pPr>
      <w:r>
        <w:rPr>
          <w:sz w:val="20"/>
        </w:rPr>
        <w:t xml:space="preserve">Увеличение нагрузки произошло по "зарплатным" налогам. Так, по налогу на доходы физических лиц и страховым взносам суммарное увеличение составило 0,4 п.п., что может говорить, как о росте доходов населения, в частности об увеличении доли тех, чей доход превышает 5 млн рублей, так и об уплате ранее отсроченных платежей по страховым взносам. Вместе с тем, налоговая нагрузка на заработную плату в 2022 году осталась ниже доковидного уровня.</w:t>
      </w:r>
    </w:p>
    <w:p>
      <w:pPr>
        <w:pStyle w:val="0"/>
        <w:spacing w:before="200" w:line-rule="auto"/>
        <w:ind w:firstLine="540"/>
        <w:jc w:val="both"/>
      </w:pPr>
      <w:r>
        <w:rPr>
          <w:sz w:val="20"/>
        </w:rPr>
        <w:t xml:space="preserve">Уровень налоговой нагрузки по остальным налогам в 2022 году существенно не менялся.</w:t>
      </w:r>
    </w:p>
    <w:p>
      <w:pPr>
        <w:pStyle w:val="0"/>
        <w:spacing w:before="200" w:line-rule="auto"/>
        <w:ind w:firstLine="540"/>
        <w:jc w:val="both"/>
      </w:pPr>
      <w:r>
        <w:rPr>
          <w:sz w:val="20"/>
        </w:rPr>
        <w:t xml:space="preserve">При анализе уровня налоговой нагрузки по отдельным видам налогов в Российской Федерации традиционно выделяют нефтегазовые доходы - НДПИ и вывозные таможенные пошлины (на нефть, газ и нефтепродукты), поскольку они по-прежнему составляют существенную долю доходов бюджета.</w:t>
      </w:r>
    </w:p>
    <w:p>
      <w:pPr>
        <w:pStyle w:val="0"/>
        <w:spacing w:before="200" w:line-rule="auto"/>
        <w:ind w:firstLine="540"/>
        <w:jc w:val="both"/>
      </w:pPr>
      <w:r>
        <w:rPr>
          <w:sz w:val="20"/>
        </w:rPr>
        <w:t xml:space="preserve">Распределение уровня налоговой нагрузки по отдельным видам налогов в Российской Федерации представлено в Таблице 2.</w:t>
      </w:r>
    </w:p>
    <w:p>
      <w:pPr>
        <w:pStyle w:val="0"/>
        <w:jc w:val="both"/>
      </w:pPr>
      <w:r>
        <w:rPr>
          <w:sz w:val="20"/>
        </w:rPr>
      </w:r>
    </w:p>
    <w:p>
      <w:pPr>
        <w:pStyle w:val="0"/>
        <w:ind w:firstLine="540"/>
        <w:jc w:val="both"/>
      </w:pPr>
      <w:r>
        <w:rPr>
          <w:sz w:val="20"/>
        </w:rPr>
        <w:t xml:space="preserve">Таблица 2. Доходы бюджета расширенного Правительства Российской Федерации от налогообложения добычи нефти и экспорта нефти и нефтепродуктов в 2016 - 2022 гг.</w:t>
      </w:r>
    </w:p>
    <w:p>
      <w:pPr>
        <w:pStyle w:val="0"/>
        <w:jc w:val="both"/>
      </w:pPr>
      <w:r>
        <w:rPr>
          <w:sz w:val="20"/>
        </w:rPr>
      </w:r>
    </w:p>
    <w:p>
      <w:pPr>
        <w:pStyle w:val="0"/>
        <w:jc w:val="right"/>
      </w:pPr>
      <w:r>
        <w:rPr>
          <w:sz w:val="20"/>
        </w:rPr>
        <w:t xml:space="preserve">% к ВВП</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3912"/>
        <w:gridCol w:w="749"/>
        <w:gridCol w:w="730"/>
        <w:gridCol w:w="730"/>
        <w:gridCol w:w="730"/>
        <w:gridCol w:w="730"/>
        <w:gridCol w:w="730"/>
        <w:gridCol w:w="754"/>
      </w:tblGrid>
      <w:tr>
        <w:tblPrEx>
          <w:tblBorders>
            <w:insideH w:val="single" w:sz="4"/>
          </w:tblBorders>
        </w:tblPrEx>
        <w:tc>
          <w:tcPr>
            <w:tcW w:w="3912" w:type="dxa"/>
            <w:tcBorders>
              <w:top w:val="single" w:sz="4"/>
              <w:left w:val="nil"/>
              <w:bottom w:val="single" w:sz="4"/>
              <w:right w:val="nil"/>
            </w:tcBorders>
          </w:tcPr>
          <w:p>
            <w:pPr>
              <w:pStyle w:val="0"/>
              <w:jc w:val="center"/>
            </w:pPr>
            <w:r>
              <w:rPr>
                <w:sz w:val="20"/>
              </w:rPr>
              <w:t xml:space="preserve">Показатель</w:t>
            </w:r>
          </w:p>
        </w:tc>
        <w:tc>
          <w:tcPr>
            <w:tcW w:w="749" w:type="dxa"/>
            <w:tcBorders>
              <w:top w:val="single" w:sz="4"/>
              <w:left w:val="nil"/>
              <w:bottom w:val="single" w:sz="4"/>
              <w:right w:val="nil"/>
            </w:tcBorders>
          </w:tcPr>
          <w:p>
            <w:pPr>
              <w:pStyle w:val="0"/>
              <w:jc w:val="center"/>
            </w:pPr>
            <w:r>
              <w:rPr>
                <w:sz w:val="20"/>
              </w:rPr>
              <w:t xml:space="preserve">2016</w:t>
            </w:r>
          </w:p>
        </w:tc>
        <w:tc>
          <w:tcPr>
            <w:tcW w:w="730" w:type="dxa"/>
            <w:tcBorders>
              <w:top w:val="single" w:sz="4"/>
              <w:left w:val="nil"/>
              <w:bottom w:val="single" w:sz="4"/>
              <w:right w:val="nil"/>
            </w:tcBorders>
          </w:tcPr>
          <w:p>
            <w:pPr>
              <w:pStyle w:val="0"/>
              <w:jc w:val="center"/>
            </w:pPr>
            <w:r>
              <w:rPr>
                <w:sz w:val="20"/>
              </w:rPr>
              <w:t xml:space="preserve">2017</w:t>
            </w:r>
          </w:p>
        </w:tc>
        <w:tc>
          <w:tcPr>
            <w:tcW w:w="730" w:type="dxa"/>
            <w:tcBorders>
              <w:top w:val="single" w:sz="4"/>
              <w:left w:val="nil"/>
              <w:bottom w:val="single" w:sz="4"/>
              <w:right w:val="nil"/>
            </w:tcBorders>
          </w:tcPr>
          <w:p>
            <w:pPr>
              <w:pStyle w:val="0"/>
              <w:jc w:val="center"/>
            </w:pPr>
            <w:r>
              <w:rPr>
                <w:sz w:val="20"/>
              </w:rPr>
              <w:t xml:space="preserve">2018</w:t>
            </w:r>
          </w:p>
        </w:tc>
        <w:tc>
          <w:tcPr>
            <w:tcW w:w="730" w:type="dxa"/>
            <w:tcBorders>
              <w:top w:val="single" w:sz="4"/>
              <w:left w:val="nil"/>
              <w:bottom w:val="single" w:sz="4"/>
              <w:right w:val="nil"/>
            </w:tcBorders>
          </w:tcPr>
          <w:p>
            <w:pPr>
              <w:pStyle w:val="0"/>
              <w:jc w:val="center"/>
            </w:pPr>
            <w:r>
              <w:rPr>
                <w:sz w:val="20"/>
              </w:rPr>
              <w:t xml:space="preserve">2019</w:t>
            </w:r>
          </w:p>
        </w:tc>
        <w:tc>
          <w:tcPr>
            <w:tcW w:w="730" w:type="dxa"/>
            <w:tcBorders>
              <w:top w:val="single" w:sz="4"/>
              <w:left w:val="nil"/>
              <w:bottom w:val="single" w:sz="4"/>
              <w:right w:val="nil"/>
            </w:tcBorders>
          </w:tcPr>
          <w:p>
            <w:pPr>
              <w:pStyle w:val="0"/>
              <w:jc w:val="center"/>
            </w:pPr>
            <w:r>
              <w:rPr>
                <w:sz w:val="20"/>
              </w:rPr>
              <w:t xml:space="preserve">2020</w:t>
            </w:r>
          </w:p>
        </w:tc>
        <w:tc>
          <w:tcPr>
            <w:tcW w:w="730" w:type="dxa"/>
            <w:tcBorders>
              <w:top w:val="single" w:sz="4"/>
              <w:left w:val="nil"/>
              <w:bottom w:val="single" w:sz="4"/>
              <w:right w:val="nil"/>
            </w:tcBorders>
          </w:tcPr>
          <w:p>
            <w:pPr>
              <w:pStyle w:val="0"/>
              <w:jc w:val="center"/>
            </w:pPr>
            <w:r>
              <w:rPr>
                <w:sz w:val="20"/>
              </w:rPr>
              <w:t xml:space="preserve">2021</w:t>
            </w:r>
          </w:p>
        </w:tc>
        <w:tc>
          <w:tcPr>
            <w:tcW w:w="754" w:type="dxa"/>
            <w:tcBorders>
              <w:top w:val="single" w:sz="4"/>
              <w:left w:val="nil"/>
              <w:bottom w:val="single" w:sz="4"/>
              <w:right w:val="nil"/>
            </w:tcBorders>
          </w:tcPr>
          <w:p>
            <w:pPr>
              <w:pStyle w:val="0"/>
              <w:jc w:val="center"/>
            </w:pPr>
            <w:r>
              <w:rPr>
                <w:sz w:val="20"/>
              </w:rPr>
              <w:t xml:space="preserve">2022</w:t>
            </w:r>
          </w:p>
        </w:tc>
      </w:tr>
      <w:tr>
        <w:tc>
          <w:tcPr>
            <w:tcW w:w="3912" w:type="dxa"/>
            <w:tcBorders>
              <w:top w:val="single" w:sz="4"/>
              <w:left w:val="nil"/>
              <w:bottom w:val="nil"/>
              <w:right w:val="nil"/>
            </w:tcBorders>
          </w:tcPr>
          <w:p>
            <w:pPr>
              <w:pStyle w:val="0"/>
            </w:pPr>
            <w:r>
              <w:rPr>
                <w:sz w:val="20"/>
              </w:rPr>
              <w:t xml:space="preserve">Налоговые доходы и платежи</w:t>
            </w:r>
          </w:p>
        </w:tc>
        <w:tc>
          <w:tcPr>
            <w:tcW w:w="749" w:type="dxa"/>
            <w:vAlign w:val="center"/>
            <w:tcBorders>
              <w:top w:val="single" w:sz="4"/>
              <w:left w:val="nil"/>
              <w:bottom w:val="nil"/>
              <w:right w:val="nil"/>
            </w:tcBorders>
          </w:tcPr>
          <w:p>
            <w:pPr>
              <w:pStyle w:val="0"/>
              <w:jc w:val="center"/>
            </w:pPr>
            <w:r>
              <w:rPr>
                <w:sz w:val="20"/>
              </w:rPr>
              <w:t xml:space="preserve">28,64</w:t>
            </w:r>
          </w:p>
        </w:tc>
        <w:tc>
          <w:tcPr>
            <w:tcW w:w="730" w:type="dxa"/>
            <w:vAlign w:val="center"/>
            <w:tcBorders>
              <w:top w:val="single" w:sz="4"/>
              <w:left w:val="nil"/>
              <w:bottom w:val="nil"/>
              <w:right w:val="nil"/>
            </w:tcBorders>
          </w:tcPr>
          <w:p>
            <w:pPr>
              <w:pStyle w:val="0"/>
              <w:jc w:val="center"/>
            </w:pPr>
            <w:r>
              <w:rPr>
                <w:sz w:val="20"/>
              </w:rPr>
              <w:t xml:space="preserve">30,35</w:t>
            </w:r>
          </w:p>
        </w:tc>
        <w:tc>
          <w:tcPr>
            <w:tcW w:w="730" w:type="dxa"/>
            <w:vAlign w:val="center"/>
            <w:tcBorders>
              <w:top w:val="single" w:sz="4"/>
              <w:left w:val="nil"/>
              <w:bottom w:val="nil"/>
              <w:right w:val="nil"/>
            </w:tcBorders>
          </w:tcPr>
          <w:p>
            <w:pPr>
              <w:pStyle w:val="0"/>
              <w:jc w:val="center"/>
            </w:pPr>
            <w:r>
              <w:rPr>
                <w:sz w:val="20"/>
              </w:rPr>
              <w:t xml:space="preserve">32,72</w:t>
            </w:r>
          </w:p>
        </w:tc>
        <w:tc>
          <w:tcPr>
            <w:tcW w:w="730" w:type="dxa"/>
            <w:vAlign w:val="center"/>
            <w:tcBorders>
              <w:top w:val="single" w:sz="4"/>
              <w:left w:val="nil"/>
              <w:bottom w:val="nil"/>
              <w:right w:val="nil"/>
            </w:tcBorders>
          </w:tcPr>
          <w:p>
            <w:pPr>
              <w:pStyle w:val="0"/>
              <w:jc w:val="center"/>
            </w:pPr>
            <w:r>
              <w:rPr>
                <w:sz w:val="20"/>
              </w:rPr>
              <w:t xml:space="preserve">32,51</w:t>
            </w:r>
          </w:p>
        </w:tc>
        <w:tc>
          <w:tcPr>
            <w:tcW w:w="730" w:type="dxa"/>
            <w:vAlign w:val="center"/>
            <w:tcBorders>
              <w:top w:val="single" w:sz="4"/>
              <w:left w:val="nil"/>
              <w:bottom w:val="nil"/>
              <w:right w:val="nil"/>
            </w:tcBorders>
          </w:tcPr>
          <w:p>
            <w:pPr>
              <w:pStyle w:val="0"/>
              <w:jc w:val="center"/>
            </w:pPr>
            <w:r>
              <w:rPr>
                <w:sz w:val="20"/>
              </w:rPr>
              <w:t xml:space="preserve">30,58</w:t>
            </w:r>
          </w:p>
        </w:tc>
        <w:tc>
          <w:tcPr>
            <w:tcW w:w="730" w:type="dxa"/>
            <w:vAlign w:val="center"/>
            <w:tcBorders>
              <w:top w:val="single" w:sz="4"/>
              <w:left w:val="nil"/>
              <w:bottom w:val="nil"/>
              <w:right w:val="nil"/>
            </w:tcBorders>
          </w:tcPr>
          <w:p>
            <w:pPr>
              <w:pStyle w:val="0"/>
              <w:jc w:val="center"/>
            </w:pPr>
            <w:r>
              <w:rPr>
                <w:sz w:val="20"/>
              </w:rPr>
              <w:t xml:space="preserve">32,01</w:t>
            </w:r>
          </w:p>
        </w:tc>
        <w:tc>
          <w:tcPr>
            <w:tcW w:w="754" w:type="dxa"/>
            <w:vAlign w:val="center"/>
            <w:tcBorders>
              <w:top w:val="single" w:sz="4"/>
              <w:left w:val="nil"/>
              <w:bottom w:val="nil"/>
              <w:right w:val="nil"/>
            </w:tcBorders>
          </w:tcPr>
          <w:p>
            <w:pPr>
              <w:pStyle w:val="0"/>
              <w:jc w:val="center"/>
            </w:pPr>
            <w:r>
              <w:rPr>
                <w:sz w:val="20"/>
              </w:rPr>
              <w:t xml:space="preserve">32,40</w:t>
            </w:r>
          </w:p>
        </w:tc>
      </w:tr>
      <w:tr>
        <w:tc>
          <w:tcPr>
            <w:tcW w:w="3912" w:type="dxa"/>
            <w:tcBorders>
              <w:top w:val="nil"/>
              <w:left w:val="nil"/>
              <w:bottom w:val="nil"/>
              <w:right w:val="nil"/>
            </w:tcBorders>
          </w:tcPr>
          <w:p>
            <w:pPr>
              <w:pStyle w:val="0"/>
            </w:pPr>
            <w:r>
              <w:rPr>
                <w:sz w:val="20"/>
              </w:rPr>
              <w:t xml:space="preserve">Доходы от налогов и пошлин, связанных с обложением нефти, газа и нефтепродуктов</w:t>
            </w:r>
          </w:p>
        </w:tc>
        <w:tc>
          <w:tcPr>
            <w:tcW w:w="749" w:type="dxa"/>
            <w:vAlign w:val="center"/>
            <w:tcBorders>
              <w:top w:val="nil"/>
              <w:left w:val="nil"/>
              <w:bottom w:val="nil"/>
              <w:right w:val="nil"/>
            </w:tcBorders>
          </w:tcPr>
          <w:p>
            <w:pPr>
              <w:pStyle w:val="0"/>
              <w:jc w:val="center"/>
            </w:pPr>
            <w:r>
              <w:rPr>
                <w:sz w:val="20"/>
              </w:rPr>
              <w:t xml:space="preserve">6,19</w:t>
            </w:r>
          </w:p>
        </w:tc>
        <w:tc>
          <w:tcPr>
            <w:tcW w:w="730" w:type="dxa"/>
            <w:vAlign w:val="center"/>
            <w:tcBorders>
              <w:top w:val="nil"/>
              <w:left w:val="nil"/>
              <w:bottom w:val="nil"/>
              <w:right w:val="nil"/>
            </w:tcBorders>
          </w:tcPr>
          <w:p>
            <w:pPr>
              <w:pStyle w:val="0"/>
              <w:jc w:val="center"/>
            </w:pPr>
            <w:r>
              <w:rPr>
                <w:sz w:val="20"/>
              </w:rPr>
              <w:t xml:space="preserve">7,10</w:t>
            </w:r>
          </w:p>
        </w:tc>
        <w:tc>
          <w:tcPr>
            <w:tcW w:w="730" w:type="dxa"/>
            <w:vAlign w:val="center"/>
            <w:tcBorders>
              <w:top w:val="nil"/>
              <w:left w:val="nil"/>
              <w:bottom w:val="nil"/>
              <w:right w:val="nil"/>
            </w:tcBorders>
          </w:tcPr>
          <w:p>
            <w:pPr>
              <w:pStyle w:val="0"/>
              <w:jc w:val="center"/>
            </w:pPr>
            <w:r>
              <w:rPr>
                <w:sz w:val="20"/>
              </w:rPr>
              <w:t xml:space="preserve">9,20</w:t>
            </w:r>
          </w:p>
        </w:tc>
        <w:tc>
          <w:tcPr>
            <w:tcW w:w="730" w:type="dxa"/>
            <w:vAlign w:val="center"/>
            <w:tcBorders>
              <w:top w:val="nil"/>
              <w:left w:val="nil"/>
              <w:bottom w:val="nil"/>
              <w:right w:val="nil"/>
            </w:tcBorders>
          </w:tcPr>
          <w:p>
            <w:pPr>
              <w:pStyle w:val="0"/>
              <w:jc w:val="center"/>
            </w:pPr>
            <w:r>
              <w:rPr>
                <w:sz w:val="20"/>
              </w:rPr>
              <w:t xml:space="preserve">8,27</w:t>
            </w:r>
          </w:p>
        </w:tc>
        <w:tc>
          <w:tcPr>
            <w:tcW w:w="730" w:type="dxa"/>
            <w:vAlign w:val="center"/>
            <w:tcBorders>
              <w:top w:val="nil"/>
              <w:left w:val="nil"/>
              <w:bottom w:val="nil"/>
              <w:right w:val="nil"/>
            </w:tcBorders>
          </w:tcPr>
          <w:p>
            <w:pPr>
              <w:pStyle w:val="0"/>
              <w:jc w:val="center"/>
            </w:pPr>
            <w:r>
              <w:rPr>
                <w:sz w:val="20"/>
              </w:rPr>
              <w:t xml:space="preserve">5,39</w:t>
            </w:r>
          </w:p>
        </w:tc>
        <w:tc>
          <w:tcPr>
            <w:tcW w:w="730" w:type="dxa"/>
            <w:vAlign w:val="center"/>
            <w:tcBorders>
              <w:top w:val="nil"/>
              <w:left w:val="nil"/>
              <w:bottom w:val="nil"/>
              <w:right w:val="nil"/>
            </w:tcBorders>
          </w:tcPr>
          <w:p>
            <w:pPr>
              <w:pStyle w:val="0"/>
              <w:jc w:val="center"/>
            </w:pPr>
            <w:r>
              <w:rPr>
                <w:sz w:val="20"/>
              </w:rPr>
              <w:t xml:space="preserve">8,24</w:t>
            </w:r>
          </w:p>
        </w:tc>
        <w:tc>
          <w:tcPr>
            <w:tcW w:w="754" w:type="dxa"/>
            <w:vAlign w:val="center"/>
            <w:tcBorders>
              <w:top w:val="nil"/>
              <w:left w:val="nil"/>
              <w:bottom w:val="nil"/>
              <w:right w:val="nil"/>
            </w:tcBorders>
          </w:tcPr>
          <w:p>
            <w:pPr>
              <w:pStyle w:val="0"/>
              <w:jc w:val="center"/>
            </w:pPr>
            <w:r>
              <w:rPr>
                <w:sz w:val="20"/>
              </w:rPr>
              <w:t xml:space="preserve">10,43</w:t>
            </w:r>
          </w:p>
        </w:tc>
      </w:tr>
      <w:tr>
        <w:tc>
          <w:tcPr>
            <w:tcW w:w="3912" w:type="dxa"/>
            <w:tcBorders>
              <w:top w:val="nil"/>
              <w:left w:val="nil"/>
              <w:bottom w:val="nil"/>
              <w:right w:val="nil"/>
            </w:tcBorders>
          </w:tcPr>
          <w:p>
            <w:pPr>
              <w:pStyle w:val="0"/>
              <w:ind w:left="283"/>
            </w:pPr>
            <w:r>
              <w:rPr>
                <w:sz w:val="20"/>
              </w:rPr>
              <w:t xml:space="preserve">из них:</w:t>
            </w:r>
          </w:p>
        </w:tc>
        <w:tc>
          <w:tcPr>
            <w:tcW w:w="749"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54" w:type="dxa"/>
            <w:vAlign w:val="center"/>
            <w:tcBorders>
              <w:top w:val="nil"/>
              <w:left w:val="nil"/>
              <w:bottom w:val="nil"/>
              <w:right w:val="nil"/>
            </w:tcBorders>
          </w:tcPr>
          <w:p>
            <w:pPr>
              <w:pStyle w:val="0"/>
            </w:pPr>
            <w:r>
              <w:rPr>
                <w:sz w:val="20"/>
              </w:rPr>
            </w:r>
          </w:p>
        </w:tc>
      </w:tr>
      <w:tr>
        <w:tc>
          <w:tcPr>
            <w:tcW w:w="3912" w:type="dxa"/>
            <w:tcBorders>
              <w:top w:val="nil"/>
              <w:left w:val="nil"/>
              <w:bottom w:val="nil"/>
              <w:right w:val="nil"/>
            </w:tcBorders>
          </w:tcPr>
          <w:p>
            <w:pPr>
              <w:pStyle w:val="0"/>
              <w:ind w:left="566"/>
            </w:pPr>
            <w:r>
              <w:rPr>
                <w:sz w:val="20"/>
              </w:rPr>
              <w:t xml:space="preserve">НДПИ на нефть</w:t>
            </w:r>
          </w:p>
        </w:tc>
        <w:tc>
          <w:tcPr>
            <w:tcW w:w="749" w:type="dxa"/>
            <w:vAlign w:val="center"/>
            <w:tcBorders>
              <w:top w:val="nil"/>
              <w:left w:val="nil"/>
              <w:bottom w:val="nil"/>
              <w:right w:val="nil"/>
            </w:tcBorders>
          </w:tcPr>
          <w:p>
            <w:pPr>
              <w:pStyle w:val="0"/>
              <w:jc w:val="center"/>
            </w:pPr>
            <w:r>
              <w:rPr>
                <w:sz w:val="20"/>
              </w:rPr>
              <w:t xml:space="preserve">2,74</w:t>
            </w:r>
          </w:p>
        </w:tc>
        <w:tc>
          <w:tcPr>
            <w:tcW w:w="730" w:type="dxa"/>
            <w:vAlign w:val="center"/>
            <w:tcBorders>
              <w:top w:val="nil"/>
              <w:left w:val="nil"/>
              <w:bottom w:val="nil"/>
              <w:right w:val="nil"/>
            </w:tcBorders>
          </w:tcPr>
          <w:p>
            <w:pPr>
              <w:pStyle w:val="0"/>
              <w:jc w:val="center"/>
            </w:pPr>
            <w:r>
              <w:rPr>
                <w:sz w:val="20"/>
              </w:rPr>
              <w:t xml:space="preserve">3,65</w:t>
            </w:r>
          </w:p>
        </w:tc>
        <w:tc>
          <w:tcPr>
            <w:tcW w:w="730" w:type="dxa"/>
            <w:vAlign w:val="center"/>
            <w:tcBorders>
              <w:top w:val="nil"/>
              <w:left w:val="nil"/>
              <w:bottom w:val="nil"/>
              <w:right w:val="nil"/>
            </w:tcBorders>
          </w:tcPr>
          <w:p>
            <w:pPr>
              <w:pStyle w:val="0"/>
              <w:jc w:val="center"/>
            </w:pPr>
            <w:r>
              <w:rPr>
                <w:sz w:val="20"/>
              </w:rPr>
              <w:t xml:space="preserve">5,04</w:t>
            </w:r>
          </w:p>
        </w:tc>
        <w:tc>
          <w:tcPr>
            <w:tcW w:w="730" w:type="dxa"/>
            <w:vAlign w:val="center"/>
            <w:tcBorders>
              <w:top w:val="nil"/>
              <w:left w:val="nil"/>
              <w:bottom w:val="nil"/>
              <w:right w:val="nil"/>
            </w:tcBorders>
          </w:tcPr>
          <w:p>
            <w:pPr>
              <w:pStyle w:val="0"/>
              <w:jc w:val="center"/>
            </w:pPr>
            <w:r>
              <w:rPr>
                <w:sz w:val="20"/>
              </w:rPr>
              <w:t xml:space="preserve">4,72</w:t>
            </w:r>
          </w:p>
        </w:tc>
        <w:tc>
          <w:tcPr>
            <w:tcW w:w="730" w:type="dxa"/>
            <w:vAlign w:val="center"/>
            <w:tcBorders>
              <w:top w:val="nil"/>
              <w:left w:val="nil"/>
              <w:bottom w:val="nil"/>
              <w:right w:val="nil"/>
            </w:tcBorders>
          </w:tcPr>
          <w:p>
            <w:pPr>
              <w:pStyle w:val="0"/>
              <w:jc w:val="center"/>
            </w:pPr>
            <w:r>
              <w:rPr>
                <w:sz w:val="20"/>
              </w:rPr>
              <w:t xml:space="preserve">2,97</w:t>
            </w:r>
          </w:p>
        </w:tc>
        <w:tc>
          <w:tcPr>
            <w:tcW w:w="730" w:type="dxa"/>
            <w:vAlign w:val="center"/>
            <w:tcBorders>
              <w:top w:val="nil"/>
              <w:left w:val="nil"/>
              <w:bottom w:val="nil"/>
              <w:right w:val="nil"/>
            </w:tcBorders>
          </w:tcPr>
          <w:p>
            <w:pPr>
              <w:pStyle w:val="0"/>
              <w:jc w:val="center"/>
            </w:pPr>
            <w:r>
              <w:rPr>
                <w:sz w:val="20"/>
              </w:rPr>
              <w:t xml:space="preserve">4,65</w:t>
            </w:r>
          </w:p>
        </w:tc>
        <w:tc>
          <w:tcPr>
            <w:tcW w:w="754" w:type="dxa"/>
            <w:vAlign w:val="center"/>
            <w:tcBorders>
              <w:top w:val="nil"/>
              <w:left w:val="nil"/>
              <w:bottom w:val="nil"/>
              <w:right w:val="nil"/>
            </w:tcBorders>
          </w:tcPr>
          <w:p>
            <w:pPr>
              <w:pStyle w:val="0"/>
              <w:jc w:val="center"/>
            </w:pPr>
            <w:r>
              <w:rPr>
                <w:sz w:val="20"/>
              </w:rPr>
              <w:t xml:space="preserve">5,54</w:t>
            </w:r>
          </w:p>
        </w:tc>
      </w:tr>
      <w:tr>
        <w:tc>
          <w:tcPr>
            <w:tcW w:w="3912" w:type="dxa"/>
            <w:tcBorders>
              <w:top w:val="nil"/>
              <w:left w:val="nil"/>
              <w:bottom w:val="nil"/>
              <w:right w:val="nil"/>
            </w:tcBorders>
          </w:tcPr>
          <w:p>
            <w:pPr>
              <w:pStyle w:val="0"/>
              <w:ind w:left="566"/>
            </w:pPr>
            <w:r>
              <w:rPr>
                <w:sz w:val="20"/>
              </w:rPr>
              <w:t xml:space="preserve">НДПИ на газ</w:t>
            </w:r>
          </w:p>
        </w:tc>
        <w:tc>
          <w:tcPr>
            <w:tcW w:w="749" w:type="dxa"/>
            <w:vAlign w:val="center"/>
            <w:tcBorders>
              <w:top w:val="nil"/>
              <w:left w:val="nil"/>
              <w:bottom w:val="nil"/>
              <w:right w:val="nil"/>
            </w:tcBorders>
          </w:tcPr>
          <w:p>
            <w:pPr>
              <w:pStyle w:val="0"/>
              <w:jc w:val="center"/>
            </w:pPr>
            <w:r>
              <w:rPr>
                <w:sz w:val="20"/>
              </w:rPr>
              <w:t xml:space="preserve">0,57</w:t>
            </w:r>
          </w:p>
        </w:tc>
        <w:tc>
          <w:tcPr>
            <w:tcW w:w="730" w:type="dxa"/>
            <w:vAlign w:val="center"/>
            <w:tcBorders>
              <w:top w:val="nil"/>
              <w:left w:val="nil"/>
              <w:bottom w:val="nil"/>
              <w:right w:val="nil"/>
            </w:tcBorders>
          </w:tcPr>
          <w:p>
            <w:pPr>
              <w:pStyle w:val="0"/>
              <w:jc w:val="center"/>
            </w:pPr>
            <w:r>
              <w:rPr>
                <w:sz w:val="20"/>
              </w:rPr>
              <w:t xml:space="preserve">0,73</w:t>
            </w:r>
          </w:p>
        </w:tc>
        <w:tc>
          <w:tcPr>
            <w:tcW w:w="730" w:type="dxa"/>
            <w:vAlign w:val="center"/>
            <w:tcBorders>
              <w:top w:val="nil"/>
              <w:left w:val="nil"/>
              <w:bottom w:val="nil"/>
              <w:right w:val="nil"/>
            </w:tcBorders>
          </w:tcPr>
          <w:p>
            <w:pPr>
              <w:pStyle w:val="0"/>
              <w:jc w:val="center"/>
            </w:pPr>
            <w:r>
              <w:rPr>
                <w:sz w:val="20"/>
              </w:rPr>
              <w:t xml:space="preserve">0,75</w:t>
            </w:r>
          </w:p>
        </w:tc>
        <w:tc>
          <w:tcPr>
            <w:tcW w:w="730" w:type="dxa"/>
            <w:vAlign w:val="center"/>
            <w:tcBorders>
              <w:top w:val="nil"/>
              <w:left w:val="nil"/>
              <w:bottom w:val="nil"/>
              <w:right w:val="nil"/>
            </w:tcBorders>
          </w:tcPr>
          <w:p>
            <w:pPr>
              <w:pStyle w:val="0"/>
              <w:jc w:val="center"/>
            </w:pPr>
            <w:r>
              <w:rPr>
                <w:sz w:val="20"/>
              </w:rPr>
              <w:t xml:space="preserve">0,73</w:t>
            </w:r>
          </w:p>
        </w:tc>
        <w:tc>
          <w:tcPr>
            <w:tcW w:w="730" w:type="dxa"/>
            <w:vAlign w:val="center"/>
            <w:tcBorders>
              <w:top w:val="nil"/>
              <w:left w:val="nil"/>
              <w:bottom w:val="nil"/>
              <w:right w:val="nil"/>
            </w:tcBorders>
          </w:tcPr>
          <w:p>
            <w:pPr>
              <w:pStyle w:val="0"/>
              <w:jc w:val="center"/>
            </w:pPr>
            <w:r>
              <w:rPr>
                <w:sz w:val="20"/>
              </w:rPr>
              <w:t xml:space="preserve">0,58</w:t>
            </w:r>
          </w:p>
        </w:tc>
        <w:tc>
          <w:tcPr>
            <w:tcW w:w="730" w:type="dxa"/>
            <w:vAlign w:val="center"/>
            <w:tcBorders>
              <w:top w:val="nil"/>
              <w:left w:val="nil"/>
              <w:bottom w:val="nil"/>
              <w:right w:val="nil"/>
            </w:tcBorders>
          </w:tcPr>
          <w:p>
            <w:pPr>
              <w:pStyle w:val="0"/>
              <w:jc w:val="center"/>
            </w:pPr>
            <w:r>
              <w:rPr>
                <w:sz w:val="20"/>
              </w:rPr>
              <w:t xml:space="preserve">0,60</w:t>
            </w:r>
          </w:p>
        </w:tc>
        <w:tc>
          <w:tcPr>
            <w:tcW w:w="754" w:type="dxa"/>
            <w:vAlign w:val="center"/>
            <w:tcBorders>
              <w:top w:val="nil"/>
              <w:left w:val="nil"/>
              <w:bottom w:val="nil"/>
              <w:right w:val="nil"/>
            </w:tcBorders>
          </w:tcPr>
          <w:p>
            <w:pPr>
              <w:pStyle w:val="0"/>
              <w:jc w:val="center"/>
            </w:pPr>
            <w:r>
              <w:rPr>
                <w:sz w:val="20"/>
              </w:rPr>
              <w:t xml:space="preserve">1,49</w:t>
            </w:r>
          </w:p>
        </w:tc>
      </w:tr>
      <w:tr>
        <w:tc>
          <w:tcPr>
            <w:tcW w:w="3912" w:type="dxa"/>
            <w:tcBorders>
              <w:top w:val="nil"/>
              <w:left w:val="nil"/>
              <w:bottom w:val="nil"/>
              <w:right w:val="nil"/>
            </w:tcBorders>
          </w:tcPr>
          <w:p>
            <w:pPr>
              <w:pStyle w:val="0"/>
              <w:ind w:left="566"/>
            </w:pPr>
            <w:r>
              <w:rPr>
                <w:sz w:val="20"/>
              </w:rPr>
              <w:t xml:space="preserve">Налог на дополнительный доход от добычи углеводородного сырья</w:t>
            </w:r>
          </w:p>
        </w:tc>
        <w:tc>
          <w:tcPr>
            <w:tcW w:w="749"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jc w:val="center"/>
            </w:pPr>
            <w:r>
              <w:rPr>
                <w:sz w:val="20"/>
              </w:rPr>
              <w:t xml:space="preserve">0,09</w:t>
            </w:r>
          </w:p>
        </w:tc>
        <w:tc>
          <w:tcPr>
            <w:tcW w:w="730" w:type="dxa"/>
            <w:vAlign w:val="center"/>
            <w:tcBorders>
              <w:top w:val="nil"/>
              <w:left w:val="nil"/>
              <w:bottom w:val="nil"/>
              <w:right w:val="nil"/>
            </w:tcBorders>
          </w:tcPr>
          <w:p>
            <w:pPr>
              <w:pStyle w:val="0"/>
              <w:jc w:val="center"/>
            </w:pPr>
            <w:r>
              <w:rPr>
                <w:sz w:val="20"/>
              </w:rPr>
              <w:t xml:space="preserve">0,14</w:t>
            </w:r>
          </w:p>
        </w:tc>
        <w:tc>
          <w:tcPr>
            <w:tcW w:w="730" w:type="dxa"/>
            <w:vAlign w:val="center"/>
            <w:tcBorders>
              <w:top w:val="nil"/>
              <w:left w:val="nil"/>
              <w:bottom w:val="nil"/>
              <w:right w:val="nil"/>
            </w:tcBorders>
          </w:tcPr>
          <w:p>
            <w:pPr>
              <w:pStyle w:val="0"/>
              <w:jc w:val="center"/>
            </w:pPr>
            <w:r>
              <w:rPr>
                <w:sz w:val="20"/>
              </w:rPr>
              <w:t xml:space="preserve">0,75</w:t>
            </w:r>
          </w:p>
        </w:tc>
        <w:tc>
          <w:tcPr>
            <w:tcW w:w="754" w:type="dxa"/>
            <w:vAlign w:val="center"/>
            <w:tcBorders>
              <w:top w:val="nil"/>
              <w:left w:val="nil"/>
              <w:bottom w:val="nil"/>
              <w:right w:val="nil"/>
            </w:tcBorders>
          </w:tcPr>
          <w:p>
            <w:pPr>
              <w:pStyle w:val="0"/>
              <w:jc w:val="center"/>
            </w:pPr>
            <w:r>
              <w:rPr>
                <w:sz w:val="20"/>
              </w:rPr>
              <w:t xml:space="preserve">1,11</w:t>
            </w:r>
          </w:p>
        </w:tc>
      </w:tr>
      <w:tr>
        <w:tc>
          <w:tcPr>
            <w:tcW w:w="3912" w:type="dxa"/>
            <w:tcBorders>
              <w:top w:val="nil"/>
              <w:left w:val="nil"/>
              <w:bottom w:val="nil"/>
              <w:right w:val="nil"/>
            </w:tcBorders>
          </w:tcPr>
          <w:p>
            <w:pPr>
              <w:pStyle w:val="0"/>
              <w:ind w:left="566"/>
            </w:pPr>
            <w:r>
              <w:rPr>
                <w:sz w:val="20"/>
              </w:rPr>
              <w:t xml:space="preserve">Акцизы на нефтепродукты</w:t>
            </w:r>
          </w:p>
        </w:tc>
        <w:tc>
          <w:tcPr>
            <w:tcW w:w="749" w:type="dxa"/>
            <w:vAlign w:val="center"/>
            <w:tcBorders>
              <w:top w:val="nil"/>
              <w:left w:val="nil"/>
              <w:bottom w:val="nil"/>
              <w:right w:val="nil"/>
            </w:tcBorders>
          </w:tcPr>
          <w:p>
            <w:pPr>
              <w:pStyle w:val="0"/>
              <w:jc w:val="center"/>
            </w:pPr>
            <w:r>
              <w:rPr>
                <w:sz w:val="20"/>
              </w:rPr>
              <w:t xml:space="preserve">0,53</w:t>
            </w:r>
          </w:p>
        </w:tc>
        <w:tc>
          <w:tcPr>
            <w:tcW w:w="730" w:type="dxa"/>
            <w:vAlign w:val="center"/>
            <w:tcBorders>
              <w:top w:val="nil"/>
              <w:left w:val="nil"/>
              <w:bottom w:val="nil"/>
              <w:right w:val="nil"/>
            </w:tcBorders>
          </w:tcPr>
          <w:p>
            <w:pPr>
              <w:pStyle w:val="0"/>
              <w:jc w:val="center"/>
            </w:pPr>
            <w:r>
              <w:rPr>
                <w:sz w:val="20"/>
              </w:rPr>
              <w:t xml:space="preserve">0,60</w:t>
            </w:r>
          </w:p>
        </w:tc>
        <w:tc>
          <w:tcPr>
            <w:tcW w:w="730" w:type="dxa"/>
            <w:vAlign w:val="center"/>
            <w:tcBorders>
              <w:top w:val="nil"/>
              <w:left w:val="nil"/>
              <w:bottom w:val="nil"/>
              <w:right w:val="nil"/>
            </w:tcBorders>
          </w:tcPr>
          <w:p>
            <w:pPr>
              <w:pStyle w:val="0"/>
              <w:jc w:val="center"/>
            </w:pPr>
            <w:r>
              <w:rPr>
                <w:sz w:val="20"/>
              </w:rPr>
              <w:t xml:space="preserve">0,52</w:t>
            </w:r>
          </w:p>
        </w:tc>
        <w:tc>
          <w:tcPr>
            <w:tcW w:w="730" w:type="dxa"/>
            <w:vAlign w:val="center"/>
            <w:tcBorders>
              <w:top w:val="nil"/>
              <w:left w:val="nil"/>
              <w:bottom w:val="nil"/>
              <w:right w:val="nil"/>
            </w:tcBorders>
          </w:tcPr>
          <w:p>
            <w:pPr>
              <w:pStyle w:val="0"/>
              <w:jc w:val="center"/>
            </w:pPr>
            <w:r>
              <w:rPr>
                <w:sz w:val="20"/>
              </w:rPr>
              <w:t xml:space="preserve">0,65</w:t>
            </w:r>
          </w:p>
        </w:tc>
        <w:tc>
          <w:tcPr>
            <w:tcW w:w="730" w:type="dxa"/>
            <w:vAlign w:val="center"/>
            <w:tcBorders>
              <w:top w:val="nil"/>
              <w:left w:val="nil"/>
              <w:bottom w:val="nil"/>
              <w:right w:val="nil"/>
            </w:tcBorders>
          </w:tcPr>
          <w:p>
            <w:pPr>
              <w:pStyle w:val="0"/>
              <w:jc w:val="center"/>
            </w:pPr>
            <w:r>
              <w:rPr>
                <w:sz w:val="20"/>
              </w:rPr>
              <w:t xml:space="preserve">0,65</w:t>
            </w:r>
          </w:p>
        </w:tc>
        <w:tc>
          <w:tcPr>
            <w:tcW w:w="730" w:type="dxa"/>
            <w:vAlign w:val="center"/>
            <w:tcBorders>
              <w:top w:val="nil"/>
              <w:left w:val="nil"/>
              <w:bottom w:val="nil"/>
              <w:right w:val="nil"/>
            </w:tcBorders>
          </w:tcPr>
          <w:p>
            <w:pPr>
              <w:pStyle w:val="0"/>
              <w:jc w:val="center"/>
            </w:pPr>
            <w:r>
              <w:rPr>
                <w:sz w:val="20"/>
              </w:rPr>
              <w:t xml:space="preserve">0,59</w:t>
            </w:r>
          </w:p>
        </w:tc>
        <w:tc>
          <w:tcPr>
            <w:tcW w:w="754" w:type="dxa"/>
            <w:vAlign w:val="center"/>
            <w:tcBorders>
              <w:top w:val="nil"/>
              <w:left w:val="nil"/>
              <w:bottom w:val="nil"/>
              <w:right w:val="nil"/>
            </w:tcBorders>
          </w:tcPr>
          <w:p>
            <w:pPr>
              <w:pStyle w:val="0"/>
              <w:jc w:val="center"/>
            </w:pPr>
            <w:r>
              <w:rPr>
                <w:sz w:val="20"/>
              </w:rPr>
              <w:t xml:space="preserve">0,63</w:t>
            </w:r>
          </w:p>
        </w:tc>
      </w:tr>
      <w:tr>
        <w:tc>
          <w:tcPr>
            <w:tcW w:w="3912" w:type="dxa"/>
            <w:tcBorders>
              <w:top w:val="nil"/>
              <w:left w:val="nil"/>
              <w:bottom w:val="nil"/>
              <w:right w:val="nil"/>
            </w:tcBorders>
          </w:tcPr>
          <w:p>
            <w:pPr>
              <w:pStyle w:val="0"/>
              <w:ind w:left="566"/>
            </w:pPr>
            <w:r>
              <w:rPr>
                <w:sz w:val="20"/>
              </w:rPr>
              <w:t xml:space="preserve">Вывозные таможенные пошлины на нефть</w:t>
            </w:r>
          </w:p>
        </w:tc>
        <w:tc>
          <w:tcPr>
            <w:tcW w:w="749" w:type="dxa"/>
            <w:vAlign w:val="center"/>
            <w:tcBorders>
              <w:top w:val="nil"/>
              <w:left w:val="nil"/>
              <w:bottom w:val="nil"/>
              <w:right w:val="nil"/>
            </w:tcBorders>
          </w:tcPr>
          <w:p>
            <w:pPr>
              <w:pStyle w:val="0"/>
              <w:jc w:val="center"/>
            </w:pPr>
            <w:r>
              <w:rPr>
                <w:sz w:val="20"/>
              </w:rPr>
              <w:t xml:space="preserve">1,20</w:t>
            </w:r>
          </w:p>
        </w:tc>
        <w:tc>
          <w:tcPr>
            <w:tcW w:w="730" w:type="dxa"/>
            <w:vAlign w:val="center"/>
            <w:tcBorders>
              <w:top w:val="nil"/>
              <w:left w:val="nil"/>
              <w:bottom w:val="nil"/>
              <w:right w:val="nil"/>
            </w:tcBorders>
          </w:tcPr>
          <w:p>
            <w:pPr>
              <w:pStyle w:val="0"/>
              <w:jc w:val="center"/>
            </w:pPr>
            <w:r>
              <w:rPr>
                <w:sz w:val="20"/>
              </w:rPr>
              <w:t xml:space="preserve">1,06</w:t>
            </w:r>
          </w:p>
        </w:tc>
        <w:tc>
          <w:tcPr>
            <w:tcW w:w="730" w:type="dxa"/>
            <w:vAlign w:val="center"/>
            <w:tcBorders>
              <w:top w:val="nil"/>
              <w:left w:val="nil"/>
              <w:bottom w:val="nil"/>
              <w:right w:val="nil"/>
            </w:tcBorders>
          </w:tcPr>
          <w:p>
            <w:pPr>
              <w:pStyle w:val="0"/>
              <w:jc w:val="center"/>
            </w:pPr>
            <w:r>
              <w:rPr>
                <w:sz w:val="20"/>
              </w:rPr>
              <w:t xml:space="preserve">1,49</w:t>
            </w:r>
          </w:p>
        </w:tc>
        <w:tc>
          <w:tcPr>
            <w:tcW w:w="730" w:type="dxa"/>
            <w:vAlign w:val="center"/>
            <w:tcBorders>
              <w:top w:val="nil"/>
              <w:left w:val="nil"/>
              <w:bottom w:val="nil"/>
              <w:right w:val="nil"/>
            </w:tcBorders>
          </w:tcPr>
          <w:p>
            <w:pPr>
              <w:pStyle w:val="0"/>
              <w:jc w:val="center"/>
            </w:pPr>
            <w:r>
              <w:rPr>
                <w:sz w:val="20"/>
              </w:rPr>
              <w:t xml:space="preserve">1,02</w:t>
            </w:r>
          </w:p>
        </w:tc>
        <w:tc>
          <w:tcPr>
            <w:tcW w:w="730" w:type="dxa"/>
            <w:vAlign w:val="center"/>
            <w:tcBorders>
              <w:top w:val="nil"/>
              <w:left w:val="nil"/>
              <w:bottom w:val="nil"/>
              <w:right w:val="nil"/>
            </w:tcBorders>
          </w:tcPr>
          <w:p>
            <w:pPr>
              <w:pStyle w:val="0"/>
              <w:jc w:val="center"/>
            </w:pPr>
            <w:r>
              <w:rPr>
                <w:sz w:val="20"/>
              </w:rPr>
              <w:t xml:space="preserve">0,41</w:t>
            </w:r>
          </w:p>
        </w:tc>
        <w:tc>
          <w:tcPr>
            <w:tcW w:w="730" w:type="dxa"/>
            <w:vAlign w:val="center"/>
            <w:tcBorders>
              <w:top w:val="nil"/>
              <w:left w:val="nil"/>
              <w:bottom w:val="nil"/>
              <w:right w:val="nil"/>
            </w:tcBorders>
          </w:tcPr>
          <w:p>
            <w:pPr>
              <w:pStyle w:val="0"/>
              <w:jc w:val="center"/>
            </w:pPr>
            <w:r>
              <w:rPr>
                <w:sz w:val="20"/>
              </w:rPr>
              <w:t xml:space="preserve">0,52</w:t>
            </w:r>
          </w:p>
        </w:tc>
        <w:tc>
          <w:tcPr>
            <w:tcW w:w="754" w:type="dxa"/>
            <w:vAlign w:val="center"/>
            <w:tcBorders>
              <w:top w:val="nil"/>
              <w:left w:val="nil"/>
              <w:bottom w:val="nil"/>
              <w:right w:val="nil"/>
            </w:tcBorders>
          </w:tcPr>
          <w:p>
            <w:pPr>
              <w:pStyle w:val="0"/>
              <w:jc w:val="center"/>
            </w:pPr>
            <w:r>
              <w:rPr>
                <w:sz w:val="20"/>
              </w:rPr>
              <w:t xml:space="preserve">0,40</w:t>
            </w:r>
          </w:p>
        </w:tc>
      </w:tr>
      <w:tr>
        <w:tc>
          <w:tcPr>
            <w:tcW w:w="3912" w:type="dxa"/>
            <w:tcBorders>
              <w:top w:val="nil"/>
              <w:left w:val="nil"/>
              <w:bottom w:val="nil"/>
              <w:right w:val="nil"/>
            </w:tcBorders>
          </w:tcPr>
          <w:p>
            <w:pPr>
              <w:pStyle w:val="0"/>
              <w:ind w:left="566"/>
            </w:pPr>
            <w:r>
              <w:rPr>
                <w:sz w:val="20"/>
              </w:rPr>
              <w:t xml:space="preserve">Вывозные таможенные пошлины на газ</w:t>
            </w:r>
          </w:p>
        </w:tc>
        <w:tc>
          <w:tcPr>
            <w:tcW w:w="749" w:type="dxa"/>
            <w:vAlign w:val="center"/>
            <w:tcBorders>
              <w:top w:val="nil"/>
              <w:left w:val="nil"/>
              <w:bottom w:val="nil"/>
              <w:right w:val="nil"/>
            </w:tcBorders>
          </w:tcPr>
          <w:p>
            <w:pPr>
              <w:pStyle w:val="0"/>
              <w:jc w:val="center"/>
            </w:pPr>
            <w:r>
              <w:rPr>
                <w:sz w:val="20"/>
              </w:rPr>
              <w:t xml:space="preserve">0,63</w:t>
            </w:r>
          </w:p>
        </w:tc>
        <w:tc>
          <w:tcPr>
            <w:tcW w:w="730" w:type="dxa"/>
            <w:vAlign w:val="center"/>
            <w:tcBorders>
              <w:top w:val="nil"/>
              <w:left w:val="nil"/>
              <w:bottom w:val="nil"/>
              <w:right w:val="nil"/>
            </w:tcBorders>
          </w:tcPr>
          <w:p>
            <w:pPr>
              <w:pStyle w:val="0"/>
              <w:jc w:val="center"/>
            </w:pPr>
            <w:r>
              <w:rPr>
                <w:sz w:val="20"/>
              </w:rPr>
              <w:t xml:space="preserve">0,63</w:t>
            </w:r>
          </w:p>
        </w:tc>
        <w:tc>
          <w:tcPr>
            <w:tcW w:w="730" w:type="dxa"/>
            <w:vAlign w:val="center"/>
            <w:tcBorders>
              <w:top w:val="nil"/>
              <w:left w:val="nil"/>
              <w:bottom w:val="nil"/>
              <w:right w:val="nil"/>
            </w:tcBorders>
          </w:tcPr>
          <w:p>
            <w:pPr>
              <w:pStyle w:val="0"/>
              <w:jc w:val="center"/>
            </w:pPr>
            <w:r>
              <w:rPr>
                <w:sz w:val="20"/>
              </w:rPr>
              <w:t xml:space="preserve">0,78</w:t>
            </w:r>
          </w:p>
        </w:tc>
        <w:tc>
          <w:tcPr>
            <w:tcW w:w="730" w:type="dxa"/>
            <w:vAlign w:val="center"/>
            <w:tcBorders>
              <w:top w:val="nil"/>
              <w:left w:val="nil"/>
              <w:bottom w:val="nil"/>
              <w:right w:val="nil"/>
            </w:tcBorders>
          </w:tcPr>
          <w:p>
            <w:pPr>
              <w:pStyle w:val="0"/>
              <w:jc w:val="center"/>
            </w:pPr>
            <w:r>
              <w:rPr>
                <w:sz w:val="20"/>
              </w:rPr>
              <w:t xml:space="preserve">0,63</w:t>
            </w:r>
          </w:p>
        </w:tc>
        <w:tc>
          <w:tcPr>
            <w:tcW w:w="730" w:type="dxa"/>
            <w:vAlign w:val="center"/>
            <w:tcBorders>
              <w:top w:val="nil"/>
              <w:left w:val="nil"/>
              <w:bottom w:val="nil"/>
              <w:right w:val="nil"/>
            </w:tcBorders>
          </w:tcPr>
          <w:p>
            <w:pPr>
              <w:pStyle w:val="0"/>
              <w:jc w:val="center"/>
            </w:pPr>
            <w:r>
              <w:rPr>
                <w:sz w:val="20"/>
              </w:rPr>
              <w:t xml:space="preserve">0,41</w:t>
            </w:r>
          </w:p>
        </w:tc>
        <w:tc>
          <w:tcPr>
            <w:tcW w:w="730" w:type="dxa"/>
            <w:vAlign w:val="center"/>
            <w:tcBorders>
              <w:top w:val="nil"/>
              <w:left w:val="nil"/>
              <w:bottom w:val="nil"/>
              <w:right w:val="nil"/>
            </w:tcBorders>
          </w:tcPr>
          <w:p>
            <w:pPr>
              <w:pStyle w:val="0"/>
              <w:jc w:val="center"/>
            </w:pPr>
            <w:r>
              <w:rPr>
                <w:sz w:val="20"/>
              </w:rPr>
              <w:t xml:space="preserve">0,83</w:t>
            </w:r>
          </w:p>
        </w:tc>
        <w:tc>
          <w:tcPr>
            <w:tcW w:w="754" w:type="dxa"/>
            <w:vAlign w:val="center"/>
            <w:tcBorders>
              <w:top w:val="nil"/>
              <w:left w:val="nil"/>
              <w:bottom w:val="nil"/>
              <w:right w:val="nil"/>
            </w:tcBorders>
          </w:tcPr>
          <w:p>
            <w:pPr>
              <w:pStyle w:val="0"/>
              <w:jc w:val="center"/>
            </w:pPr>
            <w:r>
              <w:rPr>
                <w:sz w:val="20"/>
              </w:rPr>
              <w:t xml:space="preserve">1,08</w:t>
            </w:r>
          </w:p>
        </w:tc>
      </w:tr>
      <w:tr>
        <w:tc>
          <w:tcPr>
            <w:tcW w:w="3912" w:type="dxa"/>
            <w:tcBorders>
              <w:top w:val="nil"/>
              <w:left w:val="nil"/>
              <w:bottom w:val="nil"/>
              <w:right w:val="nil"/>
            </w:tcBorders>
          </w:tcPr>
          <w:p>
            <w:pPr>
              <w:pStyle w:val="0"/>
              <w:ind w:left="566"/>
            </w:pPr>
            <w:r>
              <w:rPr>
                <w:sz w:val="20"/>
              </w:rPr>
              <w:t xml:space="preserve">Вывозные таможенные пошлины на нефтепродукты</w:t>
            </w:r>
          </w:p>
        </w:tc>
        <w:tc>
          <w:tcPr>
            <w:tcW w:w="749" w:type="dxa"/>
            <w:vAlign w:val="center"/>
            <w:tcBorders>
              <w:top w:val="nil"/>
              <w:left w:val="nil"/>
              <w:bottom w:val="nil"/>
              <w:right w:val="nil"/>
            </w:tcBorders>
          </w:tcPr>
          <w:p>
            <w:pPr>
              <w:pStyle w:val="0"/>
              <w:jc w:val="center"/>
            </w:pPr>
            <w:r>
              <w:rPr>
                <w:sz w:val="20"/>
              </w:rPr>
              <w:t xml:space="preserve">0,52</w:t>
            </w:r>
          </w:p>
        </w:tc>
        <w:tc>
          <w:tcPr>
            <w:tcW w:w="730" w:type="dxa"/>
            <w:vAlign w:val="center"/>
            <w:tcBorders>
              <w:top w:val="nil"/>
              <w:left w:val="nil"/>
              <w:bottom w:val="nil"/>
              <w:right w:val="nil"/>
            </w:tcBorders>
          </w:tcPr>
          <w:p>
            <w:pPr>
              <w:pStyle w:val="0"/>
              <w:jc w:val="center"/>
            </w:pPr>
            <w:r>
              <w:rPr>
                <w:sz w:val="20"/>
              </w:rPr>
              <w:t xml:space="preserve">0,43</w:t>
            </w:r>
          </w:p>
        </w:tc>
        <w:tc>
          <w:tcPr>
            <w:tcW w:w="730" w:type="dxa"/>
            <w:vAlign w:val="center"/>
            <w:tcBorders>
              <w:top w:val="nil"/>
              <w:left w:val="nil"/>
              <w:bottom w:val="nil"/>
              <w:right w:val="nil"/>
            </w:tcBorders>
          </w:tcPr>
          <w:p>
            <w:pPr>
              <w:pStyle w:val="0"/>
              <w:jc w:val="center"/>
            </w:pPr>
            <w:r>
              <w:rPr>
                <w:sz w:val="20"/>
              </w:rPr>
              <w:t xml:space="preserve">0,62</w:t>
            </w:r>
          </w:p>
        </w:tc>
        <w:tc>
          <w:tcPr>
            <w:tcW w:w="730" w:type="dxa"/>
            <w:vAlign w:val="center"/>
            <w:tcBorders>
              <w:top w:val="nil"/>
              <w:left w:val="nil"/>
              <w:bottom w:val="nil"/>
              <w:right w:val="nil"/>
            </w:tcBorders>
          </w:tcPr>
          <w:p>
            <w:pPr>
              <w:pStyle w:val="0"/>
              <w:jc w:val="center"/>
            </w:pPr>
            <w:r>
              <w:rPr>
                <w:sz w:val="20"/>
              </w:rPr>
              <w:t xml:space="preserve">0,42</w:t>
            </w:r>
          </w:p>
        </w:tc>
        <w:tc>
          <w:tcPr>
            <w:tcW w:w="730" w:type="dxa"/>
            <w:vAlign w:val="center"/>
            <w:tcBorders>
              <w:top w:val="nil"/>
              <w:left w:val="nil"/>
              <w:bottom w:val="nil"/>
              <w:right w:val="nil"/>
            </w:tcBorders>
          </w:tcPr>
          <w:p>
            <w:pPr>
              <w:pStyle w:val="0"/>
              <w:jc w:val="center"/>
            </w:pPr>
            <w:r>
              <w:rPr>
                <w:sz w:val="20"/>
              </w:rPr>
              <w:t xml:space="preserve">0,24</w:t>
            </w:r>
          </w:p>
        </w:tc>
        <w:tc>
          <w:tcPr>
            <w:tcW w:w="730" w:type="dxa"/>
            <w:vAlign w:val="center"/>
            <w:tcBorders>
              <w:top w:val="nil"/>
              <w:left w:val="nil"/>
              <w:bottom w:val="nil"/>
              <w:right w:val="nil"/>
            </w:tcBorders>
          </w:tcPr>
          <w:p>
            <w:pPr>
              <w:pStyle w:val="0"/>
              <w:jc w:val="center"/>
            </w:pPr>
            <w:r>
              <w:rPr>
                <w:sz w:val="20"/>
              </w:rPr>
              <w:t xml:space="preserve">0,29</w:t>
            </w:r>
          </w:p>
        </w:tc>
        <w:tc>
          <w:tcPr>
            <w:tcW w:w="754" w:type="dxa"/>
            <w:vAlign w:val="center"/>
            <w:tcBorders>
              <w:top w:val="nil"/>
              <w:left w:val="nil"/>
              <w:bottom w:val="nil"/>
              <w:right w:val="nil"/>
            </w:tcBorders>
          </w:tcPr>
          <w:p>
            <w:pPr>
              <w:pStyle w:val="0"/>
              <w:jc w:val="center"/>
            </w:pPr>
            <w:r>
              <w:rPr>
                <w:sz w:val="20"/>
              </w:rPr>
              <w:t xml:space="preserve">0,18</w:t>
            </w:r>
          </w:p>
        </w:tc>
      </w:tr>
      <w:tr>
        <w:tc>
          <w:tcPr>
            <w:tcW w:w="3912" w:type="dxa"/>
            <w:tcBorders>
              <w:top w:val="nil"/>
              <w:left w:val="nil"/>
              <w:bottom w:val="single" w:sz="4"/>
              <w:right w:val="nil"/>
            </w:tcBorders>
          </w:tcPr>
          <w:p>
            <w:pPr>
              <w:pStyle w:val="0"/>
            </w:pPr>
            <w:r>
              <w:rPr>
                <w:sz w:val="20"/>
              </w:rPr>
              <w:t xml:space="preserve">Доходы от налогов и прочих платежей, не связанных с обложением нефти, газа и нефтепродуктов</w:t>
            </w:r>
          </w:p>
        </w:tc>
        <w:tc>
          <w:tcPr>
            <w:tcW w:w="749" w:type="dxa"/>
            <w:vAlign w:val="center"/>
            <w:tcBorders>
              <w:top w:val="nil"/>
              <w:left w:val="nil"/>
              <w:bottom w:val="single" w:sz="4"/>
              <w:right w:val="nil"/>
            </w:tcBorders>
          </w:tcPr>
          <w:p>
            <w:pPr>
              <w:pStyle w:val="0"/>
              <w:jc w:val="center"/>
            </w:pPr>
            <w:r>
              <w:rPr>
                <w:sz w:val="20"/>
              </w:rPr>
              <w:t xml:space="preserve">22,45</w:t>
            </w:r>
          </w:p>
        </w:tc>
        <w:tc>
          <w:tcPr>
            <w:tcW w:w="730" w:type="dxa"/>
            <w:vAlign w:val="center"/>
            <w:tcBorders>
              <w:top w:val="nil"/>
              <w:left w:val="nil"/>
              <w:bottom w:val="single" w:sz="4"/>
              <w:right w:val="nil"/>
            </w:tcBorders>
          </w:tcPr>
          <w:p>
            <w:pPr>
              <w:pStyle w:val="0"/>
              <w:jc w:val="center"/>
            </w:pPr>
            <w:r>
              <w:rPr>
                <w:sz w:val="20"/>
              </w:rPr>
              <w:t xml:space="preserve">23,25</w:t>
            </w:r>
          </w:p>
        </w:tc>
        <w:tc>
          <w:tcPr>
            <w:tcW w:w="730" w:type="dxa"/>
            <w:vAlign w:val="center"/>
            <w:tcBorders>
              <w:top w:val="nil"/>
              <w:left w:val="nil"/>
              <w:bottom w:val="single" w:sz="4"/>
              <w:right w:val="nil"/>
            </w:tcBorders>
          </w:tcPr>
          <w:p>
            <w:pPr>
              <w:pStyle w:val="0"/>
              <w:jc w:val="center"/>
            </w:pPr>
            <w:r>
              <w:rPr>
                <w:sz w:val="20"/>
              </w:rPr>
              <w:t xml:space="preserve">23,52</w:t>
            </w:r>
          </w:p>
        </w:tc>
        <w:tc>
          <w:tcPr>
            <w:tcW w:w="730" w:type="dxa"/>
            <w:vAlign w:val="center"/>
            <w:tcBorders>
              <w:top w:val="nil"/>
              <w:left w:val="nil"/>
              <w:bottom w:val="single" w:sz="4"/>
              <w:right w:val="nil"/>
            </w:tcBorders>
          </w:tcPr>
          <w:p>
            <w:pPr>
              <w:pStyle w:val="0"/>
              <w:jc w:val="center"/>
            </w:pPr>
            <w:r>
              <w:rPr>
                <w:sz w:val="20"/>
              </w:rPr>
              <w:t xml:space="preserve">24,25</w:t>
            </w:r>
          </w:p>
        </w:tc>
        <w:tc>
          <w:tcPr>
            <w:tcW w:w="730" w:type="dxa"/>
            <w:vAlign w:val="center"/>
            <w:tcBorders>
              <w:top w:val="nil"/>
              <w:left w:val="nil"/>
              <w:bottom w:val="single" w:sz="4"/>
              <w:right w:val="nil"/>
            </w:tcBorders>
          </w:tcPr>
          <w:p>
            <w:pPr>
              <w:pStyle w:val="0"/>
              <w:jc w:val="center"/>
            </w:pPr>
            <w:r>
              <w:rPr>
                <w:sz w:val="20"/>
              </w:rPr>
              <w:t xml:space="preserve">25,19</w:t>
            </w:r>
          </w:p>
        </w:tc>
        <w:tc>
          <w:tcPr>
            <w:tcW w:w="730" w:type="dxa"/>
            <w:vAlign w:val="center"/>
            <w:tcBorders>
              <w:top w:val="nil"/>
              <w:left w:val="nil"/>
              <w:bottom w:val="single" w:sz="4"/>
              <w:right w:val="nil"/>
            </w:tcBorders>
          </w:tcPr>
          <w:p>
            <w:pPr>
              <w:pStyle w:val="0"/>
              <w:jc w:val="center"/>
            </w:pPr>
            <w:r>
              <w:rPr>
                <w:sz w:val="20"/>
              </w:rPr>
              <w:t xml:space="preserve">23,77</w:t>
            </w:r>
          </w:p>
        </w:tc>
        <w:tc>
          <w:tcPr>
            <w:tcW w:w="754" w:type="dxa"/>
            <w:vAlign w:val="center"/>
            <w:tcBorders>
              <w:top w:val="nil"/>
              <w:left w:val="nil"/>
              <w:bottom w:val="single" w:sz="4"/>
              <w:right w:val="nil"/>
            </w:tcBorders>
          </w:tcPr>
          <w:p>
            <w:pPr>
              <w:pStyle w:val="0"/>
              <w:jc w:val="center"/>
            </w:pPr>
            <w:r>
              <w:rPr>
                <w:sz w:val="20"/>
              </w:rPr>
              <w:t xml:space="preserve">21,98</w:t>
            </w:r>
          </w:p>
        </w:tc>
      </w:tr>
    </w:tbl>
    <w:p>
      <w:pPr>
        <w:pStyle w:val="0"/>
        <w:jc w:val="both"/>
      </w:pPr>
      <w:r>
        <w:rPr>
          <w:sz w:val="20"/>
        </w:rPr>
      </w:r>
    </w:p>
    <w:p>
      <w:pPr>
        <w:pStyle w:val="0"/>
        <w:ind w:firstLine="540"/>
        <w:jc w:val="both"/>
      </w:pPr>
      <w:r>
        <w:rPr>
          <w:sz w:val="20"/>
        </w:rPr>
        <w:t xml:space="preserve">Источники данных: ВВП - Росстат, доходы бюджета расширенного правительства - Федеральное казначейство.</w:t>
      </w:r>
    </w:p>
    <w:p>
      <w:pPr>
        <w:pStyle w:val="0"/>
        <w:jc w:val="both"/>
      </w:pPr>
      <w:r>
        <w:rPr>
          <w:sz w:val="20"/>
        </w:rPr>
      </w:r>
    </w:p>
    <w:p>
      <w:pPr>
        <w:pStyle w:val="0"/>
        <w:ind w:firstLine="540"/>
        <w:jc w:val="both"/>
      </w:pPr>
      <w:r>
        <w:rPr>
          <w:sz w:val="20"/>
        </w:rPr>
        <w:t xml:space="preserve">Доля доходов от налогов и пошлин, связанных с обложением нефти, газа и нефтепродуктов, в 2022 году по сравнению с 2021 годом увеличилась на 2,19 п.п. и составила 10,43% к ВВП.</w:t>
      </w:r>
    </w:p>
    <w:p>
      <w:pPr>
        <w:pStyle w:val="0"/>
        <w:spacing w:before="200" w:line-rule="auto"/>
        <w:ind w:firstLine="540"/>
        <w:jc w:val="both"/>
      </w:pPr>
      <w:r>
        <w:rPr>
          <w:sz w:val="20"/>
        </w:rPr>
        <w:t xml:space="preserve">Средний уровень прочих сборов, таких как государственная пошлина, и неналоговых платежей, уплачиваемых организациями и предпринимателями в бюджетную систему, за последние 7 лет не превышал 1% к ВВП. В 2022 году совокупный уровень указанных доходов составил 0,65% к ВВП.</w:t>
      </w:r>
    </w:p>
    <w:p>
      <w:pPr>
        <w:pStyle w:val="0"/>
        <w:spacing w:before="200" w:line-rule="auto"/>
        <w:ind w:firstLine="540"/>
        <w:jc w:val="both"/>
      </w:pPr>
      <w:r>
        <w:rPr>
          <w:sz w:val="20"/>
        </w:rPr>
        <w:t xml:space="preserve">Таким образом, фискальная нагрузка на экономику суммарно составила 33,05% к ВВП (таблица 3).</w:t>
      </w:r>
    </w:p>
    <w:p>
      <w:pPr>
        <w:pStyle w:val="0"/>
        <w:jc w:val="both"/>
      </w:pPr>
      <w:r>
        <w:rPr>
          <w:sz w:val="20"/>
        </w:rPr>
      </w:r>
    </w:p>
    <w:p>
      <w:pPr>
        <w:pStyle w:val="0"/>
        <w:ind w:firstLine="540"/>
        <w:jc w:val="both"/>
      </w:pPr>
      <w:r>
        <w:rPr>
          <w:sz w:val="20"/>
        </w:rPr>
        <w:t xml:space="preserve">Таблица 3. Фискальная нагрузка (налоги и платежи, поступающие в бюджетную систему Российской Федерации) на экономику Российской Федерации в 2016 - 2022 гг.</w:t>
      </w:r>
    </w:p>
    <w:p>
      <w:pPr>
        <w:pStyle w:val="0"/>
        <w:jc w:val="both"/>
      </w:pPr>
      <w:r>
        <w:rPr>
          <w:sz w:val="20"/>
        </w:rPr>
      </w:r>
    </w:p>
    <w:p>
      <w:pPr>
        <w:pStyle w:val="0"/>
        <w:jc w:val="right"/>
      </w:pPr>
      <w:r>
        <w:rPr>
          <w:sz w:val="20"/>
        </w:rPr>
        <w:t xml:space="preserve">% к ВВП</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3912"/>
        <w:gridCol w:w="749"/>
        <w:gridCol w:w="730"/>
        <w:gridCol w:w="730"/>
        <w:gridCol w:w="730"/>
        <w:gridCol w:w="730"/>
        <w:gridCol w:w="730"/>
        <w:gridCol w:w="754"/>
      </w:tblGrid>
      <w:tr>
        <w:tblPrEx>
          <w:tblBorders>
            <w:insideH w:val="single" w:sz="4"/>
          </w:tblBorders>
        </w:tblPrEx>
        <w:tc>
          <w:tcPr>
            <w:tcW w:w="3912" w:type="dxa"/>
            <w:tcBorders>
              <w:top w:val="single" w:sz="4"/>
              <w:left w:val="nil"/>
              <w:bottom w:val="single" w:sz="4"/>
              <w:right w:val="nil"/>
            </w:tcBorders>
          </w:tcPr>
          <w:p>
            <w:pPr>
              <w:pStyle w:val="0"/>
              <w:jc w:val="center"/>
            </w:pPr>
            <w:r>
              <w:rPr>
                <w:sz w:val="20"/>
              </w:rPr>
              <w:t xml:space="preserve">Показатель</w:t>
            </w:r>
          </w:p>
        </w:tc>
        <w:tc>
          <w:tcPr>
            <w:tcW w:w="749" w:type="dxa"/>
            <w:tcBorders>
              <w:top w:val="single" w:sz="4"/>
              <w:left w:val="nil"/>
              <w:bottom w:val="single" w:sz="4"/>
              <w:right w:val="nil"/>
            </w:tcBorders>
          </w:tcPr>
          <w:p>
            <w:pPr>
              <w:pStyle w:val="0"/>
              <w:jc w:val="center"/>
            </w:pPr>
            <w:r>
              <w:rPr>
                <w:sz w:val="20"/>
              </w:rPr>
              <w:t xml:space="preserve">2016</w:t>
            </w:r>
          </w:p>
        </w:tc>
        <w:tc>
          <w:tcPr>
            <w:tcW w:w="730" w:type="dxa"/>
            <w:tcBorders>
              <w:top w:val="single" w:sz="4"/>
              <w:left w:val="nil"/>
              <w:bottom w:val="single" w:sz="4"/>
              <w:right w:val="nil"/>
            </w:tcBorders>
          </w:tcPr>
          <w:p>
            <w:pPr>
              <w:pStyle w:val="0"/>
              <w:jc w:val="center"/>
            </w:pPr>
            <w:r>
              <w:rPr>
                <w:sz w:val="20"/>
              </w:rPr>
              <w:t xml:space="preserve">2017</w:t>
            </w:r>
          </w:p>
        </w:tc>
        <w:tc>
          <w:tcPr>
            <w:tcW w:w="730" w:type="dxa"/>
            <w:tcBorders>
              <w:top w:val="single" w:sz="4"/>
              <w:left w:val="nil"/>
              <w:bottom w:val="single" w:sz="4"/>
              <w:right w:val="nil"/>
            </w:tcBorders>
          </w:tcPr>
          <w:p>
            <w:pPr>
              <w:pStyle w:val="0"/>
              <w:jc w:val="center"/>
            </w:pPr>
            <w:r>
              <w:rPr>
                <w:sz w:val="20"/>
              </w:rPr>
              <w:t xml:space="preserve">2018</w:t>
            </w:r>
          </w:p>
        </w:tc>
        <w:tc>
          <w:tcPr>
            <w:tcW w:w="730" w:type="dxa"/>
            <w:tcBorders>
              <w:top w:val="single" w:sz="4"/>
              <w:left w:val="nil"/>
              <w:bottom w:val="single" w:sz="4"/>
              <w:right w:val="nil"/>
            </w:tcBorders>
          </w:tcPr>
          <w:p>
            <w:pPr>
              <w:pStyle w:val="0"/>
              <w:jc w:val="center"/>
            </w:pPr>
            <w:r>
              <w:rPr>
                <w:sz w:val="20"/>
              </w:rPr>
              <w:t xml:space="preserve">2019</w:t>
            </w:r>
          </w:p>
        </w:tc>
        <w:tc>
          <w:tcPr>
            <w:tcW w:w="730" w:type="dxa"/>
            <w:tcBorders>
              <w:top w:val="single" w:sz="4"/>
              <w:left w:val="nil"/>
              <w:bottom w:val="single" w:sz="4"/>
              <w:right w:val="nil"/>
            </w:tcBorders>
          </w:tcPr>
          <w:p>
            <w:pPr>
              <w:pStyle w:val="0"/>
              <w:jc w:val="center"/>
            </w:pPr>
            <w:r>
              <w:rPr>
                <w:sz w:val="20"/>
              </w:rPr>
              <w:t xml:space="preserve">2020</w:t>
            </w:r>
          </w:p>
        </w:tc>
        <w:tc>
          <w:tcPr>
            <w:tcW w:w="730" w:type="dxa"/>
            <w:tcBorders>
              <w:top w:val="single" w:sz="4"/>
              <w:left w:val="nil"/>
              <w:bottom w:val="single" w:sz="4"/>
              <w:right w:val="nil"/>
            </w:tcBorders>
          </w:tcPr>
          <w:p>
            <w:pPr>
              <w:pStyle w:val="0"/>
              <w:jc w:val="center"/>
            </w:pPr>
            <w:r>
              <w:rPr>
                <w:sz w:val="20"/>
              </w:rPr>
              <w:t xml:space="preserve">2021</w:t>
            </w:r>
          </w:p>
        </w:tc>
        <w:tc>
          <w:tcPr>
            <w:tcW w:w="754" w:type="dxa"/>
            <w:tcBorders>
              <w:top w:val="single" w:sz="4"/>
              <w:left w:val="nil"/>
              <w:bottom w:val="single" w:sz="4"/>
              <w:right w:val="nil"/>
            </w:tcBorders>
          </w:tcPr>
          <w:p>
            <w:pPr>
              <w:pStyle w:val="0"/>
              <w:jc w:val="center"/>
            </w:pPr>
            <w:r>
              <w:rPr>
                <w:sz w:val="20"/>
              </w:rPr>
              <w:t xml:space="preserve">2022</w:t>
            </w:r>
          </w:p>
        </w:tc>
      </w:tr>
      <w:tr>
        <w:tc>
          <w:tcPr>
            <w:tcW w:w="3912" w:type="dxa"/>
            <w:tcBorders>
              <w:top w:val="single" w:sz="4"/>
              <w:left w:val="nil"/>
              <w:bottom w:val="nil"/>
              <w:right w:val="nil"/>
            </w:tcBorders>
          </w:tcPr>
          <w:p>
            <w:pPr>
              <w:pStyle w:val="0"/>
            </w:pPr>
            <w:r>
              <w:rPr>
                <w:sz w:val="20"/>
              </w:rPr>
              <w:t xml:space="preserve">Доходы всего</w:t>
            </w:r>
          </w:p>
        </w:tc>
        <w:tc>
          <w:tcPr>
            <w:tcW w:w="749" w:type="dxa"/>
            <w:vAlign w:val="center"/>
            <w:tcBorders>
              <w:top w:val="single" w:sz="4"/>
              <w:left w:val="nil"/>
              <w:bottom w:val="nil"/>
              <w:right w:val="nil"/>
            </w:tcBorders>
          </w:tcPr>
          <w:p>
            <w:pPr>
              <w:pStyle w:val="0"/>
              <w:jc w:val="center"/>
            </w:pPr>
            <w:r>
              <w:rPr>
                <w:sz w:val="20"/>
              </w:rPr>
              <w:t xml:space="preserve">32,92</w:t>
            </w:r>
          </w:p>
        </w:tc>
        <w:tc>
          <w:tcPr>
            <w:tcW w:w="730" w:type="dxa"/>
            <w:vAlign w:val="center"/>
            <w:tcBorders>
              <w:top w:val="single" w:sz="4"/>
              <w:left w:val="nil"/>
              <w:bottom w:val="nil"/>
              <w:right w:val="nil"/>
            </w:tcBorders>
          </w:tcPr>
          <w:p>
            <w:pPr>
              <w:pStyle w:val="0"/>
              <w:jc w:val="center"/>
            </w:pPr>
            <w:r>
              <w:rPr>
                <w:sz w:val="20"/>
              </w:rPr>
              <w:t xml:space="preserve">33,80</w:t>
            </w:r>
          </w:p>
        </w:tc>
        <w:tc>
          <w:tcPr>
            <w:tcW w:w="730" w:type="dxa"/>
            <w:vAlign w:val="center"/>
            <w:tcBorders>
              <w:top w:val="single" w:sz="4"/>
              <w:left w:val="nil"/>
              <w:bottom w:val="nil"/>
              <w:right w:val="nil"/>
            </w:tcBorders>
          </w:tcPr>
          <w:p>
            <w:pPr>
              <w:pStyle w:val="0"/>
              <w:jc w:val="center"/>
            </w:pPr>
            <w:r>
              <w:rPr>
                <w:sz w:val="20"/>
              </w:rPr>
              <w:t xml:space="preserve">35,93</w:t>
            </w:r>
          </w:p>
        </w:tc>
        <w:tc>
          <w:tcPr>
            <w:tcW w:w="730" w:type="dxa"/>
            <w:vAlign w:val="center"/>
            <w:tcBorders>
              <w:top w:val="single" w:sz="4"/>
              <w:left w:val="nil"/>
              <w:bottom w:val="nil"/>
              <w:right w:val="nil"/>
            </w:tcBorders>
          </w:tcPr>
          <w:p>
            <w:pPr>
              <w:pStyle w:val="0"/>
              <w:jc w:val="center"/>
            </w:pPr>
            <w:r>
              <w:rPr>
                <w:sz w:val="20"/>
              </w:rPr>
              <w:t xml:space="preserve">36,04</w:t>
            </w:r>
          </w:p>
        </w:tc>
        <w:tc>
          <w:tcPr>
            <w:tcW w:w="730" w:type="dxa"/>
            <w:vAlign w:val="center"/>
            <w:tcBorders>
              <w:top w:val="single" w:sz="4"/>
              <w:left w:val="nil"/>
              <w:bottom w:val="nil"/>
              <w:right w:val="nil"/>
            </w:tcBorders>
          </w:tcPr>
          <w:p>
            <w:pPr>
              <w:pStyle w:val="0"/>
              <w:jc w:val="center"/>
            </w:pPr>
            <w:r>
              <w:rPr>
                <w:sz w:val="20"/>
              </w:rPr>
              <w:t xml:space="preserve">35,49</w:t>
            </w:r>
          </w:p>
        </w:tc>
        <w:tc>
          <w:tcPr>
            <w:tcW w:w="730" w:type="dxa"/>
            <w:vAlign w:val="center"/>
            <w:tcBorders>
              <w:top w:val="single" w:sz="4"/>
              <w:left w:val="nil"/>
              <w:bottom w:val="nil"/>
              <w:right w:val="nil"/>
            </w:tcBorders>
          </w:tcPr>
          <w:p>
            <w:pPr>
              <w:pStyle w:val="0"/>
              <w:jc w:val="center"/>
            </w:pPr>
            <w:r>
              <w:rPr>
                <w:sz w:val="20"/>
              </w:rPr>
              <w:t xml:space="preserve">35,57</w:t>
            </w:r>
          </w:p>
        </w:tc>
        <w:tc>
          <w:tcPr>
            <w:tcW w:w="754" w:type="dxa"/>
            <w:vAlign w:val="center"/>
            <w:tcBorders>
              <w:top w:val="single" w:sz="4"/>
              <w:left w:val="nil"/>
              <w:bottom w:val="nil"/>
              <w:right w:val="nil"/>
            </w:tcBorders>
          </w:tcPr>
          <w:p>
            <w:pPr>
              <w:pStyle w:val="0"/>
              <w:jc w:val="center"/>
            </w:pPr>
            <w:r>
              <w:rPr>
                <w:sz w:val="20"/>
              </w:rPr>
              <w:t xml:space="preserve">35,04</w:t>
            </w:r>
          </w:p>
        </w:tc>
      </w:tr>
      <w:tr>
        <w:tc>
          <w:tcPr>
            <w:tcW w:w="3912" w:type="dxa"/>
            <w:tcBorders>
              <w:top w:val="nil"/>
              <w:left w:val="nil"/>
              <w:bottom w:val="nil"/>
              <w:right w:val="nil"/>
            </w:tcBorders>
          </w:tcPr>
          <w:p>
            <w:pPr>
              <w:pStyle w:val="0"/>
            </w:pPr>
            <w:r>
              <w:rPr>
                <w:sz w:val="20"/>
              </w:rPr>
              <w:t xml:space="preserve">в том числе:</w:t>
            </w:r>
          </w:p>
        </w:tc>
        <w:tc>
          <w:tcPr>
            <w:tcW w:w="749"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30" w:type="dxa"/>
            <w:vAlign w:val="center"/>
            <w:tcBorders>
              <w:top w:val="nil"/>
              <w:left w:val="nil"/>
              <w:bottom w:val="nil"/>
              <w:right w:val="nil"/>
            </w:tcBorders>
          </w:tcPr>
          <w:p>
            <w:pPr>
              <w:pStyle w:val="0"/>
            </w:pPr>
            <w:r>
              <w:rPr>
                <w:sz w:val="20"/>
              </w:rPr>
            </w:r>
          </w:p>
        </w:tc>
        <w:tc>
          <w:tcPr>
            <w:tcW w:w="754" w:type="dxa"/>
            <w:vAlign w:val="center"/>
            <w:tcBorders>
              <w:top w:val="nil"/>
              <w:left w:val="nil"/>
              <w:bottom w:val="nil"/>
              <w:right w:val="nil"/>
            </w:tcBorders>
          </w:tcPr>
          <w:p>
            <w:pPr>
              <w:pStyle w:val="0"/>
            </w:pPr>
            <w:r>
              <w:rPr>
                <w:sz w:val="20"/>
              </w:rPr>
            </w:r>
          </w:p>
        </w:tc>
      </w:tr>
      <w:tr>
        <w:tc>
          <w:tcPr>
            <w:tcW w:w="3912" w:type="dxa"/>
            <w:tcBorders>
              <w:top w:val="nil"/>
              <w:left w:val="nil"/>
              <w:bottom w:val="nil"/>
              <w:right w:val="nil"/>
            </w:tcBorders>
          </w:tcPr>
          <w:p>
            <w:pPr>
              <w:pStyle w:val="0"/>
              <w:ind w:left="283"/>
            </w:pPr>
            <w:r>
              <w:rPr>
                <w:sz w:val="20"/>
              </w:rPr>
              <w:t xml:space="preserve">Фискальная нагрузка</w:t>
            </w:r>
          </w:p>
        </w:tc>
        <w:tc>
          <w:tcPr>
            <w:tcW w:w="749" w:type="dxa"/>
            <w:vAlign w:val="center"/>
            <w:tcBorders>
              <w:top w:val="nil"/>
              <w:left w:val="nil"/>
              <w:bottom w:val="nil"/>
              <w:right w:val="nil"/>
            </w:tcBorders>
          </w:tcPr>
          <w:p>
            <w:pPr>
              <w:pStyle w:val="0"/>
              <w:jc w:val="center"/>
            </w:pPr>
            <w:r>
              <w:rPr>
                <w:sz w:val="20"/>
              </w:rPr>
              <w:t xml:space="preserve">29,38</w:t>
            </w:r>
          </w:p>
        </w:tc>
        <w:tc>
          <w:tcPr>
            <w:tcW w:w="730" w:type="dxa"/>
            <w:vAlign w:val="center"/>
            <w:tcBorders>
              <w:top w:val="nil"/>
              <w:left w:val="nil"/>
              <w:bottom w:val="nil"/>
              <w:right w:val="nil"/>
            </w:tcBorders>
          </w:tcPr>
          <w:p>
            <w:pPr>
              <w:pStyle w:val="0"/>
              <w:jc w:val="center"/>
            </w:pPr>
            <w:r>
              <w:rPr>
                <w:sz w:val="20"/>
              </w:rPr>
              <w:t xml:space="preserve">31,14</w:t>
            </w:r>
          </w:p>
        </w:tc>
        <w:tc>
          <w:tcPr>
            <w:tcW w:w="730" w:type="dxa"/>
            <w:vAlign w:val="center"/>
            <w:tcBorders>
              <w:top w:val="nil"/>
              <w:left w:val="nil"/>
              <w:bottom w:val="nil"/>
              <w:right w:val="nil"/>
            </w:tcBorders>
          </w:tcPr>
          <w:p>
            <w:pPr>
              <w:pStyle w:val="0"/>
              <w:jc w:val="center"/>
            </w:pPr>
            <w:r>
              <w:rPr>
                <w:sz w:val="20"/>
              </w:rPr>
              <w:t xml:space="preserve">33,46</w:t>
            </w:r>
          </w:p>
        </w:tc>
        <w:tc>
          <w:tcPr>
            <w:tcW w:w="730" w:type="dxa"/>
            <w:vAlign w:val="center"/>
            <w:tcBorders>
              <w:top w:val="nil"/>
              <w:left w:val="nil"/>
              <w:bottom w:val="nil"/>
              <w:right w:val="nil"/>
            </w:tcBorders>
          </w:tcPr>
          <w:p>
            <w:pPr>
              <w:pStyle w:val="0"/>
              <w:jc w:val="center"/>
            </w:pPr>
            <w:r>
              <w:rPr>
                <w:sz w:val="20"/>
              </w:rPr>
              <w:t xml:space="preserve">33,34</w:t>
            </w:r>
          </w:p>
        </w:tc>
        <w:tc>
          <w:tcPr>
            <w:tcW w:w="730" w:type="dxa"/>
            <w:vAlign w:val="center"/>
            <w:tcBorders>
              <w:top w:val="nil"/>
              <w:left w:val="nil"/>
              <w:bottom w:val="nil"/>
              <w:right w:val="nil"/>
            </w:tcBorders>
          </w:tcPr>
          <w:p>
            <w:pPr>
              <w:pStyle w:val="0"/>
              <w:jc w:val="center"/>
            </w:pPr>
            <w:r>
              <w:rPr>
                <w:sz w:val="20"/>
              </w:rPr>
              <w:t xml:space="preserve">31,51</w:t>
            </w:r>
          </w:p>
        </w:tc>
        <w:tc>
          <w:tcPr>
            <w:tcW w:w="730" w:type="dxa"/>
            <w:vAlign w:val="center"/>
            <w:tcBorders>
              <w:top w:val="nil"/>
              <w:left w:val="nil"/>
              <w:bottom w:val="nil"/>
              <w:right w:val="nil"/>
            </w:tcBorders>
          </w:tcPr>
          <w:p>
            <w:pPr>
              <w:pStyle w:val="0"/>
              <w:jc w:val="center"/>
            </w:pPr>
            <w:r>
              <w:rPr>
                <w:sz w:val="20"/>
              </w:rPr>
              <w:t xml:space="preserve">32,89</w:t>
            </w:r>
          </w:p>
        </w:tc>
        <w:tc>
          <w:tcPr>
            <w:tcW w:w="754" w:type="dxa"/>
            <w:vAlign w:val="center"/>
            <w:tcBorders>
              <w:top w:val="nil"/>
              <w:left w:val="nil"/>
              <w:bottom w:val="nil"/>
              <w:right w:val="nil"/>
            </w:tcBorders>
          </w:tcPr>
          <w:p>
            <w:pPr>
              <w:pStyle w:val="0"/>
              <w:jc w:val="center"/>
            </w:pPr>
            <w:r>
              <w:rPr>
                <w:sz w:val="20"/>
              </w:rPr>
              <w:t xml:space="preserve">33,05</w:t>
            </w:r>
          </w:p>
        </w:tc>
      </w:tr>
      <w:tr>
        <w:tc>
          <w:tcPr>
            <w:tcW w:w="3912" w:type="dxa"/>
            <w:tcBorders>
              <w:top w:val="nil"/>
              <w:left w:val="nil"/>
              <w:bottom w:val="nil"/>
              <w:right w:val="nil"/>
            </w:tcBorders>
          </w:tcPr>
          <w:p>
            <w:pPr>
              <w:pStyle w:val="0"/>
              <w:ind w:left="566"/>
            </w:pPr>
            <w:r>
              <w:rPr>
                <w:sz w:val="20"/>
              </w:rPr>
              <w:t xml:space="preserve">Налоговые доходы и платежи</w:t>
            </w:r>
          </w:p>
        </w:tc>
        <w:tc>
          <w:tcPr>
            <w:tcW w:w="749" w:type="dxa"/>
            <w:vAlign w:val="center"/>
            <w:tcBorders>
              <w:top w:val="nil"/>
              <w:left w:val="nil"/>
              <w:bottom w:val="nil"/>
              <w:right w:val="nil"/>
            </w:tcBorders>
          </w:tcPr>
          <w:p>
            <w:pPr>
              <w:pStyle w:val="0"/>
              <w:jc w:val="center"/>
            </w:pPr>
            <w:r>
              <w:rPr>
                <w:sz w:val="20"/>
              </w:rPr>
              <w:t xml:space="preserve">28,64</w:t>
            </w:r>
          </w:p>
        </w:tc>
        <w:tc>
          <w:tcPr>
            <w:tcW w:w="730" w:type="dxa"/>
            <w:vAlign w:val="center"/>
            <w:tcBorders>
              <w:top w:val="nil"/>
              <w:left w:val="nil"/>
              <w:bottom w:val="nil"/>
              <w:right w:val="nil"/>
            </w:tcBorders>
          </w:tcPr>
          <w:p>
            <w:pPr>
              <w:pStyle w:val="0"/>
              <w:jc w:val="center"/>
            </w:pPr>
            <w:r>
              <w:rPr>
                <w:sz w:val="20"/>
              </w:rPr>
              <w:t xml:space="preserve">30,35</w:t>
            </w:r>
          </w:p>
        </w:tc>
        <w:tc>
          <w:tcPr>
            <w:tcW w:w="730" w:type="dxa"/>
            <w:vAlign w:val="center"/>
            <w:tcBorders>
              <w:top w:val="nil"/>
              <w:left w:val="nil"/>
              <w:bottom w:val="nil"/>
              <w:right w:val="nil"/>
            </w:tcBorders>
          </w:tcPr>
          <w:p>
            <w:pPr>
              <w:pStyle w:val="0"/>
              <w:jc w:val="center"/>
            </w:pPr>
            <w:r>
              <w:rPr>
                <w:sz w:val="20"/>
              </w:rPr>
              <w:t xml:space="preserve">32,72</w:t>
            </w:r>
          </w:p>
        </w:tc>
        <w:tc>
          <w:tcPr>
            <w:tcW w:w="730" w:type="dxa"/>
            <w:vAlign w:val="center"/>
            <w:tcBorders>
              <w:top w:val="nil"/>
              <w:left w:val="nil"/>
              <w:bottom w:val="nil"/>
              <w:right w:val="nil"/>
            </w:tcBorders>
          </w:tcPr>
          <w:p>
            <w:pPr>
              <w:pStyle w:val="0"/>
              <w:jc w:val="center"/>
            </w:pPr>
            <w:r>
              <w:rPr>
                <w:sz w:val="20"/>
              </w:rPr>
              <w:t xml:space="preserve">32,51</w:t>
            </w:r>
          </w:p>
        </w:tc>
        <w:tc>
          <w:tcPr>
            <w:tcW w:w="730" w:type="dxa"/>
            <w:vAlign w:val="center"/>
            <w:tcBorders>
              <w:top w:val="nil"/>
              <w:left w:val="nil"/>
              <w:bottom w:val="nil"/>
              <w:right w:val="nil"/>
            </w:tcBorders>
          </w:tcPr>
          <w:p>
            <w:pPr>
              <w:pStyle w:val="0"/>
              <w:jc w:val="center"/>
            </w:pPr>
            <w:r>
              <w:rPr>
                <w:sz w:val="20"/>
              </w:rPr>
              <w:t xml:space="preserve">30,58</w:t>
            </w:r>
          </w:p>
        </w:tc>
        <w:tc>
          <w:tcPr>
            <w:tcW w:w="730" w:type="dxa"/>
            <w:vAlign w:val="center"/>
            <w:tcBorders>
              <w:top w:val="nil"/>
              <w:left w:val="nil"/>
              <w:bottom w:val="nil"/>
              <w:right w:val="nil"/>
            </w:tcBorders>
          </w:tcPr>
          <w:p>
            <w:pPr>
              <w:pStyle w:val="0"/>
              <w:jc w:val="center"/>
            </w:pPr>
            <w:r>
              <w:rPr>
                <w:sz w:val="20"/>
              </w:rPr>
              <w:t xml:space="preserve">32,01</w:t>
            </w:r>
          </w:p>
        </w:tc>
        <w:tc>
          <w:tcPr>
            <w:tcW w:w="754" w:type="dxa"/>
            <w:vAlign w:val="center"/>
            <w:tcBorders>
              <w:top w:val="nil"/>
              <w:left w:val="nil"/>
              <w:bottom w:val="nil"/>
              <w:right w:val="nil"/>
            </w:tcBorders>
          </w:tcPr>
          <w:p>
            <w:pPr>
              <w:pStyle w:val="0"/>
              <w:jc w:val="center"/>
            </w:pPr>
            <w:r>
              <w:rPr>
                <w:sz w:val="20"/>
              </w:rPr>
              <w:t xml:space="preserve">32,40</w:t>
            </w:r>
          </w:p>
        </w:tc>
      </w:tr>
      <w:tr>
        <w:tc>
          <w:tcPr>
            <w:tcW w:w="3912" w:type="dxa"/>
            <w:tcBorders>
              <w:top w:val="nil"/>
              <w:left w:val="nil"/>
              <w:bottom w:val="nil"/>
              <w:right w:val="nil"/>
            </w:tcBorders>
          </w:tcPr>
          <w:p>
            <w:pPr>
              <w:pStyle w:val="0"/>
              <w:ind w:left="849"/>
            </w:pPr>
            <w:r>
              <w:rPr>
                <w:sz w:val="20"/>
              </w:rPr>
              <w:t xml:space="preserve">Нефтегазовые доходы</w:t>
            </w:r>
          </w:p>
        </w:tc>
        <w:tc>
          <w:tcPr>
            <w:tcW w:w="749" w:type="dxa"/>
            <w:vAlign w:val="center"/>
            <w:tcBorders>
              <w:top w:val="nil"/>
              <w:left w:val="nil"/>
              <w:bottom w:val="nil"/>
              <w:right w:val="nil"/>
            </w:tcBorders>
          </w:tcPr>
          <w:p>
            <w:pPr>
              <w:pStyle w:val="0"/>
              <w:jc w:val="center"/>
            </w:pPr>
            <w:r>
              <w:rPr>
                <w:sz w:val="20"/>
              </w:rPr>
              <w:t xml:space="preserve">6,19</w:t>
            </w:r>
          </w:p>
        </w:tc>
        <w:tc>
          <w:tcPr>
            <w:tcW w:w="730" w:type="dxa"/>
            <w:vAlign w:val="center"/>
            <w:tcBorders>
              <w:top w:val="nil"/>
              <w:left w:val="nil"/>
              <w:bottom w:val="nil"/>
              <w:right w:val="nil"/>
            </w:tcBorders>
          </w:tcPr>
          <w:p>
            <w:pPr>
              <w:pStyle w:val="0"/>
              <w:jc w:val="center"/>
            </w:pPr>
            <w:r>
              <w:rPr>
                <w:sz w:val="20"/>
              </w:rPr>
              <w:t xml:space="preserve">7,10</w:t>
            </w:r>
          </w:p>
        </w:tc>
        <w:tc>
          <w:tcPr>
            <w:tcW w:w="730" w:type="dxa"/>
            <w:vAlign w:val="center"/>
            <w:tcBorders>
              <w:top w:val="nil"/>
              <w:left w:val="nil"/>
              <w:bottom w:val="nil"/>
              <w:right w:val="nil"/>
            </w:tcBorders>
          </w:tcPr>
          <w:p>
            <w:pPr>
              <w:pStyle w:val="0"/>
              <w:jc w:val="center"/>
            </w:pPr>
            <w:r>
              <w:rPr>
                <w:sz w:val="20"/>
              </w:rPr>
              <w:t xml:space="preserve">9,20</w:t>
            </w:r>
          </w:p>
        </w:tc>
        <w:tc>
          <w:tcPr>
            <w:tcW w:w="730" w:type="dxa"/>
            <w:vAlign w:val="center"/>
            <w:tcBorders>
              <w:top w:val="nil"/>
              <w:left w:val="nil"/>
              <w:bottom w:val="nil"/>
              <w:right w:val="nil"/>
            </w:tcBorders>
          </w:tcPr>
          <w:p>
            <w:pPr>
              <w:pStyle w:val="0"/>
              <w:jc w:val="center"/>
            </w:pPr>
            <w:r>
              <w:rPr>
                <w:sz w:val="20"/>
              </w:rPr>
              <w:t xml:space="preserve">8,27</w:t>
            </w:r>
          </w:p>
        </w:tc>
        <w:tc>
          <w:tcPr>
            <w:tcW w:w="730" w:type="dxa"/>
            <w:vAlign w:val="center"/>
            <w:tcBorders>
              <w:top w:val="nil"/>
              <w:left w:val="nil"/>
              <w:bottom w:val="nil"/>
              <w:right w:val="nil"/>
            </w:tcBorders>
          </w:tcPr>
          <w:p>
            <w:pPr>
              <w:pStyle w:val="0"/>
              <w:jc w:val="center"/>
            </w:pPr>
            <w:r>
              <w:rPr>
                <w:sz w:val="20"/>
              </w:rPr>
              <w:t xml:space="preserve">5,39</w:t>
            </w:r>
          </w:p>
        </w:tc>
        <w:tc>
          <w:tcPr>
            <w:tcW w:w="730" w:type="dxa"/>
            <w:vAlign w:val="center"/>
            <w:tcBorders>
              <w:top w:val="nil"/>
              <w:left w:val="nil"/>
              <w:bottom w:val="nil"/>
              <w:right w:val="nil"/>
            </w:tcBorders>
          </w:tcPr>
          <w:p>
            <w:pPr>
              <w:pStyle w:val="0"/>
              <w:jc w:val="center"/>
            </w:pPr>
            <w:r>
              <w:rPr>
                <w:sz w:val="20"/>
              </w:rPr>
              <w:t xml:space="preserve">8,24</w:t>
            </w:r>
          </w:p>
        </w:tc>
        <w:tc>
          <w:tcPr>
            <w:tcW w:w="754" w:type="dxa"/>
            <w:vAlign w:val="center"/>
            <w:tcBorders>
              <w:top w:val="nil"/>
              <w:left w:val="nil"/>
              <w:bottom w:val="nil"/>
              <w:right w:val="nil"/>
            </w:tcBorders>
          </w:tcPr>
          <w:p>
            <w:pPr>
              <w:pStyle w:val="0"/>
              <w:jc w:val="center"/>
            </w:pPr>
            <w:r>
              <w:rPr>
                <w:sz w:val="20"/>
              </w:rPr>
              <w:t xml:space="preserve">10,43</w:t>
            </w:r>
          </w:p>
        </w:tc>
      </w:tr>
      <w:tr>
        <w:tc>
          <w:tcPr>
            <w:tcW w:w="3912" w:type="dxa"/>
            <w:tcBorders>
              <w:top w:val="nil"/>
              <w:left w:val="nil"/>
              <w:bottom w:val="nil"/>
              <w:right w:val="nil"/>
            </w:tcBorders>
          </w:tcPr>
          <w:p>
            <w:pPr>
              <w:pStyle w:val="0"/>
              <w:ind w:left="849"/>
            </w:pPr>
            <w:r>
              <w:rPr>
                <w:sz w:val="20"/>
              </w:rPr>
              <w:t xml:space="preserve">Ненефтегазовые доходы</w:t>
            </w:r>
          </w:p>
        </w:tc>
        <w:tc>
          <w:tcPr>
            <w:tcW w:w="749" w:type="dxa"/>
            <w:vAlign w:val="center"/>
            <w:tcBorders>
              <w:top w:val="nil"/>
              <w:left w:val="nil"/>
              <w:bottom w:val="nil"/>
              <w:right w:val="nil"/>
            </w:tcBorders>
          </w:tcPr>
          <w:p>
            <w:pPr>
              <w:pStyle w:val="0"/>
              <w:jc w:val="center"/>
            </w:pPr>
            <w:r>
              <w:rPr>
                <w:sz w:val="20"/>
              </w:rPr>
              <w:t xml:space="preserve">22,45</w:t>
            </w:r>
          </w:p>
        </w:tc>
        <w:tc>
          <w:tcPr>
            <w:tcW w:w="730" w:type="dxa"/>
            <w:vAlign w:val="center"/>
            <w:tcBorders>
              <w:top w:val="nil"/>
              <w:left w:val="nil"/>
              <w:bottom w:val="nil"/>
              <w:right w:val="nil"/>
            </w:tcBorders>
          </w:tcPr>
          <w:p>
            <w:pPr>
              <w:pStyle w:val="0"/>
              <w:jc w:val="center"/>
            </w:pPr>
            <w:r>
              <w:rPr>
                <w:sz w:val="20"/>
              </w:rPr>
              <w:t xml:space="preserve">23,25</w:t>
            </w:r>
          </w:p>
        </w:tc>
        <w:tc>
          <w:tcPr>
            <w:tcW w:w="730" w:type="dxa"/>
            <w:vAlign w:val="center"/>
            <w:tcBorders>
              <w:top w:val="nil"/>
              <w:left w:val="nil"/>
              <w:bottom w:val="nil"/>
              <w:right w:val="nil"/>
            </w:tcBorders>
          </w:tcPr>
          <w:p>
            <w:pPr>
              <w:pStyle w:val="0"/>
              <w:jc w:val="center"/>
            </w:pPr>
            <w:r>
              <w:rPr>
                <w:sz w:val="20"/>
              </w:rPr>
              <w:t xml:space="preserve">23,52</w:t>
            </w:r>
          </w:p>
        </w:tc>
        <w:tc>
          <w:tcPr>
            <w:tcW w:w="730" w:type="dxa"/>
            <w:vAlign w:val="center"/>
            <w:tcBorders>
              <w:top w:val="nil"/>
              <w:left w:val="nil"/>
              <w:bottom w:val="nil"/>
              <w:right w:val="nil"/>
            </w:tcBorders>
          </w:tcPr>
          <w:p>
            <w:pPr>
              <w:pStyle w:val="0"/>
              <w:jc w:val="center"/>
            </w:pPr>
            <w:r>
              <w:rPr>
                <w:sz w:val="20"/>
              </w:rPr>
              <w:t xml:space="preserve">24,25</w:t>
            </w:r>
          </w:p>
        </w:tc>
        <w:tc>
          <w:tcPr>
            <w:tcW w:w="730" w:type="dxa"/>
            <w:vAlign w:val="center"/>
            <w:tcBorders>
              <w:top w:val="nil"/>
              <w:left w:val="nil"/>
              <w:bottom w:val="nil"/>
              <w:right w:val="nil"/>
            </w:tcBorders>
          </w:tcPr>
          <w:p>
            <w:pPr>
              <w:pStyle w:val="0"/>
              <w:jc w:val="center"/>
            </w:pPr>
            <w:r>
              <w:rPr>
                <w:sz w:val="20"/>
              </w:rPr>
              <w:t xml:space="preserve">25,19</w:t>
            </w:r>
          </w:p>
        </w:tc>
        <w:tc>
          <w:tcPr>
            <w:tcW w:w="730" w:type="dxa"/>
            <w:vAlign w:val="center"/>
            <w:tcBorders>
              <w:top w:val="nil"/>
              <w:left w:val="nil"/>
              <w:bottom w:val="nil"/>
              <w:right w:val="nil"/>
            </w:tcBorders>
          </w:tcPr>
          <w:p>
            <w:pPr>
              <w:pStyle w:val="0"/>
              <w:jc w:val="center"/>
            </w:pPr>
            <w:r>
              <w:rPr>
                <w:sz w:val="20"/>
              </w:rPr>
              <w:t xml:space="preserve">23,77</w:t>
            </w:r>
          </w:p>
        </w:tc>
        <w:tc>
          <w:tcPr>
            <w:tcW w:w="754" w:type="dxa"/>
            <w:vAlign w:val="center"/>
            <w:tcBorders>
              <w:top w:val="nil"/>
              <w:left w:val="nil"/>
              <w:bottom w:val="nil"/>
              <w:right w:val="nil"/>
            </w:tcBorders>
          </w:tcPr>
          <w:p>
            <w:pPr>
              <w:pStyle w:val="0"/>
              <w:jc w:val="center"/>
            </w:pPr>
            <w:r>
              <w:rPr>
                <w:sz w:val="20"/>
              </w:rPr>
              <w:t xml:space="preserve">21,98</w:t>
            </w:r>
          </w:p>
        </w:tc>
      </w:tr>
      <w:tr>
        <w:tc>
          <w:tcPr>
            <w:tcW w:w="3912" w:type="dxa"/>
            <w:tcBorders>
              <w:top w:val="nil"/>
              <w:left w:val="nil"/>
              <w:bottom w:val="single" w:sz="4"/>
              <w:right w:val="nil"/>
            </w:tcBorders>
          </w:tcPr>
          <w:p>
            <w:pPr>
              <w:pStyle w:val="0"/>
              <w:ind w:left="283"/>
            </w:pPr>
            <w:r>
              <w:rPr>
                <w:sz w:val="20"/>
              </w:rPr>
              <w:t xml:space="preserve">Доходы от прочих сборов и неналоговых платежей</w:t>
            </w:r>
          </w:p>
        </w:tc>
        <w:tc>
          <w:tcPr>
            <w:tcW w:w="749" w:type="dxa"/>
            <w:vAlign w:val="center"/>
            <w:tcBorders>
              <w:top w:val="nil"/>
              <w:left w:val="nil"/>
              <w:bottom w:val="single" w:sz="4"/>
              <w:right w:val="nil"/>
            </w:tcBorders>
          </w:tcPr>
          <w:p>
            <w:pPr>
              <w:pStyle w:val="0"/>
              <w:jc w:val="center"/>
            </w:pPr>
            <w:r>
              <w:rPr>
                <w:sz w:val="20"/>
              </w:rPr>
              <w:t xml:space="preserve">0,74</w:t>
            </w:r>
          </w:p>
        </w:tc>
        <w:tc>
          <w:tcPr>
            <w:tcW w:w="730" w:type="dxa"/>
            <w:vAlign w:val="center"/>
            <w:tcBorders>
              <w:top w:val="nil"/>
              <w:left w:val="nil"/>
              <w:bottom w:val="single" w:sz="4"/>
              <w:right w:val="nil"/>
            </w:tcBorders>
          </w:tcPr>
          <w:p>
            <w:pPr>
              <w:pStyle w:val="0"/>
              <w:jc w:val="center"/>
            </w:pPr>
            <w:r>
              <w:rPr>
                <w:sz w:val="20"/>
              </w:rPr>
              <w:t xml:space="preserve">0,79</w:t>
            </w:r>
          </w:p>
        </w:tc>
        <w:tc>
          <w:tcPr>
            <w:tcW w:w="730" w:type="dxa"/>
            <w:vAlign w:val="center"/>
            <w:tcBorders>
              <w:top w:val="nil"/>
              <w:left w:val="nil"/>
              <w:bottom w:val="single" w:sz="4"/>
              <w:right w:val="nil"/>
            </w:tcBorders>
          </w:tcPr>
          <w:p>
            <w:pPr>
              <w:pStyle w:val="0"/>
              <w:jc w:val="center"/>
            </w:pPr>
            <w:r>
              <w:rPr>
                <w:sz w:val="20"/>
              </w:rPr>
              <w:t xml:space="preserve">0,74</w:t>
            </w:r>
          </w:p>
        </w:tc>
        <w:tc>
          <w:tcPr>
            <w:tcW w:w="730" w:type="dxa"/>
            <w:vAlign w:val="center"/>
            <w:tcBorders>
              <w:top w:val="nil"/>
              <w:left w:val="nil"/>
              <w:bottom w:val="single" w:sz="4"/>
              <w:right w:val="nil"/>
            </w:tcBorders>
          </w:tcPr>
          <w:p>
            <w:pPr>
              <w:pStyle w:val="0"/>
              <w:jc w:val="center"/>
            </w:pPr>
            <w:r>
              <w:rPr>
                <w:sz w:val="20"/>
              </w:rPr>
              <w:t xml:space="preserve">0,83</w:t>
            </w:r>
          </w:p>
        </w:tc>
        <w:tc>
          <w:tcPr>
            <w:tcW w:w="730" w:type="dxa"/>
            <w:vAlign w:val="center"/>
            <w:tcBorders>
              <w:top w:val="nil"/>
              <w:left w:val="nil"/>
              <w:bottom w:val="single" w:sz="4"/>
              <w:right w:val="nil"/>
            </w:tcBorders>
          </w:tcPr>
          <w:p>
            <w:pPr>
              <w:pStyle w:val="0"/>
              <w:jc w:val="center"/>
            </w:pPr>
            <w:r>
              <w:rPr>
                <w:sz w:val="20"/>
              </w:rPr>
              <w:t xml:space="preserve">0,93</w:t>
            </w:r>
          </w:p>
        </w:tc>
        <w:tc>
          <w:tcPr>
            <w:tcW w:w="730" w:type="dxa"/>
            <w:vAlign w:val="center"/>
            <w:tcBorders>
              <w:top w:val="nil"/>
              <w:left w:val="nil"/>
              <w:bottom w:val="single" w:sz="4"/>
              <w:right w:val="nil"/>
            </w:tcBorders>
          </w:tcPr>
          <w:p>
            <w:pPr>
              <w:pStyle w:val="0"/>
              <w:jc w:val="center"/>
            </w:pPr>
            <w:r>
              <w:rPr>
                <w:sz w:val="20"/>
              </w:rPr>
              <w:t xml:space="preserve">0,88</w:t>
            </w:r>
          </w:p>
        </w:tc>
        <w:tc>
          <w:tcPr>
            <w:tcW w:w="754" w:type="dxa"/>
            <w:vAlign w:val="center"/>
            <w:tcBorders>
              <w:top w:val="nil"/>
              <w:left w:val="nil"/>
              <w:bottom w:val="single" w:sz="4"/>
              <w:right w:val="nil"/>
            </w:tcBorders>
          </w:tcPr>
          <w:p>
            <w:pPr>
              <w:pStyle w:val="0"/>
              <w:jc w:val="center"/>
            </w:pPr>
            <w:r>
              <w:rPr>
                <w:sz w:val="20"/>
              </w:rPr>
              <w:t xml:space="preserve">0,65</w:t>
            </w:r>
          </w:p>
        </w:tc>
      </w:tr>
    </w:tbl>
    <w:p>
      <w:pPr>
        <w:pStyle w:val="0"/>
        <w:jc w:val="both"/>
      </w:pPr>
      <w:r>
        <w:rPr>
          <w:sz w:val="20"/>
        </w:rPr>
      </w:r>
    </w:p>
    <w:p>
      <w:pPr>
        <w:pStyle w:val="0"/>
        <w:ind w:firstLine="540"/>
        <w:jc w:val="both"/>
      </w:pPr>
      <w:r>
        <w:rPr>
          <w:sz w:val="20"/>
        </w:rPr>
        <w:t xml:space="preserve">Источники данных: ВВП - Росстат, доходы бюджета расширенного правительства - Федеральное казначейство.</w:t>
      </w:r>
    </w:p>
    <w:p>
      <w:pPr>
        <w:pStyle w:val="0"/>
        <w:jc w:val="both"/>
      </w:pPr>
      <w:r>
        <w:rPr>
          <w:sz w:val="20"/>
        </w:rPr>
      </w:r>
    </w:p>
    <w:p>
      <w:pPr>
        <w:pStyle w:val="0"/>
        <w:ind w:firstLine="540"/>
        <w:jc w:val="both"/>
      </w:pPr>
      <w:r>
        <w:rPr>
          <w:sz w:val="20"/>
        </w:rPr>
        <w:t xml:space="preserve">Расчетный уровень налоговой нагрузки на экономику в Российской Федерации можно сопоставить с аналогичными показателями в странах - членах Организации экономического сотрудничества и развития (далее - ОЭСР) (Таблица 4). При этом стоит отметить, что величина фискальной нагрузки по странам ОЭСР не включает в себя различного рода неналоговые платежи, которые хотя и установлены законодательством, но не являются предметом регулирования законодательства о налогах и сборах, таможенных платежах или страховых взносах на обязательное государственное социальное страхование.</w:t>
      </w:r>
    </w:p>
    <w:p>
      <w:pPr>
        <w:pStyle w:val="0"/>
        <w:jc w:val="both"/>
      </w:pPr>
      <w:r>
        <w:rPr>
          <w:sz w:val="20"/>
        </w:rPr>
      </w:r>
    </w:p>
    <w:p>
      <w:pPr>
        <w:pStyle w:val="0"/>
        <w:ind w:firstLine="540"/>
        <w:jc w:val="both"/>
      </w:pPr>
      <w:r>
        <w:rPr>
          <w:sz w:val="20"/>
        </w:rPr>
        <w:t xml:space="preserve">Таблица 4. Налоговая нагрузка на экономику в странах ОЭСР в 2016 - 2021 гг.</w:t>
      </w:r>
    </w:p>
    <w:p>
      <w:pPr>
        <w:pStyle w:val="0"/>
        <w:jc w:val="both"/>
      </w:pPr>
      <w:r>
        <w:rPr>
          <w:sz w:val="20"/>
        </w:rPr>
      </w:r>
    </w:p>
    <w:p>
      <w:pPr>
        <w:pStyle w:val="0"/>
        <w:jc w:val="right"/>
      </w:pPr>
      <w:r>
        <w:rPr>
          <w:sz w:val="20"/>
        </w:rPr>
        <w:t xml:space="preserve">% ВВП</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3118"/>
        <w:gridCol w:w="964"/>
        <w:gridCol w:w="907"/>
        <w:gridCol w:w="964"/>
        <w:gridCol w:w="964"/>
        <w:gridCol w:w="907"/>
        <w:gridCol w:w="1191"/>
      </w:tblGrid>
      <w:tr>
        <w:tblPrEx>
          <w:tblBorders>
            <w:insideH w:val="single" w:sz="4"/>
          </w:tblBorders>
        </w:tblPrEx>
        <w:tc>
          <w:tcPr>
            <w:tcW w:w="3118" w:type="dxa"/>
            <w:tcBorders>
              <w:top w:val="single" w:sz="4"/>
              <w:left w:val="nil"/>
              <w:bottom w:val="single" w:sz="4"/>
              <w:right w:val="nil"/>
            </w:tcBorders>
          </w:tcPr>
          <w:p>
            <w:pPr>
              <w:pStyle w:val="0"/>
              <w:jc w:val="center"/>
            </w:pPr>
            <w:r>
              <w:rPr>
                <w:sz w:val="20"/>
              </w:rPr>
              <w:t xml:space="preserve">Страна</w:t>
            </w:r>
          </w:p>
        </w:tc>
        <w:tc>
          <w:tcPr>
            <w:tcW w:w="964" w:type="dxa"/>
            <w:tcBorders>
              <w:top w:val="single" w:sz="4"/>
              <w:left w:val="nil"/>
              <w:bottom w:val="single" w:sz="4"/>
              <w:right w:val="nil"/>
            </w:tcBorders>
          </w:tcPr>
          <w:p>
            <w:pPr>
              <w:pStyle w:val="0"/>
              <w:jc w:val="center"/>
            </w:pPr>
            <w:r>
              <w:rPr>
                <w:sz w:val="20"/>
              </w:rPr>
              <w:t xml:space="preserve">2016</w:t>
            </w:r>
          </w:p>
        </w:tc>
        <w:tc>
          <w:tcPr>
            <w:tcW w:w="907" w:type="dxa"/>
            <w:tcBorders>
              <w:top w:val="single" w:sz="4"/>
              <w:left w:val="nil"/>
              <w:bottom w:val="single" w:sz="4"/>
              <w:right w:val="nil"/>
            </w:tcBorders>
          </w:tcPr>
          <w:p>
            <w:pPr>
              <w:pStyle w:val="0"/>
              <w:jc w:val="center"/>
            </w:pPr>
            <w:r>
              <w:rPr>
                <w:sz w:val="20"/>
              </w:rPr>
              <w:t xml:space="preserve">2017</w:t>
            </w:r>
          </w:p>
        </w:tc>
        <w:tc>
          <w:tcPr>
            <w:tcW w:w="964" w:type="dxa"/>
            <w:tcBorders>
              <w:top w:val="single" w:sz="4"/>
              <w:left w:val="nil"/>
              <w:bottom w:val="single" w:sz="4"/>
              <w:right w:val="nil"/>
            </w:tcBorders>
          </w:tcPr>
          <w:p>
            <w:pPr>
              <w:pStyle w:val="0"/>
              <w:jc w:val="center"/>
            </w:pPr>
            <w:r>
              <w:rPr>
                <w:sz w:val="20"/>
              </w:rPr>
              <w:t xml:space="preserve">2018</w:t>
            </w:r>
          </w:p>
        </w:tc>
        <w:tc>
          <w:tcPr>
            <w:tcW w:w="964" w:type="dxa"/>
            <w:tcBorders>
              <w:top w:val="single" w:sz="4"/>
              <w:left w:val="nil"/>
              <w:bottom w:val="single" w:sz="4"/>
              <w:right w:val="nil"/>
            </w:tcBorders>
          </w:tcPr>
          <w:p>
            <w:pPr>
              <w:pStyle w:val="0"/>
              <w:jc w:val="center"/>
            </w:pPr>
            <w:r>
              <w:rPr>
                <w:sz w:val="20"/>
              </w:rPr>
              <w:t xml:space="preserve">2019</w:t>
            </w:r>
          </w:p>
        </w:tc>
        <w:tc>
          <w:tcPr>
            <w:tcW w:w="907" w:type="dxa"/>
            <w:tcBorders>
              <w:top w:val="single" w:sz="4"/>
              <w:left w:val="nil"/>
              <w:bottom w:val="single" w:sz="4"/>
              <w:right w:val="nil"/>
            </w:tcBorders>
          </w:tcPr>
          <w:p>
            <w:pPr>
              <w:pStyle w:val="0"/>
              <w:jc w:val="center"/>
            </w:pPr>
            <w:r>
              <w:rPr>
                <w:sz w:val="20"/>
              </w:rPr>
              <w:t xml:space="preserve">2020</w:t>
            </w:r>
          </w:p>
        </w:tc>
        <w:tc>
          <w:tcPr>
            <w:tcW w:w="1191" w:type="dxa"/>
            <w:tcBorders>
              <w:top w:val="single" w:sz="4"/>
              <w:left w:val="nil"/>
              <w:bottom w:val="single" w:sz="4"/>
              <w:right w:val="nil"/>
            </w:tcBorders>
          </w:tcPr>
          <w:p>
            <w:pPr>
              <w:pStyle w:val="0"/>
              <w:jc w:val="center"/>
            </w:pPr>
            <w:r>
              <w:rPr>
                <w:sz w:val="20"/>
              </w:rPr>
              <w:t xml:space="preserve">2021 (оценка)</w:t>
            </w:r>
          </w:p>
        </w:tc>
      </w:tr>
      <w:tr>
        <w:tc>
          <w:tcPr>
            <w:tcW w:w="3118" w:type="dxa"/>
            <w:tcBorders>
              <w:top w:val="single" w:sz="4"/>
              <w:left w:val="nil"/>
              <w:bottom w:val="nil"/>
              <w:right w:val="nil"/>
            </w:tcBorders>
          </w:tcPr>
          <w:p>
            <w:pPr>
              <w:pStyle w:val="0"/>
            </w:pPr>
            <w:r>
              <w:rPr>
                <w:sz w:val="20"/>
              </w:rPr>
              <w:t xml:space="preserve">Австралия</w:t>
            </w:r>
          </w:p>
        </w:tc>
        <w:tc>
          <w:tcPr>
            <w:tcW w:w="964" w:type="dxa"/>
            <w:vAlign w:val="center"/>
            <w:tcBorders>
              <w:top w:val="single" w:sz="4"/>
              <w:left w:val="nil"/>
              <w:bottom w:val="nil"/>
              <w:right w:val="nil"/>
            </w:tcBorders>
          </w:tcPr>
          <w:p>
            <w:pPr>
              <w:pStyle w:val="0"/>
              <w:jc w:val="center"/>
            </w:pPr>
            <w:r>
              <w:rPr>
                <w:sz w:val="20"/>
              </w:rPr>
              <w:t xml:space="preserve">27,60</w:t>
            </w:r>
          </w:p>
        </w:tc>
        <w:tc>
          <w:tcPr>
            <w:tcW w:w="907" w:type="dxa"/>
            <w:vAlign w:val="center"/>
            <w:tcBorders>
              <w:top w:val="single" w:sz="4"/>
              <w:left w:val="nil"/>
              <w:bottom w:val="nil"/>
              <w:right w:val="nil"/>
            </w:tcBorders>
          </w:tcPr>
          <w:p>
            <w:pPr>
              <w:pStyle w:val="0"/>
              <w:jc w:val="center"/>
            </w:pPr>
            <w:r>
              <w:rPr>
                <w:sz w:val="20"/>
              </w:rPr>
              <w:t xml:space="preserve">28,50</w:t>
            </w:r>
          </w:p>
        </w:tc>
        <w:tc>
          <w:tcPr>
            <w:tcW w:w="964" w:type="dxa"/>
            <w:vAlign w:val="center"/>
            <w:tcBorders>
              <w:top w:val="single" w:sz="4"/>
              <w:left w:val="nil"/>
              <w:bottom w:val="nil"/>
              <w:right w:val="nil"/>
            </w:tcBorders>
          </w:tcPr>
          <w:p>
            <w:pPr>
              <w:pStyle w:val="0"/>
              <w:jc w:val="center"/>
            </w:pPr>
            <w:r>
              <w:rPr>
                <w:sz w:val="20"/>
              </w:rPr>
              <w:t xml:space="preserve">28,53</w:t>
            </w:r>
          </w:p>
        </w:tc>
        <w:tc>
          <w:tcPr>
            <w:tcW w:w="964" w:type="dxa"/>
            <w:vAlign w:val="center"/>
            <w:tcBorders>
              <w:top w:val="single" w:sz="4"/>
              <w:left w:val="nil"/>
              <w:bottom w:val="nil"/>
              <w:right w:val="nil"/>
            </w:tcBorders>
          </w:tcPr>
          <w:p>
            <w:pPr>
              <w:pStyle w:val="0"/>
              <w:jc w:val="center"/>
            </w:pPr>
            <w:r>
              <w:rPr>
                <w:sz w:val="20"/>
              </w:rPr>
              <w:t xml:space="preserve">27,67</w:t>
            </w:r>
          </w:p>
        </w:tc>
        <w:tc>
          <w:tcPr>
            <w:tcW w:w="907" w:type="dxa"/>
            <w:vAlign w:val="center"/>
            <w:tcBorders>
              <w:top w:val="single" w:sz="4"/>
              <w:left w:val="nil"/>
              <w:bottom w:val="nil"/>
              <w:right w:val="nil"/>
            </w:tcBorders>
          </w:tcPr>
          <w:p>
            <w:pPr>
              <w:pStyle w:val="0"/>
              <w:jc w:val="center"/>
            </w:pPr>
            <w:r>
              <w:rPr>
                <w:sz w:val="20"/>
              </w:rPr>
              <w:t xml:space="preserve">28,55</w:t>
            </w:r>
          </w:p>
        </w:tc>
        <w:tc>
          <w:tcPr>
            <w:tcW w:w="1191" w:type="dxa"/>
            <w:vAlign w:val="center"/>
            <w:tcBorders>
              <w:top w:val="single" w:sz="4"/>
              <w:left w:val="nil"/>
              <w:bottom w:val="nil"/>
              <w:right w:val="nil"/>
            </w:tcBorders>
          </w:tcPr>
          <w:p>
            <w:pPr>
              <w:pStyle w:val="0"/>
              <w:jc w:val="center"/>
            </w:pPr>
            <w:r>
              <w:rPr>
                <w:sz w:val="20"/>
              </w:rPr>
              <w:t xml:space="preserve">н.д.</w:t>
            </w:r>
          </w:p>
        </w:tc>
      </w:tr>
      <w:tr>
        <w:tc>
          <w:tcPr>
            <w:tcW w:w="3118" w:type="dxa"/>
            <w:tcBorders>
              <w:top w:val="nil"/>
              <w:left w:val="nil"/>
              <w:bottom w:val="nil"/>
              <w:right w:val="nil"/>
            </w:tcBorders>
          </w:tcPr>
          <w:p>
            <w:pPr>
              <w:pStyle w:val="0"/>
            </w:pPr>
            <w:r>
              <w:rPr>
                <w:sz w:val="20"/>
              </w:rPr>
              <w:t xml:space="preserve">Австрия</w:t>
            </w:r>
          </w:p>
        </w:tc>
        <w:tc>
          <w:tcPr>
            <w:tcW w:w="964" w:type="dxa"/>
            <w:vAlign w:val="center"/>
            <w:tcBorders>
              <w:top w:val="nil"/>
              <w:left w:val="nil"/>
              <w:bottom w:val="nil"/>
              <w:right w:val="nil"/>
            </w:tcBorders>
          </w:tcPr>
          <w:p>
            <w:pPr>
              <w:pStyle w:val="0"/>
              <w:jc w:val="center"/>
            </w:pPr>
            <w:r>
              <w:rPr>
                <w:sz w:val="20"/>
              </w:rPr>
              <w:t xml:space="preserve">41,91</w:t>
            </w:r>
          </w:p>
        </w:tc>
        <w:tc>
          <w:tcPr>
            <w:tcW w:w="907" w:type="dxa"/>
            <w:vAlign w:val="center"/>
            <w:tcBorders>
              <w:top w:val="nil"/>
              <w:left w:val="nil"/>
              <w:bottom w:val="nil"/>
              <w:right w:val="nil"/>
            </w:tcBorders>
          </w:tcPr>
          <w:p>
            <w:pPr>
              <w:pStyle w:val="0"/>
              <w:jc w:val="center"/>
            </w:pPr>
            <w:r>
              <w:rPr>
                <w:sz w:val="20"/>
              </w:rPr>
              <w:t xml:space="preserve">41,76</w:t>
            </w:r>
          </w:p>
        </w:tc>
        <w:tc>
          <w:tcPr>
            <w:tcW w:w="964" w:type="dxa"/>
            <w:vAlign w:val="center"/>
            <w:tcBorders>
              <w:top w:val="nil"/>
              <w:left w:val="nil"/>
              <w:bottom w:val="nil"/>
              <w:right w:val="nil"/>
            </w:tcBorders>
          </w:tcPr>
          <w:p>
            <w:pPr>
              <w:pStyle w:val="0"/>
              <w:jc w:val="center"/>
            </w:pPr>
            <w:r>
              <w:rPr>
                <w:sz w:val="20"/>
              </w:rPr>
              <w:t xml:space="preserve">42,25</w:t>
            </w:r>
          </w:p>
        </w:tc>
        <w:tc>
          <w:tcPr>
            <w:tcW w:w="964" w:type="dxa"/>
            <w:vAlign w:val="center"/>
            <w:tcBorders>
              <w:top w:val="nil"/>
              <w:left w:val="nil"/>
              <w:bottom w:val="nil"/>
              <w:right w:val="nil"/>
            </w:tcBorders>
          </w:tcPr>
          <w:p>
            <w:pPr>
              <w:pStyle w:val="0"/>
              <w:jc w:val="center"/>
            </w:pPr>
            <w:r>
              <w:rPr>
                <w:sz w:val="20"/>
              </w:rPr>
              <w:t xml:space="preserve">42,56</w:t>
            </w:r>
          </w:p>
        </w:tc>
        <w:tc>
          <w:tcPr>
            <w:tcW w:w="907" w:type="dxa"/>
            <w:vAlign w:val="center"/>
            <w:tcBorders>
              <w:top w:val="nil"/>
              <w:left w:val="nil"/>
              <w:bottom w:val="nil"/>
              <w:right w:val="nil"/>
            </w:tcBorders>
          </w:tcPr>
          <w:p>
            <w:pPr>
              <w:pStyle w:val="0"/>
              <w:jc w:val="center"/>
            </w:pPr>
            <w:r>
              <w:rPr>
                <w:sz w:val="20"/>
              </w:rPr>
              <w:t xml:space="preserve">42,23</w:t>
            </w:r>
          </w:p>
        </w:tc>
        <w:tc>
          <w:tcPr>
            <w:tcW w:w="1191" w:type="dxa"/>
            <w:vAlign w:val="center"/>
            <w:tcBorders>
              <w:top w:val="nil"/>
              <w:left w:val="nil"/>
              <w:bottom w:val="nil"/>
              <w:right w:val="nil"/>
            </w:tcBorders>
          </w:tcPr>
          <w:p>
            <w:pPr>
              <w:pStyle w:val="0"/>
              <w:jc w:val="center"/>
            </w:pPr>
            <w:r>
              <w:rPr>
                <w:sz w:val="20"/>
              </w:rPr>
              <w:t xml:space="preserve">43,46</w:t>
            </w:r>
          </w:p>
        </w:tc>
      </w:tr>
      <w:tr>
        <w:tc>
          <w:tcPr>
            <w:tcW w:w="3118" w:type="dxa"/>
            <w:tcBorders>
              <w:top w:val="nil"/>
              <w:left w:val="nil"/>
              <w:bottom w:val="nil"/>
              <w:right w:val="nil"/>
            </w:tcBorders>
          </w:tcPr>
          <w:p>
            <w:pPr>
              <w:pStyle w:val="0"/>
            </w:pPr>
            <w:r>
              <w:rPr>
                <w:sz w:val="20"/>
              </w:rPr>
              <w:t xml:space="preserve">Бельгия</w:t>
            </w:r>
          </w:p>
        </w:tc>
        <w:tc>
          <w:tcPr>
            <w:tcW w:w="964" w:type="dxa"/>
            <w:vAlign w:val="center"/>
            <w:tcBorders>
              <w:top w:val="nil"/>
              <w:left w:val="nil"/>
              <w:bottom w:val="nil"/>
              <w:right w:val="nil"/>
            </w:tcBorders>
          </w:tcPr>
          <w:p>
            <w:pPr>
              <w:pStyle w:val="0"/>
              <w:jc w:val="center"/>
            </w:pPr>
            <w:r>
              <w:rPr>
                <w:sz w:val="20"/>
              </w:rPr>
              <w:t xml:space="preserve">43,88</w:t>
            </w:r>
          </w:p>
        </w:tc>
        <w:tc>
          <w:tcPr>
            <w:tcW w:w="907" w:type="dxa"/>
            <w:vAlign w:val="center"/>
            <w:tcBorders>
              <w:top w:val="nil"/>
              <w:left w:val="nil"/>
              <w:bottom w:val="nil"/>
              <w:right w:val="nil"/>
            </w:tcBorders>
          </w:tcPr>
          <w:p>
            <w:pPr>
              <w:pStyle w:val="0"/>
              <w:jc w:val="center"/>
            </w:pPr>
            <w:r>
              <w:rPr>
                <w:sz w:val="20"/>
              </w:rPr>
              <w:t xml:space="preserve">43,80</w:t>
            </w:r>
          </w:p>
        </w:tc>
        <w:tc>
          <w:tcPr>
            <w:tcW w:w="964" w:type="dxa"/>
            <w:vAlign w:val="center"/>
            <w:tcBorders>
              <w:top w:val="nil"/>
              <w:left w:val="nil"/>
              <w:bottom w:val="nil"/>
              <w:right w:val="nil"/>
            </w:tcBorders>
          </w:tcPr>
          <w:p>
            <w:pPr>
              <w:pStyle w:val="0"/>
              <w:jc w:val="center"/>
            </w:pPr>
            <w:r>
              <w:rPr>
                <w:sz w:val="20"/>
              </w:rPr>
              <w:t xml:space="preserve">43,87</w:t>
            </w:r>
          </w:p>
        </w:tc>
        <w:tc>
          <w:tcPr>
            <w:tcW w:w="964" w:type="dxa"/>
            <w:vAlign w:val="center"/>
            <w:tcBorders>
              <w:top w:val="nil"/>
              <w:left w:val="nil"/>
              <w:bottom w:val="nil"/>
              <w:right w:val="nil"/>
            </w:tcBorders>
          </w:tcPr>
          <w:p>
            <w:pPr>
              <w:pStyle w:val="0"/>
              <w:jc w:val="center"/>
            </w:pPr>
            <w:r>
              <w:rPr>
                <w:sz w:val="20"/>
              </w:rPr>
              <w:t xml:space="preserve">42,70</w:t>
            </w:r>
          </w:p>
        </w:tc>
        <w:tc>
          <w:tcPr>
            <w:tcW w:w="907" w:type="dxa"/>
            <w:vAlign w:val="center"/>
            <w:tcBorders>
              <w:top w:val="nil"/>
              <w:left w:val="nil"/>
              <w:bottom w:val="nil"/>
              <w:right w:val="nil"/>
            </w:tcBorders>
          </w:tcPr>
          <w:p>
            <w:pPr>
              <w:pStyle w:val="0"/>
              <w:jc w:val="center"/>
            </w:pPr>
            <w:r>
              <w:rPr>
                <w:sz w:val="20"/>
              </w:rPr>
              <w:t xml:space="preserve">42,49</w:t>
            </w:r>
          </w:p>
        </w:tc>
        <w:tc>
          <w:tcPr>
            <w:tcW w:w="1191" w:type="dxa"/>
            <w:vAlign w:val="center"/>
            <w:tcBorders>
              <w:top w:val="nil"/>
              <w:left w:val="nil"/>
              <w:bottom w:val="nil"/>
              <w:right w:val="nil"/>
            </w:tcBorders>
          </w:tcPr>
          <w:p>
            <w:pPr>
              <w:pStyle w:val="0"/>
              <w:jc w:val="center"/>
            </w:pPr>
            <w:r>
              <w:rPr>
                <w:sz w:val="20"/>
              </w:rPr>
              <w:t xml:space="preserve">42,02</w:t>
            </w:r>
          </w:p>
        </w:tc>
      </w:tr>
      <w:tr>
        <w:tc>
          <w:tcPr>
            <w:tcW w:w="3118" w:type="dxa"/>
            <w:tcBorders>
              <w:top w:val="nil"/>
              <w:left w:val="nil"/>
              <w:bottom w:val="nil"/>
              <w:right w:val="nil"/>
            </w:tcBorders>
          </w:tcPr>
          <w:p>
            <w:pPr>
              <w:pStyle w:val="0"/>
            </w:pPr>
            <w:r>
              <w:rPr>
                <w:sz w:val="20"/>
              </w:rPr>
              <w:t xml:space="preserve">Великобритания</w:t>
            </w:r>
          </w:p>
        </w:tc>
        <w:tc>
          <w:tcPr>
            <w:tcW w:w="964" w:type="dxa"/>
            <w:vAlign w:val="center"/>
            <w:tcBorders>
              <w:top w:val="nil"/>
              <w:left w:val="nil"/>
              <w:bottom w:val="nil"/>
              <w:right w:val="nil"/>
            </w:tcBorders>
          </w:tcPr>
          <w:p>
            <w:pPr>
              <w:pStyle w:val="0"/>
              <w:jc w:val="center"/>
            </w:pPr>
            <w:r>
              <w:rPr>
                <w:sz w:val="20"/>
              </w:rPr>
              <w:t xml:space="preserve">32,73</w:t>
            </w:r>
          </w:p>
        </w:tc>
        <w:tc>
          <w:tcPr>
            <w:tcW w:w="907" w:type="dxa"/>
            <w:vAlign w:val="center"/>
            <w:tcBorders>
              <w:top w:val="nil"/>
              <w:left w:val="nil"/>
              <w:bottom w:val="nil"/>
              <w:right w:val="nil"/>
            </w:tcBorders>
          </w:tcPr>
          <w:p>
            <w:pPr>
              <w:pStyle w:val="0"/>
              <w:jc w:val="center"/>
            </w:pPr>
            <w:r>
              <w:rPr>
                <w:sz w:val="20"/>
              </w:rPr>
              <w:t xml:space="preserve">32,83</w:t>
            </w:r>
          </w:p>
        </w:tc>
        <w:tc>
          <w:tcPr>
            <w:tcW w:w="964" w:type="dxa"/>
            <w:vAlign w:val="center"/>
            <w:tcBorders>
              <w:top w:val="nil"/>
              <w:left w:val="nil"/>
              <w:bottom w:val="nil"/>
              <w:right w:val="nil"/>
            </w:tcBorders>
          </w:tcPr>
          <w:p>
            <w:pPr>
              <w:pStyle w:val="0"/>
              <w:jc w:val="center"/>
            </w:pPr>
            <w:r>
              <w:rPr>
                <w:sz w:val="20"/>
              </w:rPr>
              <w:t xml:space="preserve">32,89</w:t>
            </w:r>
          </w:p>
        </w:tc>
        <w:tc>
          <w:tcPr>
            <w:tcW w:w="964" w:type="dxa"/>
            <w:vAlign w:val="center"/>
            <w:tcBorders>
              <w:top w:val="nil"/>
              <w:left w:val="nil"/>
              <w:bottom w:val="nil"/>
              <w:right w:val="nil"/>
            </w:tcBorders>
          </w:tcPr>
          <w:p>
            <w:pPr>
              <w:pStyle w:val="0"/>
              <w:jc w:val="center"/>
            </w:pPr>
            <w:r>
              <w:rPr>
                <w:sz w:val="20"/>
              </w:rPr>
              <w:t xml:space="preserve">32,72</w:t>
            </w:r>
          </w:p>
        </w:tc>
        <w:tc>
          <w:tcPr>
            <w:tcW w:w="907" w:type="dxa"/>
            <w:vAlign w:val="center"/>
            <w:tcBorders>
              <w:top w:val="nil"/>
              <w:left w:val="nil"/>
              <w:bottom w:val="nil"/>
              <w:right w:val="nil"/>
            </w:tcBorders>
          </w:tcPr>
          <w:p>
            <w:pPr>
              <w:pStyle w:val="0"/>
              <w:jc w:val="center"/>
            </w:pPr>
            <w:r>
              <w:rPr>
                <w:sz w:val="20"/>
              </w:rPr>
              <w:t xml:space="preserve">32,11</w:t>
            </w:r>
          </w:p>
        </w:tc>
        <w:tc>
          <w:tcPr>
            <w:tcW w:w="1191" w:type="dxa"/>
            <w:vAlign w:val="center"/>
            <w:tcBorders>
              <w:top w:val="nil"/>
              <w:left w:val="nil"/>
              <w:bottom w:val="nil"/>
              <w:right w:val="nil"/>
            </w:tcBorders>
          </w:tcPr>
          <w:p>
            <w:pPr>
              <w:pStyle w:val="0"/>
              <w:jc w:val="center"/>
            </w:pPr>
            <w:r>
              <w:rPr>
                <w:sz w:val="20"/>
              </w:rPr>
              <w:t xml:space="preserve">33,48</w:t>
            </w:r>
          </w:p>
        </w:tc>
      </w:tr>
      <w:tr>
        <w:tc>
          <w:tcPr>
            <w:tcW w:w="3118" w:type="dxa"/>
            <w:tcBorders>
              <w:top w:val="nil"/>
              <w:left w:val="nil"/>
              <w:bottom w:val="nil"/>
              <w:right w:val="nil"/>
            </w:tcBorders>
          </w:tcPr>
          <w:p>
            <w:pPr>
              <w:pStyle w:val="0"/>
            </w:pPr>
            <w:r>
              <w:rPr>
                <w:sz w:val="20"/>
              </w:rPr>
              <w:t xml:space="preserve">Венгрия</w:t>
            </w:r>
          </w:p>
        </w:tc>
        <w:tc>
          <w:tcPr>
            <w:tcW w:w="964" w:type="dxa"/>
            <w:vAlign w:val="center"/>
            <w:tcBorders>
              <w:top w:val="nil"/>
              <w:left w:val="nil"/>
              <w:bottom w:val="nil"/>
              <w:right w:val="nil"/>
            </w:tcBorders>
          </w:tcPr>
          <w:p>
            <w:pPr>
              <w:pStyle w:val="0"/>
              <w:jc w:val="center"/>
            </w:pPr>
            <w:r>
              <w:rPr>
                <w:sz w:val="20"/>
              </w:rPr>
              <w:t xml:space="preserve">39,15</w:t>
            </w:r>
          </w:p>
        </w:tc>
        <w:tc>
          <w:tcPr>
            <w:tcW w:w="907" w:type="dxa"/>
            <w:vAlign w:val="center"/>
            <w:tcBorders>
              <w:top w:val="nil"/>
              <w:left w:val="nil"/>
              <w:bottom w:val="nil"/>
              <w:right w:val="nil"/>
            </w:tcBorders>
          </w:tcPr>
          <w:p>
            <w:pPr>
              <w:pStyle w:val="0"/>
              <w:jc w:val="center"/>
            </w:pPr>
            <w:r>
              <w:rPr>
                <w:sz w:val="20"/>
              </w:rPr>
              <w:t xml:space="preserve">38,28</w:t>
            </w:r>
          </w:p>
        </w:tc>
        <w:tc>
          <w:tcPr>
            <w:tcW w:w="964" w:type="dxa"/>
            <w:vAlign w:val="center"/>
            <w:tcBorders>
              <w:top w:val="nil"/>
              <w:left w:val="nil"/>
              <w:bottom w:val="nil"/>
              <w:right w:val="nil"/>
            </w:tcBorders>
          </w:tcPr>
          <w:p>
            <w:pPr>
              <w:pStyle w:val="0"/>
              <w:jc w:val="center"/>
            </w:pPr>
            <w:r>
              <w:rPr>
                <w:sz w:val="20"/>
              </w:rPr>
              <w:t xml:space="preserve">36,82</w:t>
            </w:r>
          </w:p>
        </w:tc>
        <w:tc>
          <w:tcPr>
            <w:tcW w:w="964" w:type="dxa"/>
            <w:vAlign w:val="center"/>
            <w:tcBorders>
              <w:top w:val="nil"/>
              <w:left w:val="nil"/>
              <w:bottom w:val="nil"/>
              <w:right w:val="nil"/>
            </w:tcBorders>
          </w:tcPr>
          <w:p>
            <w:pPr>
              <w:pStyle w:val="0"/>
              <w:jc w:val="center"/>
            </w:pPr>
            <w:r>
              <w:rPr>
                <w:sz w:val="20"/>
              </w:rPr>
              <w:t xml:space="preserve">36,46</w:t>
            </w:r>
          </w:p>
        </w:tc>
        <w:tc>
          <w:tcPr>
            <w:tcW w:w="907" w:type="dxa"/>
            <w:vAlign w:val="center"/>
            <w:tcBorders>
              <w:top w:val="nil"/>
              <w:left w:val="nil"/>
              <w:bottom w:val="nil"/>
              <w:right w:val="nil"/>
            </w:tcBorders>
          </w:tcPr>
          <w:p>
            <w:pPr>
              <w:pStyle w:val="0"/>
              <w:jc w:val="center"/>
            </w:pPr>
            <w:r>
              <w:rPr>
                <w:sz w:val="20"/>
              </w:rPr>
              <w:t xml:space="preserve">36,10</w:t>
            </w:r>
          </w:p>
        </w:tc>
        <w:tc>
          <w:tcPr>
            <w:tcW w:w="1191" w:type="dxa"/>
            <w:vAlign w:val="center"/>
            <w:tcBorders>
              <w:top w:val="nil"/>
              <w:left w:val="nil"/>
              <w:bottom w:val="nil"/>
              <w:right w:val="nil"/>
            </w:tcBorders>
          </w:tcPr>
          <w:p>
            <w:pPr>
              <w:pStyle w:val="0"/>
              <w:jc w:val="center"/>
            </w:pPr>
            <w:r>
              <w:rPr>
                <w:sz w:val="20"/>
              </w:rPr>
              <w:t xml:space="preserve">34,00</w:t>
            </w:r>
          </w:p>
        </w:tc>
      </w:tr>
      <w:tr>
        <w:tc>
          <w:tcPr>
            <w:tcW w:w="3118" w:type="dxa"/>
            <w:tcBorders>
              <w:top w:val="nil"/>
              <w:left w:val="nil"/>
              <w:bottom w:val="nil"/>
              <w:right w:val="nil"/>
            </w:tcBorders>
          </w:tcPr>
          <w:p>
            <w:pPr>
              <w:pStyle w:val="0"/>
            </w:pPr>
            <w:r>
              <w:rPr>
                <w:sz w:val="20"/>
              </w:rPr>
              <w:t xml:space="preserve">Германия</w:t>
            </w:r>
          </w:p>
        </w:tc>
        <w:tc>
          <w:tcPr>
            <w:tcW w:w="964" w:type="dxa"/>
            <w:vAlign w:val="center"/>
            <w:tcBorders>
              <w:top w:val="nil"/>
              <w:left w:val="nil"/>
              <w:bottom w:val="nil"/>
              <w:right w:val="nil"/>
            </w:tcBorders>
          </w:tcPr>
          <w:p>
            <w:pPr>
              <w:pStyle w:val="0"/>
              <w:jc w:val="center"/>
            </w:pPr>
            <w:r>
              <w:rPr>
                <w:sz w:val="20"/>
              </w:rPr>
              <w:t xml:space="preserve">37,42</w:t>
            </w:r>
          </w:p>
        </w:tc>
        <w:tc>
          <w:tcPr>
            <w:tcW w:w="907" w:type="dxa"/>
            <w:vAlign w:val="center"/>
            <w:tcBorders>
              <w:top w:val="nil"/>
              <w:left w:val="nil"/>
              <w:bottom w:val="nil"/>
              <w:right w:val="nil"/>
            </w:tcBorders>
          </w:tcPr>
          <w:p>
            <w:pPr>
              <w:pStyle w:val="0"/>
              <w:jc w:val="center"/>
            </w:pPr>
            <w:r>
              <w:rPr>
                <w:sz w:val="20"/>
              </w:rPr>
              <w:t xml:space="preserve">37,79</w:t>
            </w:r>
          </w:p>
        </w:tc>
        <w:tc>
          <w:tcPr>
            <w:tcW w:w="964" w:type="dxa"/>
            <w:vAlign w:val="center"/>
            <w:tcBorders>
              <w:top w:val="nil"/>
              <w:left w:val="nil"/>
              <w:bottom w:val="nil"/>
              <w:right w:val="nil"/>
            </w:tcBorders>
          </w:tcPr>
          <w:p>
            <w:pPr>
              <w:pStyle w:val="0"/>
              <w:jc w:val="center"/>
            </w:pPr>
            <w:r>
              <w:rPr>
                <w:sz w:val="20"/>
              </w:rPr>
              <w:t xml:space="preserve">38,43</w:t>
            </w:r>
          </w:p>
        </w:tc>
        <w:tc>
          <w:tcPr>
            <w:tcW w:w="964" w:type="dxa"/>
            <w:vAlign w:val="center"/>
            <w:tcBorders>
              <w:top w:val="nil"/>
              <w:left w:val="nil"/>
              <w:bottom w:val="nil"/>
              <w:right w:val="nil"/>
            </w:tcBorders>
          </w:tcPr>
          <w:p>
            <w:pPr>
              <w:pStyle w:val="0"/>
              <w:jc w:val="center"/>
            </w:pPr>
            <w:r>
              <w:rPr>
                <w:sz w:val="20"/>
              </w:rPr>
              <w:t xml:space="preserve">38,62</w:t>
            </w:r>
          </w:p>
        </w:tc>
        <w:tc>
          <w:tcPr>
            <w:tcW w:w="907" w:type="dxa"/>
            <w:vAlign w:val="center"/>
            <w:tcBorders>
              <w:top w:val="nil"/>
              <w:left w:val="nil"/>
              <w:bottom w:val="nil"/>
              <w:right w:val="nil"/>
            </w:tcBorders>
          </w:tcPr>
          <w:p>
            <w:pPr>
              <w:pStyle w:val="0"/>
              <w:jc w:val="center"/>
            </w:pPr>
            <w:r>
              <w:rPr>
                <w:sz w:val="20"/>
              </w:rPr>
              <w:t xml:space="preserve">37,91</w:t>
            </w:r>
          </w:p>
        </w:tc>
        <w:tc>
          <w:tcPr>
            <w:tcW w:w="1191" w:type="dxa"/>
            <w:vAlign w:val="center"/>
            <w:tcBorders>
              <w:top w:val="nil"/>
              <w:left w:val="nil"/>
              <w:bottom w:val="nil"/>
              <w:right w:val="nil"/>
            </w:tcBorders>
          </w:tcPr>
          <w:p>
            <w:pPr>
              <w:pStyle w:val="0"/>
              <w:jc w:val="center"/>
            </w:pPr>
            <w:r>
              <w:rPr>
                <w:sz w:val="20"/>
              </w:rPr>
              <w:t xml:space="preserve">39,51</w:t>
            </w:r>
          </w:p>
        </w:tc>
      </w:tr>
      <w:tr>
        <w:tc>
          <w:tcPr>
            <w:tcW w:w="3118" w:type="dxa"/>
            <w:tcBorders>
              <w:top w:val="nil"/>
              <w:left w:val="nil"/>
              <w:bottom w:val="nil"/>
              <w:right w:val="nil"/>
            </w:tcBorders>
          </w:tcPr>
          <w:p>
            <w:pPr>
              <w:pStyle w:val="0"/>
            </w:pPr>
            <w:r>
              <w:rPr>
                <w:sz w:val="20"/>
              </w:rPr>
              <w:t xml:space="preserve">Голландия</w:t>
            </w:r>
          </w:p>
        </w:tc>
        <w:tc>
          <w:tcPr>
            <w:tcW w:w="964" w:type="dxa"/>
            <w:vAlign w:val="center"/>
            <w:tcBorders>
              <w:top w:val="nil"/>
              <w:left w:val="nil"/>
              <w:bottom w:val="nil"/>
              <w:right w:val="nil"/>
            </w:tcBorders>
          </w:tcPr>
          <w:p>
            <w:pPr>
              <w:pStyle w:val="0"/>
              <w:jc w:val="center"/>
            </w:pPr>
            <w:r>
              <w:rPr>
                <w:sz w:val="20"/>
              </w:rPr>
              <w:t xml:space="preserve">38,40</w:t>
            </w:r>
          </w:p>
        </w:tc>
        <w:tc>
          <w:tcPr>
            <w:tcW w:w="907" w:type="dxa"/>
            <w:vAlign w:val="center"/>
            <w:tcBorders>
              <w:top w:val="nil"/>
              <w:left w:val="nil"/>
              <w:bottom w:val="nil"/>
              <w:right w:val="nil"/>
            </w:tcBorders>
          </w:tcPr>
          <w:p>
            <w:pPr>
              <w:pStyle w:val="0"/>
              <w:jc w:val="center"/>
            </w:pPr>
            <w:r>
              <w:rPr>
                <w:sz w:val="20"/>
              </w:rPr>
              <w:t xml:space="preserve">38,70</w:t>
            </w:r>
          </w:p>
        </w:tc>
        <w:tc>
          <w:tcPr>
            <w:tcW w:w="964" w:type="dxa"/>
            <w:vAlign w:val="center"/>
            <w:tcBorders>
              <w:top w:val="nil"/>
              <w:left w:val="nil"/>
              <w:bottom w:val="nil"/>
              <w:right w:val="nil"/>
            </w:tcBorders>
          </w:tcPr>
          <w:p>
            <w:pPr>
              <w:pStyle w:val="0"/>
              <w:jc w:val="center"/>
            </w:pPr>
            <w:r>
              <w:rPr>
                <w:sz w:val="20"/>
              </w:rPr>
              <w:t xml:space="preserve">38,80</w:t>
            </w:r>
          </w:p>
        </w:tc>
        <w:tc>
          <w:tcPr>
            <w:tcW w:w="964" w:type="dxa"/>
            <w:vAlign w:val="center"/>
            <w:tcBorders>
              <w:top w:val="nil"/>
              <w:left w:val="nil"/>
              <w:bottom w:val="nil"/>
              <w:right w:val="nil"/>
            </w:tcBorders>
          </w:tcPr>
          <w:p>
            <w:pPr>
              <w:pStyle w:val="0"/>
              <w:jc w:val="center"/>
            </w:pPr>
            <w:r>
              <w:rPr>
                <w:sz w:val="20"/>
              </w:rPr>
              <w:t xml:space="preserve">39,26</w:t>
            </w:r>
          </w:p>
        </w:tc>
        <w:tc>
          <w:tcPr>
            <w:tcW w:w="907" w:type="dxa"/>
            <w:vAlign w:val="center"/>
            <w:tcBorders>
              <w:top w:val="nil"/>
              <w:left w:val="nil"/>
              <w:bottom w:val="nil"/>
              <w:right w:val="nil"/>
            </w:tcBorders>
          </w:tcPr>
          <w:p>
            <w:pPr>
              <w:pStyle w:val="0"/>
              <w:jc w:val="center"/>
            </w:pPr>
            <w:r>
              <w:rPr>
                <w:sz w:val="20"/>
              </w:rPr>
              <w:t xml:space="preserve">40,00</w:t>
            </w:r>
          </w:p>
        </w:tc>
        <w:tc>
          <w:tcPr>
            <w:tcW w:w="1191" w:type="dxa"/>
            <w:vAlign w:val="center"/>
            <w:tcBorders>
              <w:top w:val="nil"/>
              <w:left w:val="nil"/>
              <w:bottom w:val="nil"/>
              <w:right w:val="nil"/>
            </w:tcBorders>
          </w:tcPr>
          <w:p>
            <w:pPr>
              <w:pStyle w:val="0"/>
              <w:jc w:val="center"/>
            </w:pPr>
            <w:r>
              <w:rPr>
                <w:sz w:val="20"/>
              </w:rPr>
              <w:t xml:space="preserve">39,70</w:t>
            </w:r>
          </w:p>
        </w:tc>
      </w:tr>
      <w:tr>
        <w:tc>
          <w:tcPr>
            <w:tcW w:w="3118" w:type="dxa"/>
            <w:tcBorders>
              <w:top w:val="nil"/>
              <w:left w:val="nil"/>
              <w:bottom w:val="nil"/>
              <w:right w:val="nil"/>
            </w:tcBorders>
          </w:tcPr>
          <w:p>
            <w:pPr>
              <w:pStyle w:val="0"/>
            </w:pPr>
            <w:r>
              <w:rPr>
                <w:sz w:val="20"/>
              </w:rPr>
              <w:t xml:space="preserve">Греция</w:t>
            </w:r>
          </w:p>
        </w:tc>
        <w:tc>
          <w:tcPr>
            <w:tcW w:w="964" w:type="dxa"/>
            <w:vAlign w:val="center"/>
            <w:tcBorders>
              <w:top w:val="nil"/>
              <w:left w:val="nil"/>
              <w:bottom w:val="nil"/>
              <w:right w:val="nil"/>
            </w:tcBorders>
          </w:tcPr>
          <w:p>
            <w:pPr>
              <w:pStyle w:val="0"/>
              <w:jc w:val="center"/>
            </w:pPr>
            <w:r>
              <w:rPr>
                <w:sz w:val="20"/>
              </w:rPr>
              <w:t xml:space="preserve">38,70</w:t>
            </w:r>
          </w:p>
        </w:tc>
        <w:tc>
          <w:tcPr>
            <w:tcW w:w="907" w:type="dxa"/>
            <w:vAlign w:val="center"/>
            <w:tcBorders>
              <w:top w:val="nil"/>
              <w:left w:val="nil"/>
              <w:bottom w:val="nil"/>
              <w:right w:val="nil"/>
            </w:tcBorders>
          </w:tcPr>
          <w:p>
            <w:pPr>
              <w:pStyle w:val="0"/>
              <w:jc w:val="center"/>
            </w:pPr>
            <w:r>
              <w:rPr>
                <w:sz w:val="20"/>
              </w:rPr>
              <w:t xml:space="preserve">38,62</w:t>
            </w:r>
          </w:p>
        </w:tc>
        <w:tc>
          <w:tcPr>
            <w:tcW w:w="964" w:type="dxa"/>
            <w:vAlign w:val="center"/>
            <w:tcBorders>
              <w:top w:val="nil"/>
              <w:left w:val="nil"/>
              <w:bottom w:val="nil"/>
              <w:right w:val="nil"/>
            </w:tcBorders>
          </w:tcPr>
          <w:p>
            <w:pPr>
              <w:pStyle w:val="0"/>
              <w:jc w:val="center"/>
            </w:pPr>
            <w:r>
              <w:rPr>
                <w:sz w:val="20"/>
              </w:rPr>
              <w:t xml:space="preserve">40,00</w:t>
            </w:r>
          </w:p>
        </w:tc>
        <w:tc>
          <w:tcPr>
            <w:tcW w:w="964" w:type="dxa"/>
            <w:vAlign w:val="center"/>
            <w:tcBorders>
              <w:top w:val="nil"/>
              <w:left w:val="nil"/>
              <w:bottom w:val="nil"/>
              <w:right w:val="nil"/>
            </w:tcBorders>
          </w:tcPr>
          <w:p>
            <w:pPr>
              <w:pStyle w:val="0"/>
              <w:jc w:val="center"/>
            </w:pPr>
            <w:r>
              <w:rPr>
                <w:sz w:val="20"/>
              </w:rPr>
              <w:t xml:space="preserve">39,48</w:t>
            </w:r>
          </w:p>
        </w:tc>
        <w:tc>
          <w:tcPr>
            <w:tcW w:w="907" w:type="dxa"/>
            <w:vAlign w:val="center"/>
            <w:tcBorders>
              <w:top w:val="nil"/>
              <w:left w:val="nil"/>
              <w:bottom w:val="nil"/>
              <w:right w:val="nil"/>
            </w:tcBorders>
          </w:tcPr>
          <w:p>
            <w:pPr>
              <w:pStyle w:val="0"/>
              <w:jc w:val="center"/>
            </w:pPr>
            <w:r>
              <w:rPr>
                <w:sz w:val="20"/>
              </w:rPr>
              <w:t xml:space="preserve">38,86</w:t>
            </w:r>
          </w:p>
        </w:tc>
        <w:tc>
          <w:tcPr>
            <w:tcW w:w="1191" w:type="dxa"/>
            <w:vAlign w:val="center"/>
            <w:tcBorders>
              <w:top w:val="nil"/>
              <w:left w:val="nil"/>
              <w:bottom w:val="nil"/>
              <w:right w:val="nil"/>
            </w:tcBorders>
          </w:tcPr>
          <w:p>
            <w:pPr>
              <w:pStyle w:val="0"/>
              <w:jc w:val="center"/>
            </w:pPr>
            <w:r>
              <w:rPr>
                <w:sz w:val="20"/>
              </w:rPr>
              <w:t xml:space="preserve">38,99</w:t>
            </w:r>
          </w:p>
        </w:tc>
      </w:tr>
      <w:tr>
        <w:tc>
          <w:tcPr>
            <w:tcW w:w="3118" w:type="dxa"/>
            <w:tcBorders>
              <w:top w:val="nil"/>
              <w:left w:val="nil"/>
              <w:bottom w:val="nil"/>
              <w:right w:val="nil"/>
            </w:tcBorders>
          </w:tcPr>
          <w:p>
            <w:pPr>
              <w:pStyle w:val="0"/>
            </w:pPr>
            <w:r>
              <w:rPr>
                <w:sz w:val="20"/>
              </w:rPr>
              <w:t xml:space="preserve">Дания</w:t>
            </w:r>
          </w:p>
        </w:tc>
        <w:tc>
          <w:tcPr>
            <w:tcW w:w="964" w:type="dxa"/>
            <w:vAlign w:val="center"/>
            <w:tcBorders>
              <w:top w:val="nil"/>
              <w:left w:val="nil"/>
              <w:bottom w:val="nil"/>
              <w:right w:val="nil"/>
            </w:tcBorders>
          </w:tcPr>
          <w:p>
            <w:pPr>
              <w:pStyle w:val="0"/>
              <w:jc w:val="center"/>
            </w:pPr>
            <w:r>
              <w:rPr>
                <w:sz w:val="20"/>
              </w:rPr>
              <w:t xml:space="preserve">45,69</w:t>
            </w:r>
          </w:p>
        </w:tc>
        <w:tc>
          <w:tcPr>
            <w:tcW w:w="907" w:type="dxa"/>
            <w:vAlign w:val="center"/>
            <w:tcBorders>
              <w:top w:val="nil"/>
              <w:left w:val="nil"/>
              <w:bottom w:val="nil"/>
              <w:right w:val="nil"/>
            </w:tcBorders>
          </w:tcPr>
          <w:p>
            <w:pPr>
              <w:pStyle w:val="0"/>
              <w:jc w:val="center"/>
            </w:pPr>
            <w:r>
              <w:rPr>
                <w:sz w:val="20"/>
              </w:rPr>
              <w:t xml:space="preserve">45,85</w:t>
            </w:r>
          </w:p>
        </w:tc>
        <w:tc>
          <w:tcPr>
            <w:tcW w:w="964" w:type="dxa"/>
            <w:vAlign w:val="center"/>
            <w:tcBorders>
              <w:top w:val="nil"/>
              <w:left w:val="nil"/>
              <w:bottom w:val="nil"/>
              <w:right w:val="nil"/>
            </w:tcBorders>
          </w:tcPr>
          <w:p>
            <w:pPr>
              <w:pStyle w:val="0"/>
              <w:jc w:val="center"/>
            </w:pPr>
            <w:r>
              <w:rPr>
                <w:sz w:val="20"/>
              </w:rPr>
              <w:t xml:space="preserve">44,18</w:t>
            </w:r>
          </w:p>
        </w:tc>
        <w:tc>
          <w:tcPr>
            <w:tcW w:w="964" w:type="dxa"/>
            <w:vAlign w:val="center"/>
            <w:tcBorders>
              <w:top w:val="nil"/>
              <w:left w:val="nil"/>
              <w:bottom w:val="nil"/>
              <w:right w:val="nil"/>
            </w:tcBorders>
          </w:tcPr>
          <w:p>
            <w:pPr>
              <w:pStyle w:val="0"/>
              <w:jc w:val="center"/>
            </w:pPr>
            <w:r>
              <w:rPr>
                <w:sz w:val="20"/>
              </w:rPr>
              <w:t xml:space="preserve">46,60</w:t>
            </w:r>
          </w:p>
        </w:tc>
        <w:tc>
          <w:tcPr>
            <w:tcW w:w="907" w:type="dxa"/>
            <w:vAlign w:val="center"/>
            <w:tcBorders>
              <w:top w:val="nil"/>
              <w:left w:val="nil"/>
              <w:bottom w:val="nil"/>
              <w:right w:val="nil"/>
            </w:tcBorders>
          </w:tcPr>
          <w:p>
            <w:pPr>
              <w:pStyle w:val="0"/>
              <w:jc w:val="center"/>
            </w:pPr>
            <w:r>
              <w:rPr>
                <w:sz w:val="20"/>
              </w:rPr>
              <w:t xml:space="preserve">47,11</w:t>
            </w:r>
          </w:p>
        </w:tc>
        <w:tc>
          <w:tcPr>
            <w:tcW w:w="1191" w:type="dxa"/>
            <w:vAlign w:val="center"/>
            <w:tcBorders>
              <w:top w:val="nil"/>
              <w:left w:val="nil"/>
              <w:bottom w:val="nil"/>
              <w:right w:val="nil"/>
            </w:tcBorders>
          </w:tcPr>
          <w:p>
            <w:pPr>
              <w:pStyle w:val="0"/>
              <w:jc w:val="center"/>
            </w:pPr>
            <w:r>
              <w:rPr>
                <w:sz w:val="20"/>
              </w:rPr>
              <w:t xml:space="preserve">46,88</w:t>
            </w:r>
          </w:p>
        </w:tc>
      </w:tr>
      <w:tr>
        <w:tc>
          <w:tcPr>
            <w:tcW w:w="3118" w:type="dxa"/>
            <w:tcBorders>
              <w:top w:val="nil"/>
              <w:left w:val="nil"/>
              <w:bottom w:val="nil"/>
              <w:right w:val="nil"/>
            </w:tcBorders>
          </w:tcPr>
          <w:p>
            <w:pPr>
              <w:pStyle w:val="0"/>
            </w:pPr>
            <w:r>
              <w:rPr>
                <w:sz w:val="20"/>
              </w:rPr>
              <w:t xml:space="preserve">Израиль</w:t>
            </w:r>
          </w:p>
        </w:tc>
        <w:tc>
          <w:tcPr>
            <w:tcW w:w="964" w:type="dxa"/>
            <w:vAlign w:val="center"/>
            <w:tcBorders>
              <w:top w:val="nil"/>
              <w:left w:val="nil"/>
              <w:bottom w:val="nil"/>
              <w:right w:val="nil"/>
            </w:tcBorders>
          </w:tcPr>
          <w:p>
            <w:pPr>
              <w:pStyle w:val="0"/>
              <w:jc w:val="center"/>
            </w:pPr>
            <w:r>
              <w:rPr>
                <w:sz w:val="20"/>
              </w:rPr>
              <w:t xml:space="preserve">31,11</w:t>
            </w:r>
          </w:p>
        </w:tc>
        <w:tc>
          <w:tcPr>
            <w:tcW w:w="907" w:type="dxa"/>
            <w:vAlign w:val="center"/>
            <w:tcBorders>
              <w:top w:val="nil"/>
              <w:left w:val="nil"/>
              <w:bottom w:val="nil"/>
              <w:right w:val="nil"/>
            </w:tcBorders>
          </w:tcPr>
          <w:p>
            <w:pPr>
              <w:pStyle w:val="0"/>
              <w:jc w:val="center"/>
            </w:pPr>
            <w:r>
              <w:rPr>
                <w:sz w:val="20"/>
              </w:rPr>
              <w:t xml:space="preserve">32,54</w:t>
            </w:r>
          </w:p>
        </w:tc>
        <w:tc>
          <w:tcPr>
            <w:tcW w:w="964" w:type="dxa"/>
            <w:vAlign w:val="center"/>
            <w:tcBorders>
              <w:top w:val="nil"/>
              <w:left w:val="nil"/>
              <w:bottom w:val="nil"/>
              <w:right w:val="nil"/>
            </w:tcBorders>
          </w:tcPr>
          <w:p>
            <w:pPr>
              <w:pStyle w:val="0"/>
              <w:jc w:val="center"/>
            </w:pPr>
            <w:r>
              <w:rPr>
                <w:sz w:val="20"/>
              </w:rPr>
              <w:t xml:space="preserve">30,80</w:t>
            </w:r>
          </w:p>
        </w:tc>
        <w:tc>
          <w:tcPr>
            <w:tcW w:w="964" w:type="dxa"/>
            <w:vAlign w:val="center"/>
            <w:tcBorders>
              <w:top w:val="nil"/>
              <w:left w:val="nil"/>
              <w:bottom w:val="nil"/>
              <w:right w:val="nil"/>
            </w:tcBorders>
          </w:tcPr>
          <w:p>
            <w:pPr>
              <w:pStyle w:val="0"/>
              <w:jc w:val="center"/>
            </w:pPr>
            <w:r>
              <w:rPr>
                <w:sz w:val="20"/>
              </w:rPr>
              <w:t xml:space="preserve">30,21</w:t>
            </w:r>
          </w:p>
        </w:tc>
        <w:tc>
          <w:tcPr>
            <w:tcW w:w="907" w:type="dxa"/>
            <w:vAlign w:val="center"/>
            <w:tcBorders>
              <w:top w:val="nil"/>
              <w:left w:val="nil"/>
              <w:bottom w:val="nil"/>
              <w:right w:val="nil"/>
            </w:tcBorders>
          </w:tcPr>
          <w:p>
            <w:pPr>
              <w:pStyle w:val="0"/>
              <w:jc w:val="center"/>
            </w:pPr>
            <w:r>
              <w:rPr>
                <w:sz w:val="20"/>
              </w:rPr>
              <w:t xml:space="preserve">29,56</w:t>
            </w:r>
          </w:p>
        </w:tc>
        <w:tc>
          <w:tcPr>
            <w:tcW w:w="1191" w:type="dxa"/>
            <w:vAlign w:val="center"/>
            <w:tcBorders>
              <w:top w:val="nil"/>
              <w:left w:val="nil"/>
              <w:bottom w:val="nil"/>
              <w:right w:val="nil"/>
            </w:tcBorders>
          </w:tcPr>
          <w:p>
            <w:pPr>
              <w:pStyle w:val="0"/>
              <w:jc w:val="center"/>
            </w:pPr>
            <w:r>
              <w:rPr>
                <w:sz w:val="20"/>
              </w:rPr>
              <w:t xml:space="preserve">32,23</w:t>
            </w:r>
          </w:p>
        </w:tc>
      </w:tr>
      <w:tr>
        <w:tc>
          <w:tcPr>
            <w:tcW w:w="3118" w:type="dxa"/>
            <w:tcBorders>
              <w:top w:val="nil"/>
              <w:left w:val="nil"/>
              <w:bottom w:val="nil"/>
              <w:right w:val="nil"/>
            </w:tcBorders>
          </w:tcPr>
          <w:p>
            <w:pPr>
              <w:pStyle w:val="0"/>
            </w:pPr>
            <w:r>
              <w:rPr>
                <w:sz w:val="20"/>
              </w:rPr>
              <w:t xml:space="preserve">Ирландия</w:t>
            </w:r>
          </w:p>
        </w:tc>
        <w:tc>
          <w:tcPr>
            <w:tcW w:w="964" w:type="dxa"/>
            <w:vAlign w:val="center"/>
            <w:tcBorders>
              <w:top w:val="nil"/>
              <w:left w:val="nil"/>
              <w:bottom w:val="nil"/>
              <w:right w:val="nil"/>
            </w:tcBorders>
          </w:tcPr>
          <w:p>
            <w:pPr>
              <w:pStyle w:val="0"/>
              <w:jc w:val="center"/>
            </w:pPr>
            <w:r>
              <w:rPr>
                <w:sz w:val="20"/>
              </w:rPr>
              <w:t xml:space="preserve">23,36</w:t>
            </w:r>
          </w:p>
        </w:tc>
        <w:tc>
          <w:tcPr>
            <w:tcW w:w="907" w:type="dxa"/>
            <w:vAlign w:val="center"/>
            <w:tcBorders>
              <w:top w:val="nil"/>
              <w:left w:val="nil"/>
              <w:bottom w:val="nil"/>
              <w:right w:val="nil"/>
            </w:tcBorders>
          </w:tcPr>
          <w:p>
            <w:pPr>
              <w:pStyle w:val="0"/>
              <w:jc w:val="center"/>
            </w:pPr>
            <w:r>
              <w:rPr>
                <w:sz w:val="20"/>
              </w:rPr>
              <w:t xml:space="preserve">22,76</w:t>
            </w:r>
          </w:p>
        </w:tc>
        <w:tc>
          <w:tcPr>
            <w:tcW w:w="964" w:type="dxa"/>
            <w:vAlign w:val="center"/>
            <w:tcBorders>
              <w:top w:val="nil"/>
              <w:left w:val="nil"/>
              <w:bottom w:val="nil"/>
              <w:right w:val="nil"/>
            </w:tcBorders>
          </w:tcPr>
          <w:p>
            <w:pPr>
              <w:pStyle w:val="0"/>
              <w:jc w:val="center"/>
            </w:pPr>
            <w:r>
              <w:rPr>
                <w:sz w:val="20"/>
              </w:rPr>
              <w:t xml:space="preserve">22,35</w:t>
            </w:r>
          </w:p>
        </w:tc>
        <w:tc>
          <w:tcPr>
            <w:tcW w:w="964" w:type="dxa"/>
            <w:vAlign w:val="center"/>
            <w:tcBorders>
              <w:top w:val="nil"/>
              <w:left w:val="nil"/>
              <w:bottom w:val="nil"/>
              <w:right w:val="nil"/>
            </w:tcBorders>
          </w:tcPr>
          <w:p>
            <w:pPr>
              <w:pStyle w:val="0"/>
              <w:jc w:val="center"/>
            </w:pPr>
            <w:r>
              <w:rPr>
                <w:sz w:val="20"/>
              </w:rPr>
              <w:t xml:space="preserve">21,90</w:t>
            </w:r>
          </w:p>
        </w:tc>
        <w:tc>
          <w:tcPr>
            <w:tcW w:w="907" w:type="dxa"/>
            <w:vAlign w:val="center"/>
            <w:tcBorders>
              <w:top w:val="nil"/>
              <w:left w:val="nil"/>
              <w:bottom w:val="nil"/>
              <w:right w:val="nil"/>
            </w:tcBorders>
          </w:tcPr>
          <w:p>
            <w:pPr>
              <w:pStyle w:val="0"/>
              <w:jc w:val="center"/>
            </w:pPr>
            <w:r>
              <w:rPr>
                <w:sz w:val="20"/>
              </w:rPr>
              <w:t xml:space="preserve">19,86</w:t>
            </w:r>
          </w:p>
        </w:tc>
        <w:tc>
          <w:tcPr>
            <w:tcW w:w="1191" w:type="dxa"/>
            <w:vAlign w:val="center"/>
            <w:tcBorders>
              <w:top w:val="nil"/>
              <w:left w:val="nil"/>
              <w:bottom w:val="nil"/>
              <w:right w:val="nil"/>
            </w:tcBorders>
          </w:tcPr>
          <w:p>
            <w:pPr>
              <w:pStyle w:val="0"/>
              <w:jc w:val="center"/>
            </w:pPr>
            <w:r>
              <w:rPr>
                <w:sz w:val="20"/>
              </w:rPr>
              <w:t xml:space="preserve">21,06</w:t>
            </w:r>
          </w:p>
        </w:tc>
      </w:tr>
      <w:tr>
        <w:tc>
          <w:tcPr>
            <w:tcW w:w="3118" w:type="dxa"/>
            <w:tcBorders>
              <w:top w:val="nil"/>
              <w:left w:val="nil"/>
              <w:bottom w:val="nil"/>
              <w:right w:val="nil"/>
            </w:tcBorders>
          </w:tcPr>
          <w:p>
            <w:pPr>
              <w:pStyle w:val="0"/>
            </w:pPr>
            <w:r>
              <w:rPr>
                <w:sz w:val="20"/>
              </w:rPr>
              <w:t xml:space="preserve">Исландия</w:t>
            </w:r>
          </w:p>
        </w:tc>
        <w:tc>
          <w:tcPr>
            <w:tcW w:w="964" w:type="dxa"/>
            <w:vAlign w:val="center"/>
            <w:tcBorders>
              <w:top w:val="nil"/>
              <w:left w:val="nil"/>
              <w:bottom w:val="nil"/>
              <w:right w:val="nil"/>
            </w:tcBorders>
          </w:tcPr>
          <w:p>
            <w:pPr>
              <w:pStyle w:val="0"/>
              <w:jc w:val="center"/>
            </w:pPr>
            <w:r>
              <w:rPr>
                <w:sz w:val="20"/>
              </w:rPr>
              <w:t xml:space="preserve">50,81</w:t>
            </w:r>
          </w:p>
        </w:tc>
        <w:tc>
          <w:tcPr>
            <w:tcW w:w="907" w:type="dxa"/>
            <w:vAlign w:val="center"/>
            <w:tcBorders>
              <w:top w:val="nil"/>
              <w:left w:val="nil"/>
              <w:bottom w:val="nil"/>
              <w:right w:val="nil"/>
            </w:tcBorders>
          </w:tcPr>
          <w:p>
            <w:pPr>
              <w:pStyle w:val="0"/>
              <w:jc w:val="center"/>
            </w:pPr>
            <w:r>
              <w:rPr>
                <w:sz w:val="20"/>
              </w:rPr>
              <w:t xml:space="preserve">37,56</w:t>
            </w:r>
          </w:p>
        </w:tc>
        <w:tc>
          <w:tcPr>
            <w:tcW w:w="964" w:type="dxa"/>
            <w:vAlign w:val="center"/>
            <w:tcBorders>
              <w:top w:val="nil"/>
              <w:left w:val="nil"/>
              <w:bottom w:val="nil"/>
              <w:right w:val="nil"/>
            </w:tcBorders>
          </w:tcPr>
          <w:p>
            <w:pPr>
              <w:pStyle w:val="0"/>
              <w:jc w:val="center"/>
            </w:pPr>
            <w:r>
              <w:rPr>
                <w:sz w:val="20"/>
              </w:rPr>
              <w:t xml:space="preserve">36,45</w:t>
            </w:r>
          </w:p>
        </w:tc>
        <w:tc>
          <w:tcPr>
            <w:tcW w:w="964" w:type="dxa"/>
            <w:vAlign w:val="center"/>
            <w:tcBorders>
              <w:top w:val="nil"/>
              <w:left w:val="nil"/>
              <w:bottom w:val="nil"/>
              <w:right w:val="nil"/>
            </w:tcBorders>
          </w:tcPr>
          <w:p>
            <w:pPr>
              <w:pStyle w:val="0"/>
              <w:jc w:val="center"/>
            </w:pPr>
            <w:r>
              <w:rPr>
                <w:sz w:val="20"/>
              </w:rPr>
              <w:t xml:space="preserve">34,84</w:t>
            </w:r>
          </w:p>
        </w:tc>
        <w:tc>
          <w:tcPr>
            <w:tcW w:w="907" w:type="dxa"/>
            <w:vAlign w:val="center"/>
            <w:tcBorders>
              <w:top w:val="nil"/>
              <w:left w:val="nil"/>
              <w:bottom w:val="nil"/>
              <w:right w:val="nil"/>
            </w:tcBorders>
          </w:tcPr>
          <w:p>
            <w:pPr>
              <w:pStyle w:val="0"/>
              <w:jc w:val="center"/>
            </w:pPr>
            <w:r>
              <w:rPr>
                <w:sz w:val="20"/>
              </w:rPr>
              <w:t xml:space="preserve">36,12</w:t>
            </w:r>
          </w:p>
        </w:tc>
        <w:tc>
          <w:tcPr>
            <w:tcW w:w="1191" w:type="dxa"/>
            <w:vAlign w:val="center"/>
            <w:tcBorders>
              <w:top w:val="nil"/>
              <w:left w:val="nil"/>
              <w:bottom w:val="nil"/>
              <w:right w:val="nil"/>
            </w:tcBorders>
          </w:tcPr>
          <w:p>
            <w:pPr>
              <w:pStyle w:val="0"/>
              <w:jc w:val="center"/>
            </w:pPr>
            <w:r>
              <w:rPr>
                <w:sz w:val="20"/>
              </w:rPr>
              <w:t xml:space="preserve">35,06</w:t>
            </w:r>
          </w:p>
        </w:tc>
      </w:tr>
      <w:tr>
        <w:tc>
          <w:tcPr>
            <w:tcW w:w="3118" w:type="dxa"/>
            <w:tcBorders>
              <w:top w:val="nil"/>
              <w:left w:val="nil"/>
              <w:bottom w:val="nil"/>
              <w:right w:val="nil"/>
            </w:tcBorders>
          </w:tcPr>
          <w:p>
            <w:pPr>
              <w:pStyle w:val="0"/>
            </w:pPr>
            <w:r>
              <w:rPr>
                <w:sz w:val="20"/>
              </w:rPr>
              <w:t xml:space="preserve">Испания</w:t>
            </w:r>
          </w:p>
        </w:tc>
        <w:tc>
          <w:tcPr>
            <w:tcW w:w="964" w:type="dxa"/>
            <w:vAlign w:val="center"/>
            <w:tcBorders>
              <w:top w:val="nil"/>
              <w:left w:val="nil"/>
              <w:bottom w:val="nil"/>
              <w:right w:val="nil"/>
            </w:tcBorders>
          </w:tcPr>
          <w:p>
            <w:pPr>
              <w:pStyle w:val="0"/>
              <w:jc w:val="center"/>
            </w:pPr>
            <w:r>
              <w:rPr>
                <w:sz w:val="20"/>
              </w:rPr>
              <w:t xml:space="preserve">33,29</w:t>
            </w:r>
          </w:p>
        </w:tc>
        <w:tc>
          <w:tcPr>
            <w:tcW w:w="907" w:type="dxa"/>
            <w:vAlign w:val="center"/>
            <w:tcBorders>
              <w:top w:val="nil"/>
              <w:left w:val="nil"/>
              <w:bottom w:val="nil"/>
              <w:right w:val="nil"/>
            </w:tcBorders>
          </w:tcPr>
          <w:p>
            <w:pPr>
              <w:pStyle w:val="0"/>
              <w:jc w:val="center"/>
            </w:pPr>
            <w:r>
              <w:rPr>
                <w:sz w:val="20"/>
              </w:rPr>
              <w:t xml:space="preserve">33,87</w:t>
            </w:r>
          </w:p>
        </w:tc>
        <w:tc>
          <w:tcPr>
            <w:tcW w:w="964" w:type="dxa"/>
            <w:vAlign w:val="center"/>
            <w:tcBorders>
              <w:top w:val="nil"/>
              <w:left w:val="nil"/>
              <w:bottom w:val="nil"/>
              <w:right w:val="nil"/>
            </w:tcBorders>
          </w:tcPr>
          <w:p>
            <w:pPr>
              <w:pStyle w:val="0"/>
              <w:jc w:val="center"/>
            </w:pPr>
            <w:r>
              <w:rPr>
                <w:sz w:val="20"/>
              </w:rPr>
              <w:t xml:space="preserve">34,66</w:t>
            </w:r>
          </w:p>
        </w:tc>
        <w:tc>
          <w:tcPr>
            <w:tcW w:w="964" w:type="dxa"/>
            <w:vAlign w:val="center"/>
            <w:tcBorders>
              <w:top w:val="nil"/>
              <w:left w:val="nil"/>
              <w:bottom w:val="nil"/>
              <w:right w:val="nil"/>
            </w:tcBorders>
          </w:tcPr>
          <w:p>
            <w:pPr>
              <w:pStyle w:val="0"/>
              <w:jc w:val="center"/>
            </w:pPr>
            <w:r>
              <w:rPr>
                <w:sz w:val="20"/>
              </w:rPr>
              <w:t xml:space="preserve">34,68</w:t>
            </w:r>
          </w:p>
        </w:tc>
        <w:tc>
          <w:tcPr>
            <w:tcW w:w="907" w:type="dxa"/>
            <w:vAlign w:val="center"/>
            <w:tcBorders>
              <w:top w:val="nil"/>
              <w:left w:val="nil"/>
              <w:bottom w:val="nil"/>
              <w:right w:val="nil"/>
            </w:tcBorders>
          </w:tcPr>
          <w:p>
            <w:pPr>
              <w:pStyle w:val="0"/>
              <w:jc w:val="center"/>
            </w:pPr>
            <w:r>
              <w:rPr>
                <w:sz w:val="20"/>
              </w:rPr>
              <w:t xml:space="preserve">36,72</w:t>
            </w:r>
          </w:p>
        </w:tc>
        <w:tc>
          <w:tcPr>
            <w:tcW w:w="1191" w:type="dxa"/>
            <w:vAlign w:val="center"/>
            <w:tcBorders>
              <w:top w:val="nil"/>
              <w:left w:val="nil"/>
              <w:bottom w:val="nil"/>
              <w:right w:val="nil"/>
            </w:tcBorders>
          </w:tcPr>
          <w:p>
            <w:pPr>
              <w:pStyle w:val="0"/>
              <w:jc w:val="center"/>
            </w:pPr>
            <w:r>
              <w:rPr>
                <w:sz w:val="20"/>
              </w:rPr>
              <w:t xml:space="preserve">38,35</w:t>
            </w:r>
          </w:p>
        </w:tc>
      </w:tr>
      <w:tr>
        <w:tc>
          <w:tcPr>
            <w:tcW w:w="3118" w:type="dxa"/>
            <w:tcBorders>
              <w:top w:val="nil"/>
              <w:left w:val="nil"/>
              <w:bottom w:val="nil"/>
              <w:right w:val="nil"/>
            </w:tcBorders>
          </w:tcPr>
          <w:p>
            <w:pPr>
              <w:pStyle w:val="0"/>
            </w:pPr>
            <w:r>
              <w:rPr>
                <w:sz w:val="20"/>
              </w:rPr>
              <w:t xml:space="preserve">Италия</w:t>
            </w:r>
          </w:p>
        </w:tc>
        <w:tc>
          <w:tcPr>
            <w:tcW w:w="964" w:type="dxa"/>
            <w:vAlign w:val="center"/>
            <w:tcBorders>
              <w:top w:val="nil"/>
              <w:left w:val="nil"/>
              <w:bottom w:val="nil"/>
              <w:right w:val="nil"/>
            </w:tcBorders>
          </w:tcPr>
          <w:p>
            <w:pPr>
              <w:pStyle w:val="0"/>
              <w:jc w:val="center"/>
            </w:pPr>
            <w:r>
              <w:rPr>
                <w:sz w:val="20"/>
              </w:rPr>
              <w:t xml:space="preserve">42,31</w:t>
            </w:r>
          </w:p>
        </w:tc>
        <w:tc>
          <w:tcPr>
            <w:tcW w:w="907" w:type="dxa"/>
            <w:vAlign w:val="center"/>
            <w:tcBorders>
              <w:top w:val="nil"/>
              <w:left w:val="nil"/>
              <w:bottom w:val="nil"/>
              <w:right w:val="nil"/>
            </w:tcBorders>
          </w:tcPr>
          <w:p>
            <w:pPr>
              <w:pStyle w:val="0"/>
              <w:jc w:val="center"/>
            </w:pPr>
            <w:r>
              <w:rPr>
                <w:sz w:val="20"/>
              </w:rPr>
              <w:t xml:space="preserve">41,91</w:t>
            </w:r>
          </w:p>
        </w:tc>
        <w:tc>
          <w:tcPr>
            <w:tcW w:w="964" w:type="dxa"/>
            <w:vAlign w:val="center"/>
            <w:tcBorders>
              <w:top w:val="nil"/>
              <w:left w:val="nil"/>
              <w:bottom w:val="nil"/>
              <w:right w:val="nil"/>
            </w:tcBorders>
          </w:tcPr>
          <w:p>
            <w:pPr>
              <w:pStyle w:val="0"/>
              <w:jc w:val="center"/>
            </w:pPr>
            <w:r>
              <w:rPr>
                <w:sz w:val="20"/>
              </w:rPr>
              <w:t xml:space="preserve">41,73</w:t>
            </w:r>
          </w:p>
        </w:tc>
        <w:tc>
          <w:tcPr>
            <w:tcW w:w="964" w:type="dxa"/>
            <w:vAlign w:val="center"/>
            <w:tcBorders>
              <w:top w:val="nil"/>
              <w:left w:val="nil"/>
              <w:bottom w:val="nil"/>
              <w:right w:val="nil"/>
            </w:tcBorders>
          </w:tcPr>
          <w:p>
            <w:pPr>
              <w:pStyle w:val="0"/>
              <w:jc w:val="center"/>
            </w:pPr>
            <w:r>
              <w:rPr>
                <w:sz w:val="20"/>
              </w:rPr>
              <w:t xml:space="preserve">42,42</w:t>
            </w:r>
          </w:p>
        </w:tc>
        <w:tc>
          <w:tcPr>
            <w:tcW w:w="907" w:type="dxa"/>
            <w:vAlign w:val="center"/>
            <w:tcBorders>
              <w:top w:val="nil"/>
              <w:left w:val="nil"/>
              <w:bottom w:val="nil"/>
              <w:right w:val="nil"/>
            </w:tcBorders>
          </w:tcPr>
          <w:p>
            <w:pPr>
              <w:pStyle w:val="0"/>
              <w:jc w:val="center"/>
            </w:pPr>
            <w:r>
              <w:rPr>
                <w:sz w:val="20"/>
              </w:rPr>
              <w:t xml:space="preserve">42,65</w:t>
            </w:r>
          </w:p>
        </w:tc>
        <w:tc>
          <w:tcPr>
            <w:tcW w:w="1191" w:type="dxa"/>
            <w:vAlign w:val="center"/>
            <w:tcBorders>
              <w:top w:val="nil"/>
              <w:left w:val="nil"/>
              <w:bottom w:val="nil"/>
              <w:right w:val="nil"/>
            </w:tcBorders>
          </w:tcPr>
          <w:p>
            <w:pPr>
              <w:pStyle w:val="0"/>
              <w:jc w:val="center"/>
            </w:pPr>
            <w:r>
              <w:rPr>
                <w:sz w:val="20"/>
              </w:rPr>
              <w:t xml:space="preserve">43,29</w:t>
            </w:r>
          </w:p>
        </w:tc>
      </w:tr>
      <w:tr>
        <w:tc>
          <w:tcPr>
            <w:tcW w:w="3118" w:type="dxa"/>
            <w:tcBorders>
              <w:top w:val="nil"/>
              <w:left w:val="nil"/>
              <w:bottom w:val="nil"/>
              <w:right w:val="nil"/>
            </w:tcBorders>
          </w:tcPr>
          <w:p>
            <w:pPr>
              <w:pStyle w:val="0"/>
            </w:pPr>
            <w:r>
              <w:rPr>
                <w:sz w:val="20"/>
              </w:rPr>
              <w:t xml:space="preserve">Канада</w:t>
            </w:r>
          </w:p>
        </w:tc>
        <w:tc>
          <w:tcPr>
            <w:tcW w:w="964" w:type="dxa"/>
            <w:vAlign w:val="center"/>
            <w:tcBorders>
              <w:top w:val="nil"/>
              <w:left w:val="nil"/>
              <w:bottom w:val="nil"/>
              <w:right w:val="nil"/>
            </w:tcBorders>
          </w:tcPr>
          <w:p>
            <w:pPr>
              <w:pStyle w:val="0"/>
              <w:jc w:val="center"/>
            </w:pPr>
            <w:r>
              <w:rPr>
                <w:sz w:val="20"/>
              </w:rPr>
              <w:t xml:space="preserve">33,17</w:t>
            </w:r>
          </w:p>
        </w:tc>
        <w:tc>
          <w:tcPr>
            <w:tcW w:w="907" w:type="dxa"/>
            <w:vAlign w:val="center"/>
            <w:tcBorders>
              <w:top w:val="nil"/>
              <w:left w:val="nil"/>
              <w:bottom w:val="nil"/>
              <w:right w:val="nil"/>
            </w:tcBorders>
          </w:tcPr>
          <w:p>
            <w:pPr>
              <w:pStyle w:val="0"/>
              <w:jc w:val="center"/>
            </w:pPr>
            <w:r>
              <w:rPr>
                <w:sz w:val="20"/>
              </w:rPr>
              <w:t xml:space="preserve">33,11</w:t>
            </w:r>
          </w:p>
        </w:tc>
        <w:tc>
          <w:tcPr>
            <w:tcW w:w="964" w:type="dxa"/>
            <w:vAlign w:val="center"/>
            <w:tcBorders>
              <w:top w:val="nil"/>
              <w:left w:val="nil"/>
              <w:bottom w:val="nil"/>
              <w:right w:val="nil"/>
            </w:tcBorders>
          </w:tcPr>
          <w:p>
            <w:pPr>
              <w:pStyle w:val="0"/>
              <w:jc w:val="center"/>
            </w:pPr>
            <w:r>
              <w:rPr>
                <w:sz w:val="20"/>
              </w:rPr>
              <w:t xml:space="preserve">33,51</w:t>
            </w:r>
          </w:p>
        </w:tc>
        <w:tc>
          <w:tcPr>
            <w:tcW w:w="964" w:type="dxa"/>
            <w:vAlign w:val="center"/>
            <w:tcBorders>
              <w:top w:val="nil"/>
              <w:left w:val="nil"/>
              <w:bottom w:val="nil"/>
              <w:right w:val="nil"/>
            </w:tcBorders>
          </w:tcPr>
          <w:p>
            <w:pPr>
              <w:pStyle w:val="0"/>
              <w:jc w:val="center"/>
            </w:pPr>
            <w:r>
              <w:rPr>
                <w:sz w:val="20"/>
              </w:rPr>
              <w:t xml:space="preserve">33,81</w:t>
            </w:r>
          </w:p>
        </w:tc>
        <w:tc>
          <w:tcPr>
            <w:tcW w:w="907" w:type="dxa"/>
            <w:vAlign w:val="center"/>
            <w:tcBorders>
              <w:top w:val="nil"/>
              <w:left w:val="nil"/>
              <w:bottom w:val="nil"/>
              <w:right w:val="nil"/>
            </w:tcBorders>
          </w:tcPr>
          <w:p>
            <w:pPr>
              <w:pStyle w:val="0"/>
              <w:jc w:val="center"/>
            </w:pPr>
            <w:r>
              <w:rPr>
                <w:sz w:val="20"/>
              </w:rPr>
              <w:t xml:space="preserve">34,26</w:t>
            </w:r>
          </w:p>
        </w:tc>
        <w:tc>
          <w:tcPr>
            <w:tcW w:w="1191" w:type="dxa"/>
            <w:vAlign w:val="center"/>
            <w:tcBorders>
              <w:top w:val="nil"/>
              <w:left w:val="nil"/>
              <w:bottom w:val="nil"/>
              <w:right w:val="nil"/>
            </w:tcBorders>
          </w:tcPr>
          <w:p>
            <w:pPr>
              <w:pStyle w:val="0"/>
              <w:jc w:val="center"/>
            </w:pPr>
            <w:r>
              <w:rPr>
                <w:sz w:val="20"/>
              </w:rPr>
              <w:t xml:space="preserve">33,25</w:t>
            </w:r>
          </w:p>
        </w:tc>
      </w:tr>
      <w:tr>
        <w:tc>
          <w:tcPr>
            <w:tcW w:w="3118" w:type="dxa"/>
            <w:tcBorders>
              <w:top w:val="nil"/>
              <w:left w:val="nil"/>
              <w:bottom w:val="nil"/>
              <w:right w:val="nil"/>
            </w:tcBorders>
          </w:tcPr>
          <w:p>
            <w:pPr>
              <w:pStyle w:val="0"/>
            </w:pPr>
            <w:r>
              <w:rPr>
                <w:sz w:val="20"/>
              </w:rPr>
              <w:t xml:space="preserve">Колумбия</w:t>
            </w:r>
          </w:p>
        </w:tc>
        <w:tc>
          <w:tcPr>
            <w:tcW w:w="964" w:type="dxa"/>
            <w:vAlign w:val="center"/>
            <w:tcBorders>
              <w:top w:val="nil"/>
              <w:left w:val="nil"/>
              <w:bottom w:val="nil"/>
              <w:right w:val="nil"/>
            </w:tcBorders>
          </w:tcPr>
          <w:p>
            <w:pPr>
              <w:pStyle w:val="0"/>
              <w:jc w:val="center"/>
            </w:pPr>
            <w:r>
              <w:rPr>
                <w:sz w:val="20"/>
              </w:rPr>
              <w:t xml:space="preserve">н.д.</w:t>
            </w:r>
          </w:p>
        </w:tc>
        <w:tc>
          <w:tcPr>
            <w:tcW w:w="907" w:type="dxa"/>
            <w:vAlign w:val="center"/>
            <w:tcBorders>
              <w:top w:val="nil"/>
              <w:left w:val="nil"/>
              <w:bottom w:val="nil"/>
              <w:right w:val="nil"/>
            </w:tcBorders>
          </w:tcPr>
          <w:p>
            <w:pPr>
              <w:pStyle w:val="0"/>
              <w:jc w:val="center"/>
            </w:pPr>
            <w:r>
              <w:rPr>
                <w:sz w:val="20"/>
              </w:rPr>
              <w:t xml:space="preserve">18,98</w:t>
            </w:r>
          </w:p>
        </w:tc>
        <w:tc>
          <w:tcPr>
            <w:tcW w:w="964" w:type="dxa"/>
            <w:vAlign w:val="center"/>
            <w:tcBorders>
              <w:top w:val="nil"/>
              <w:left w:val="nil"/>
              <w:bottom w:val="nil"/>
              <w:right w:val="nil"/>
            </w:tcBorders>
          </w:tcPr>
          <w:p>
            <w:pPr>
              <w:pStyle w:val="0"/>
              <w:jc w:val="center"/>
            </w:pPr>
            <w:r>
              <w:rPr>
                <w:sz w:val="20"/>
              </w:rPr>
              <w:t xml:space="preserve">19,27</w:t>
            </w:r>
          </w:p>
        </w:tc>
        <w:tc>
          <w:tcPr>
            <w:tcW w:w="964" w:type="dxa"/>
            <w:vAlign w:val="center"/>
            <w:tcBorders>
              <w:top w:val="nil"/>
              <w:left w:val="nil"/>
              <w:bottom w:val="nil"/>
              <w:right w:val="nil"/>
            </w:tcBorders>
          </w:tcPr>
          <w:p>
            <w:pPr>
              <w:pStyle w:val="0"/>
              <w:jc w:val="center"/>
            </w:pPr>
            <w:r>
              <w:rPr>
                <w:sz w:val="20"/>
              </w:rPr>
              <w:t xml:space="preserve">19,70</w:t>
            </w:r>
          </w:p>
        </w:tc>
        <w:tc>
          <w:tcPr>
            <w:tcW w:w="907" w:type="dxa"/>
            <w:vAlign w:val="center"/>
            <w:tcBorders>
              <w:top w:val="nil"/>
              <w:left w:val="nil"/>
              <w:bottom w:val="nil"/>
              <w:right w:val="nil"/>
            </w:tcBorders>
          </w:tcPr>
          <w:p>
            <w:pPr>
              <w:pStyle w:val="0"/>
              <w:jc w:val="center"/>
            </w:pPr>
            <w:r>
              <w:rPr>
                <w:sz w:val="20"/>
              </w:rPr>
              <w:t xml:space="preserve">18,79</w:t>
            </w:r>
          </w:p>
        </w:tc>
        <w:tc>
          <w:tcPr>
            <w:tcW w:w="1191" w:type="dxa"/>
            <w:vAlign w:val="center"/>
            <w:tcBorders>
              <w:top w:val="nil"/>
              <w:left w:val="nil"/>
              <w:bottom w:val="nil"/>
              <w:right w:val="nil"/>
            </w:tcBorders>
          </w:tcPr>
          <w:p>
            <w:pPr>
              <w:pStyle w:val="0"/>
              <w:jc w:val="center"/>
            </w:pPr>
            <w:r>
              <w:rPr>
                <w:sz w:val="20"/>
              </w:rPr>
              <w:t xml:space="preserve">19,50</w:t>
            </w:r>
          </w:p>
        </w:tc>
      </w:tr>
      <w:tr>
        <w:tc>
          <w:tcPr>
            <w:tcW w:w="3118" w:type="dxa"/>
            <w:tcBorders>
              <w:top w:val="nil"/>
              <w:left w:val="nil"/>
              <w:bottom w:val="nil"/>
              <w:right w:val="nil"/>
            </w:tcBorders>
          </w:tcPr>
          <w:p>
            <w:pPr>
              <w:pStyle w:val="0"/>
            </w:pPr>
            <w:r>
              <w:rPr>
                <w:sz w:val="20"/>
              </w:rPr>
              <w:t xml:space="preserve">Коста-Рика</w:t>
            </w:r>
          </w:p>
        </w:tc>
        <w:tc>
          <w:tcPr>
            <w:tcW w:w="964" w:type="dxa"/>
            <w:vAlign w:val="center"/>
            <w:tcBorders>
              <w:top w:val="nil"/>
              <w:left w:val="nil"/>
              <w:bottom w:val="nil"/>
              <w:right w:val="nil"/>
            </w:tcBorders>
          </w:tcPr>
          <w:p>
            <w:pPr>
              <w:pStyle w:val="0"/>
              <w:jc w:val="center"/>
            </w:pPr>
            <w:r>
              <w:rPr>
                <w:sz w:val="20"/>
              </w:rPr>
              <w:t xml:space="preserve">н.д.</w:t>
            </w:r>
          </w:p>
        </w:tc>
        <w:tc>
          <w:tcPr>
            <w:tcW w:w="907" w:type="dxa"/>
            <w:vAlign w:val="center"/>
            <w:tcBorders>
              <w:top w:val="nil"/>
              <w:left w:val="nil"/>
              <w:bottom w:val="nil"/>
              <w:right w:val="nil"/>
            </w:tcBorders>
          </w:tcPr>
          <w:p>
            <w:pPr>
              <w:pStyle w:val="0"/>
              <w:jc w:val="center"/>
            </w:pPr>
            <w:r>
              <w:rPr>
                <w:sz w:val="20"/>
              </w:rPr>
              <w:t xml:space="preserve">н.д.</w:t>
            </w:r>
          </w:p>
        </w:tc>
        <w:tc>
          <w:tcPr>
            <w:tcW w:w="964" w:type="dxa"/>
            <w:vAlign w:val="center"/>
            <w:tcBorders>
              <w:top w:val="nil"/>
              <w:left w:val="nil"/>
              <w:bottom w:val="nil"/>
              <w:right w:val="nil"/>
            </w:tcBorders>
          </w:tcPr>
          <w:p>
            <w:pPr>
              <w:pStyle w:val="0"/>
              <w:jc w:val="center"/>
            </w:pPr>
            <w:r>
              <w:rPr>
                <w:sz w:val="20"/>
              </w:rPr>
              <w:t xml:space="preserve">23,19</w:t>
            </w:r>
          </w:p>
        </w:tc>
        <w:tc>
          <w:tcPr>
            <w:tcW w:w="964" w:type="dxa"/>
            <w:vAlign w:val="center"/>
            <w:tcBorders>
              <w:top w:val="nil"/>
              <w:left w:val="nil"/>
              <w:bottom w:val="nil"/>
              <w:right w:val="nil"/>
            </w:tcBorders>
          </w:tcPr>
          <w:p>
            <w:pPr>
              <w:pStyle w:val="0"/>
              <w:jc w:val="center"/>
            </w:pPr>
            <w:r>
              <w:rPr>
                <w:sz w:val="20"/>
              </w:rPr>
              <w:t xml:space="preserve">23,58</w:t>
            </w:r>
          </w:p>
        </w:tc>
        <w:tc>
          <w:tcPr>
            <w:tcW w:w="907" w:type="dxa"/>
            <w:vAlign w:val="center"/>
            <w:tcBorders>
              <w:top w:val="nil"/>
              <w:left w:val="nil"/>
              <w:bottom w:val="nil"/>
              <w:right w:val="nil"/>
            </w:tcBorders>
          </w:tcPr>
          <w:p>
            <w:pPr>
              <w:pStyle w:val="0"/>
              <w:jc w:val="center"/>
            </w:pPr>
            <w:r>
              <w:rPr>
                <w:sz w:val="20"/>
              </w:rPr>
              <w:t xml:space="preserve">22,65</w:t>
            </w:r>
          </w:p>
        </w:tc>
        <w:tc>
          <w:tcPr>
            <w:tcW w:w="1191" w:type="dxa"/>
            <w:vAlign w:val="center"/>
            <w:tcBorders>
              <w:top w:val="nil"/>
              <w:left w:val="nil"/>
              <w:bottom w:val="nil"/>
              <w:right w:val="nil"/>
            </w:tcBorders>
          </w:tcPr>
          <w:p>
            <w:pPr>
              <w:pStyle w:val="0"/>
              <w:jc w:val="center"/>
            </w:pPr>
            <w:r>
              <w:rPr>
                <w:sz w:val="20"/>
              </w:rPr>
              <w:t xml:space="preserve">24,25</w:t>
            </w:r>
          </w:p>
        </w:tc>
      </w:tr>
      <w:tr>
        <w:tc>
          <w:tcPr>
            <w:tcW w:w="3118" w:type="dxa"/>
            <w:tcBorders>
              <w:top w:val="nil"/>
              <w:left w:val="nil"/>
              <w:bottom w:val="nil"/>
              <w:right w:val="nil"/>
            </w:tcBorders>
          </w:tcPr>
          <w:p>
            <w:pPr>
              <w:pStyle w:val="0"/>
            </w:pPr>
            <w:r>
              <w:rPr>
                <w:sz w:val="20"/>
              </w:rPr>
              <w:t xml:space="preserve">Латвия</w:t>
            </w:r>
          </w:p>
        </w:tc>
        <w:tc>
          <w:tcPr>
            <w:tcW w:w="964" w:type="dxa"/>
            <w:vAlign w:val="center"/>
            <w:tcBorders>
              <w:top w:val="nil"/>
              <w:left w:val="nil"/>
              <w:bottom w:val="nil"/>
              <w:right w:val="nil"/>
            </w:tcBorders>
          </w:tcPr>
          <w:p>
            <w:pPr>
              <w:pStyle w:val="0"/>
              <w:jc w:val="center"/>
            </w:pPr>
            <w:r>
              <w:rPr>
                <w:sz w:val="20"/>
              </w:rPr>
              <w:t xml:space="preserve">31,20</w:t>
            </w:r>
          </w:p>
        </w:tc>
        <w:tc>
          <w:tcPr>
            <w:tcW w:w="907" w:type="dxa"/>
            <w:vAlign w:val="center"/>
            <w:tcBorders>
              <w:top w:val="nil"/>
              <w:left w:val="nil"/>
              <w:bottom w:val="nil"/>
              <w:right w:val="nil"/>
            </w:tcBorders>
          </w:tcPr>
          <w:p>
            <w:pPr>
              <w:pStyle w:val="0"/>
              <w:jc w:val="center"/>
            </w:pPr>
            <w:r>
              <w:rPr>
                <w:sz w:val="20"/>
              </w:rPr>
              <w:t xml:space="preserve">31,39</w:t>
            </w:r>
          </w:p>
        </w:tc>
        <w:tc>
          <w:tcPr>
            <w:tcW w:w="964" w:type="dxa"/>
            <w:vAlign w:val="center"/>
            <w:tcBorders>
              <w:top w:val="nil"/>
              <w:left w:val="nil"/>
              <w:bottom w:val="nil"/>
              <w:right w:val="nil"/>
            </w:tcBorders>
          </w:tcPr>
          <w:p>
            <w:pPr>
              <w:pStyle w:val="0"/>
              <w:jc w:val="center"/>
            </w:pPr>
            <w:r>
              <w:rPr>
                <w:sz w:val="20"/>
              </w:rPr>
              <w:t xml:space="preserve">31,14</w:t>
            </w:r>
          </w:p>
        </w:tc>
        <w:tc>
          <w:tcPr>
            <w:tcW w:w="964" w:type="dxa"/>
            <w:vAlign w:val="center"/>
            <w:tcBorders>
              <w:top w:val="nil"/>
              <w:left w:val="nil"/>
              <w:bottom w:val="nil"/>
              <w:right w:val="nil"/>
            </w:tcBorders>
          </w:tcPr>
          <w:p>
            <w:pPr>
              <w:pStyle w:val="0"/>
              <w:jc w:val="center"/>
            </w:pPr>
            <w:r>
              <w:rPr>
                <w:sz w:val="20"/>
              </w:rPr>
              <w:t xml:space="preserve">31,24</w:t>
            </w:r>
          </w:p>
        </w:tc>
        <w:tc>
          <w:tcPr>
            <w:tcW w:w="907" w:type="dxa"/>
            <w:vAlign w:val="center"/>
            <w:tcBorders>
              <w:top w:val="nil"/>
              <w:left w:val="nil"/>
              <w:bottom w:val="nil"/>
              <w:right w:val="nil"/>
            </w:tcBorders>
          </w:tcPr>
          <w:p>
            <w:pPr>
              <w:pStyle w:val="0"/>
              <w:jc w:val="center"/>
            </w:pPr>
            <w:r>
              <w:rPr>
                <w:sz w:val="20"/>
              </w:rPr>
              <w:t xml:space="preserve">31,76</w:t>
            </w:r>
          </w:p>
        </w:tc>
        <w:tc>
          <w:tcPr>
            <w:tcW w:w="1191" w:type="dxa"/>
            <w:vAlign w:val="center"/>
            <w:tcBorders>
              <w:top w:val="nil"/>
              <w:left w:val="nil"/>
              <w:bottom w:val="nil"/>
              <w:right w:val="nil"/>
            </w:tcBorders>
          </w:tcPr>
          <w:p>
            <w:pPr>
              <w:pStyle w:val="0"/>
              <w:jc w:val="center"/>
            </w:pPr>
            <w:r>
              <w:rPr>
                <w:sz w:val="20"/>
              </w:rPr>
              <w:t xml:space="preserve">31,22</w:t>
            </w:r>
          </w:p>
        </w:tc>
      </w:tr>
      <w:tr>
        <w:tc>
          <w:tcPr>
            <w:tcW w:w="3118" w:type="dxa"/>
            <w:tcBorders>
              <w:top w:val="nil"/>
              <w:left w:val="nil"/>
              <w:bottom w:val="nil"/>
              <w:right w:val="nil"/>
            </w:tcBorders>
          </w:tcPr>
          <w:p>
            <w:pPr>
              <w:pStyle w:val="0"/>
            </w:pPr>
            <w:r>
              <w:rPr>
                <w:sz w:val="20"/>
              </w:rPr>
              <w:t xml:space="preserve">Литва</w:t>
            </w:r>
          </w:p>
        </w:tc>
        <w:tc>
          <w:tcPr>
            <w:tcW w:w="964" w:type="dxa"/>
            <w:vAlign w:val="center"/>
            <w:tcBorders>
              <w:top w:val="nil"/>
              <w:left w:val="nil"/>
              <w:bottom w:val="nil"/>
              <w:right w:val="nil"/>
            </w:tcBorders>
          </w:tcPr>
          <w:p>
            <w:pPr>
              <w:pStyle w:val="0"/>
              <w:jc w:val="center"/>
            </w:pPr>
            <w:r>
              <w:rPr>
                <w:sz w:val="20"/>
              </w:rPr>
              <w:t xml:space="preserve">29,69</w:t>
            </w:r>
          </w:p>
        </w:tc>
        <w:tc>
          <w:tcPr>
            <w:tcW w:w="907" w:type="dxa"/>
            <w:vAlign w:val="center"/>
            <w:tcBorders>
              <w:top w:val="nil"/>
              <w:left w:val="nil"/>
              <w:bottom w:val="nil"/>
              <w:right w:val="nil"/>
            </w:tcBorders>
          </w:tcPr>
          <w:p>
            <w:pPr>
              <w:pStyle w:val="0"/>
              <w:jc w:val="center"/>
            </w:pPr>
            <w:r>
              <w:rPr>
                <w:sz w:val="20"/>
              </w:rPr>
              <w:t xml:space="preserve">29,47</w:t>
            </w:r>
          </w:p>
        </w:tc>
        <w:tc>
          <w:tcPr>
            <w:tcW w:w="964" w:type="dxa"/>
            <w:vAlign w:val="center"/>
            <w:tcBorders>
              <w:top w:val="nil"/>
              <w:left w:val="nil"/>
              <w:bottom w:val="nil"/>
              <w:right w:val="nil"/>
            </w:tcBorders>
          </w:tcPr>
          <w:p>
            <w:pPr>
              <w:pStyle w:val="0"/>
              <w:jc w:val="center"/>
            </w:pPr>
            <w:r>
              <w:rPr>
                <w:sz w:val="20"/>
              </w:rPr>
              <w:t xml:space="preserve">30,23</w:t>
            </w:r>
          </w:p>
        </w:tc>
        <w:tc>
          <w:tcPr>
            <w:tcW w:w="964" w:type="dxa"/>
            <w:vAlign w:val="center"/>
            <w:tcBorders>
              <w:top w:val="nil"/>
              <w:left w:val="nil"/>
              <w:bottom w:val="nil"/>
              <w:right w:val="nil"/>
            </w:tcBorders>
          </w:tcPr>
          <w:p>
            <w:pPr>
              <w:pStyle w:val="0"/>
              <w:jc w:val="center"/>
            </w:pPr>
            <w:r>
              <w:rPr>
                <w:sz w:val="20"/>
              </w:rPr>
              <w:t xml:space="preserve">30,28</w:t>
            </w:r>
          </w:p>
        </w:tc>
        <w:tc>
          <w:tcPr>
            <w:tcW w:w="907" w:type="dxa"/>
            <w:vAlign w:val="center"/>
            <w:tcBorders>
              <w:top w:val="nil"/>
              <w:left w:val="nil"/>
              <w:bottom w:val="nil"/>
              <w:right w:val="nil"/>
            </w:tcBorders>
          </w:tcPr>
          <w:p>
            <w:pPr>
              <w:pStyle w:val="0"/>
              <w:jc w:val="center"/>
            </w:pPr>
            <w:r>
              <w:rPr>
                <w:sz w:val="20"/>
              </w:rPr>
              <w:t xml:space="preserve">30,82</w:t>
            </w:r>
          </w:p>
        </w:tc>
        <w:tc>
          <w:tcPr>
            <w:tcW w:w="1191" w:type="dxa"/>
            <w:vAlign w:val="center"/>
            <w:tcBorders>
              <w:top w:val="nil"/>
              <w:left w:val="nil"/>
              <w:bottom w:val="nil"/>
              <w:right w:val="nil"/>
            </w:tcBorders>
          </w:tcPr>
          <w:p>
            <w:pPr>
              <w:pStyle w:val="0"/>
              <w:jc w:val="center"/>
            </w:pPr>
            <w:r>
              <w:rPr>
                <w:sz w:val="20"/>
              </w:rPr>
              <w:t xml:space="preserve">32,79</w:t>
            </w:r>
          </w:p>
        </w:tc>
      </w:tr>
      <w:tr>
        <w:tc>
          <w:tcPr>
            <w:tcW w:w="3118" w:type="dxa"/>
            <w:tcBorders>
              <w:top w:val="nil"/>
              <w:left w:val="nil"/>
              <w:bottom w:val="nil"/>
              <w:right w:val="nil"/>
            </w:tcBorders>
          </w:tcPr>
          <w:p>
            <w:pPr>
              <w:pStyle w:val="0"/>
            </w:pPr>
            <w:r>
              <w:rPr>
                <w:sz w:val="20"/>
              </w:rPr>
              <w:t xml:space="preserve">Люксембург</w:t>
            </w:r>
          </w:p>
        </w:tc>
        <w:tc>
          <w:tcPr>
            <w:tcW w:w="964" w:type="dxa"/>
            <w:vAlign w:val="center"/>
            <w:tcBorders>
              <w:top w:val="nil"/>
              <w:left w:val="nil"/>
              <w:bottom w:val="nil"/>
              <w:right w:val="nil"/>
            </w:tcBorders>
          </w:tcPr>
          <w:p>
            <w:pPr>
              <w:pStyle w:val="0"/>
              <w:jc w:val="center"/>
            </w:pPr>
            <w:r>
              <w:rPr>
                <w:sz w:val="20"/>
              </w:rPr>
              <w:t xml:space="preserve">37,94</w:t>
            </w:r>
          </w:p>
        </w:tc>
        <w:tc>
          <w:tcPr>
            <w:tcW w:w="907" w:type="dxa"/>
            <w:vAlign w:val="center"/>
            <w:tcBorders>
              <w:top w:val="nil"/>
              <w:left w:val="nil"/>
              <w:bottom w:val="nil"/>
              <w:right w:val="nil"/>
            </w:tcBorders>
          </w:tcPr>
          <w:p>
            <w:pPr>
              <w:pStyle w:val="0"/>
              <w:jc w:val="center"/>
            </w:pPr>
            <w:r>
              <w:rPr>
                <w:sz w:val="20"/>
              </w:rPr>
              <w:t xml:space="preserve">37,61</w:t>
            </w:r>
          </w:p>
        </w:tc>
        <w:tc>
          <w:tcPr>
            <w:tcW w:w="964" w:type="dxa"/>
            <w:vAlign w:val="center"/>
            <w:tcBorders>
              <w:top w:val="nil"/>
              <w:left w:val="nil"/>
              <w:bottom w:val="nil"/>
              <w:right w:val="nil"/>
            </w:tcBorders>
          </w:tcPr>
          <w:p>
            <w:pPr>
              <w:pStyle w:val="0"/>
              <w:jc w:val="center"/>
            </w:pPr>
            <w:r>
              <w:rPr>
                <w:sz w:val="20"/>
              </w:rPr>
              <w:t xml:space="preserve">39,47</w:t>
            </w:r>
          </w:p>
        </w:tc>
        <w:tc>
          <w:tcPr>
            <w:tcW w:w="964" w:type="dxa"/>
            <w:vAlign w:val="center"/>
            <w:tcBorders>
              <w:top w:val="nil"/>
              <w:left w:val="nil"/>
              <w:bottom w:val="nil"/>
              <w:right w:val="nil"/>
            </w:tcBorders>
          </w:tcPr>
          <w:p>
            <w:pPr>
              <w:pStyle w:val="0"/>
              <w:jc w:val="center"/>
            </w:pPr>
            <w:r>
              <w:rPr>
                <w:sz w:val="20"/>
              </w:rPr>
              <w:t xml:space="preserve">38,95</w:t>
            </w:r>
          </w:p>
        </w:tc>
        <w:tc>
          <w:tcPr>
            <w:tcW w:w="907" w:type="dxa"/>
            <w:vAlign w:val="center"/>
            <w:tcBorders>
              <w:top w:val="nil"/>
              <w:left w:val="nil"/>
              <w:bottom w:val="nil"/>
              <w:right w:val="nil"/>
            </w:tcBorders>
          </w:tcPr>
          <w:p>
            <w:pPr>
              <w:pStyle w:val="0"/>
              <w:jc w:val="center"/>
            </w:pPr>
            <w:r>
              <w:rPr>
                <w:sz w:val="20"/>
              </w:rPr>
              <w:t xml:space="preserve">38,10</w:t>
            </w:r>
          </w:p>
        </w:tc>
        <w:tc>
          <w:tcPr>
            <w:tcW w:w="1191" w:type="dxa"/>
            <w:vAlign w:val="center"/>
            <w:tcBorders>
              <w:top w:val="nil"/>
              <w:left w:val="nil"/>
              <w:bottom w:val="nil"/>
              <w:right w:val="nil"/>
            </w:tcBorders>
          </w:tcPr>
          <w:p>
            <w:pPr>
              <w:pStyle w:val="0"/>
              <w:jc w:val="center"/>
            </w:pPr>
            <w:r>
              <w:rPr>
                <w:sz w:val="20"/>
              </w:rPr>
              <w:t xml:space="preserve">38,57</w:t>
            </w:r>
          </w:p>
        </w:tc>
      </w:tr>
      <w:tr>
        <w:tc>
          <w:tcPr>
            <w:tcW w:w="3118" w:type="dxa"/>
            <w:tcBorders>
              <w:top w:val="nil"/>
              <w:left w:val="nil"/>
              <w:bottom w:val="nil"/>
              <w:right w:val="nil"/>
            </w:tcBorders>
          </w:tcPr>
          <w:p>
            <w:pPr>
              <w:pStyle w:val="0"/>
            </w:pPr>
            <w:r>
              <w:rPr>
                <w:sz w:val="20"/>
              </w:rPr>
              <w:t xml:space="preserve">Мексика</w:t>
            </w:r>
          </w:p>
        </w:tc>
        <w:tc>
          <w:tcPr>
            <w:tcW w:w="964" w:type="dxa"/>
            <w:vAlign w:val="center"/>
            <w:tcBorders>
              <w:top w:val="nil"/>
              <w:left w:val="nil"/>
              <w:bottom w:val="nil"/>
              <w:right w:val="nil"/>
            </w:tcBorders>
          </w:tcPr>
          <w:p>
            <w:pPr>
              <w:pStyle w:val="0"/>
              <w:jc w:val="center"/>
            </w:pPr>
            <w:r>
              <w:rPr>
                <w:sz w:val="20"/>
              </w:rPr>
              <w:t xml:space="preserve">16,62</w:t>
            </w:r>
          </w:p>
        </w:tc>
        <w:tc>
          <w:tcPr>
            <w:tcW w:w="907" w:type="dxa"/>
            <w:vAlign w:val="center"/>
            <w:tcBorders>
              <w:top w:val="nil"/>
              <w:left w:val="nil"/>
              <w:bottom w:val="nil"/>
              <w:right w:val="nil"/>
            </w:tcBorders>
          </w:tcPr>
          <w:p>
            <w:pPr>
              <w:pStyle w:val="0"/>
              <w:jc w:val="center"/>
            </w:pPr>
            <w:r>
              <w:rPr>
                <w:sz w:val="20"/>
              </w:rPr>
              <w:t xml:space="preserve">16,10</w:t>
            </w:r>
          </w:p>
        </w:tc>
        <w:tc>
          <w:tcPr>
            <w:tcW w:w="964" w:type="dxa"/>
            <w:vAlign w:val="center"/>
            <w:tcBorders>
              <w:top w:val="nil"/>
              <w:left w:val="nil"/>
              <w:bottom w:val="nil"/>
              <w:right w:val="nil"/>
            </w:tcBorders>
          </w:tcPr>
          <w:p>
            <w:pPr>
              <w:pStyle w:val="0"/>
              <w:jc w:val="center"/>
            </w:pPr>
            <w:r>
              <w:rPr>
                <w:sz w:val="20"/>
              </w:rPr>
              <w:t xml:space="preserve">16,15</w:t>
            </w:r>
          </w:p>
        </w:tc>
        <w:tc>
          <w:tcPr>
            <w:tcW w:w="964" w:type="dxa"/>
            <w:vAlign w:val="center"/>
            <w:tcBorders>
              <w:top w:val="nil"/>
              <w:left w:val="nil"/>
              <w:bottom w:val="nil"/>
              <w:right w:val="nil"/>
            </w:tcBorders>
          </w:tcPr>
          <w:p>
            <w:pPr>
              <w:pStyle w:val="0"/>
              <w:jc w:val="center"/>
            </w:pPr>
            <w:r>
              <w:rPr>
                <w:sz w:val="20"/>
              </w:rPr>
              <w:t xml:space="preserve">16,35</w:t>
            </w:r>
          </w:p>
        </w:tc>
        <w:tc>
          <w:tcPr>
            <w:tcW w:w="907" w:type="dxa"/>
            <w:vAlign w:val="center"/>
            <w:tcBorders>
              <w:top w:val="nil"/>
              <w:left w:val="nil"/>
              <w:bottom w:val="nil"/>
              <w:right w:val="nil"/>
            </w:tcBorders>
          </w:tcPr>
          <w:p>
            <w:pPr>
              <w:pStyle w:val="0"/>
              <w:jc w:val="center"/>
            </w:pPr>
            <w:r>
              <w:rPr>
                <w:sz w:val="20"/>
              </w:rPr>
              <w:t xml:space="preserve">17,76</w:t>
            </w:r>
          </w:p>
        </w:tc>
        <w:tc>
          <w:tcPr>
            <w:tcW w:w="1191" w:type="dxa"/>
            <w:vAlign w:val="center"/>
            <w:tcBorders>
              <w:top w:val="nil"/>
              <w:left w:val="nil"/>
              <w:bottom w:val="nil"/>
              <w:right w:val="nil"/>
            </w:tcBorders>
          </w:tcPr>
          <w:p>
            <w:pPr>
              <w:pStyle w:val="0"/>
              <w:jc w:val="center"/>
            </w:pPr>
            <w:r>
              <w:rPr>
                <w:sz w:val="20"/>
              </w:rPr>
              <w:t xml:space="preserve">16,70</w:t>
            </w:r>
          </w:p>
        </w:tc>
      </w:tr>
      <w:tr>
        <w:tc>
          <w:tcPr>
            <w:tcW w:w="3118" w:type="dxa"/>
            <w:tcBorders>
              <w:top w:val="nil"/>
              <w:left w:val="nil"/>
              <w:bottom w:val="nil"/>
              <w:right w:val="nil"/>
            </w:tcBorders>
          </w:tcPr>
          <w:p>
            <w:pPr>
              <w:pStyle w:val="0"/>
            </w:pPr>
            <w:r>
              <w:rPr>
                <w:sz w:val="20"/>
              </w:rPr>
              <w:t xml:space="preserve">Новая Зеландия</w:t>
            </w:r>
          </w:p>
        </w:tc>
        <w:tc>
          <w:tcPr>
            <w:tcW w:w="964" w:type="dxa"/>
            <w:vAlign w:val="center"/>
            <w:tcBorders>
              <w:top w:val="nil"/>
              <w:left w:val="nil"/>
              <w:bottom w:val="nil"/>
              <w:right w:val="nil"/>
            </w:tcBorders>
          </w:tcPr>
          <w:p>
            <w:pPr>
              <w:pStyle w:val="0"/>
              <w:jc w:val="center"/>
            </w:pPr>
            <w:r>
              <w:rPr>
                <w:sz w:val="20"/>
              </w:rPr>
              <w:t xml:space="preserve">31,68</w:t>
            </w:r>
          </w:p>
        </w:tc>
        <w:tc>
          <w:tcPr>
            <w:tcW w:w="907" w:type="dxa"/>
            <w:vAlign w:val="center"/>
            <w:tcBorders>
              <w:top w:val="nil"/>
              <w:left w:val="nil"/>
              <w:bottom w:val="nil"/>
              <w:right w:val="nil"/>
            </w:tcBorders>
          </w:tcPr>
          <w:p>
            <w:pPr>
              <w:pStyle w:val="0"/>
              <w:jc w:val="center"/>
            </w:pPr>
            <w:r>
              <w:rPr>
                <w:sz w:val="20"/>
              </w:rPr>
              <w:t xml:space="preserve">31,61</w:t>
            </w:r>
          </w:p>
        </w:tc>
        <w:tc>
          <w:tcPr>
            <w:tcW w:w="964" w:type="dxa"/>
            <w:vAlign w:val="center"/>
            <w:tcBorders>
              <w:top w:val="nil"/>
              <w:left w:val="nil"/>
              <w:bottom w:val="nil"/>
              <w:right w:val="nil"/>
            </w:tcBorders>
          </w:tcPr>
          <w:p>
            <w:pPr>
              <w:pStyle w:val="0"/>
              <w:jc w:val="center"/>
            </w:pPr>
            <w:r>
              <w:rPr>
                <w:sz w:val="20"/>
              </w:rPr>
              <w:t xml:space="preserve">32,17</w:t>
            </w:r>
          </w:p>
        </w:tc>
        <w:tc>
          <w:tcPr>
            <w:tcW w:w="964" w:type="dxa"/>
            <w:vAlign w:val="center"/>
            <w:tcBorders>
              <w:top w:val="nil"/>
              <w:left w:val="nil"/>
              <w:bottom w:val="nil"/>
              <w:right w:val="nil"/>
            </w:tcBorders>
          </w:tcPr>
          <w:p>
            <w:pPr>
              <w:pStyle w:val="0"/>
              <w:jc w:val="center"/>
            </w:pPr>
            <w:r>
              <w:rPr>
                <w:sz w:val="20"/>
              </w:rPr>
              <w:t xml:space="preserve">31,46</w:t>
            </w:r>
          </w:p>
        </w:tc>
        <w:tc>
          <w:tcPr>
            <w:tcW w:w="907" w:type="dxa"/>
            <w:vAlign w:val="center"/>
            <w:tcBorders>
              <w:top w:val="nil"/>
              <w:left w:val="nil"/>
              <w:bottom w:val="nil"/>
              <w:right w:val="nil"/>
            </w:tcBorders>
          </w:tcPr>
          <w:p>
            <w:pPr>
              <w:pStyle w:val="0"/>
              <w:jc w:val="center"/>
            </w:pPr>
            <w:r>
              <w:rPr>
                <w:sz w:val="20"/>
              </w:rPr>
              <w:t xml:space="preserve">33,80</w:t>
            </w:r>
          </w:p>
        </w:tc>
        <w:tc>
          <w:tcPr>
            <w:tcW w:w="1191" w:type="dxa"/>
            <w:vAlign w:val="center"/>
            <w:tcBorders>
              <w:top w:val="nil"/>
              <w:left w:val="nil"/>
              <w:bottom w:val="nil"/>
              <w:right w:val="nil"/>
            </w:tcBorders>
          </w:tcPr>
          <w:p>
            <w:pPr>
              <w:pStyle w:val="0"/>
              <w:jc w:val="center"/>
            </w:pPr>
            <w:r>
              <w:rPr>
                <w:sz w:val="20"/>
              </w:rPr>
              <w:t xml:space="preserve">33,78</w:t>
            </w:r>
          </w:p>
        </w:tc>
      </w:tr>
      <w:tr>
        <w:tc>
          <w:tcPr>
            <w:tcW w:w="3118" w:type="dxa"/>
            <w:tcBorders>
              <w:top w:val="nil"/>
              <w:left w:val="nil"/>
              <w:bottom w:val="nil"/>
              <w:right w:val="nil"/>
            </w:tcBorders>
          </w:tcPr>
          <w:p>
            <w:pPr>
              <w:pStyle w:val="0"/>
            </w:pPr>
            <w:r>
              <w:rPr>
                <w:sz w:val="20"/>
              </w:rPr>
              <w:t xml:space="preserve">Норвегия</w:t>
            </w:r>
          </w:p>
        </w:tc>
        <w:tc>
          <w:tcPr>
            <w:tcW w:w="964" w:type="dxa"/>
            <w:vAlign w:val="center"/>
            <w:tcBorders>
              <w:top w:val="nil"/>
              <w:left w:val="nil"/>
              <w:bottom w:val="nil"/>
              <w:right w:val="nil"/>
            </w:tcBorders>
          </w:tcPr>
          <w:p>
            <w:pPr>
              <w:pStyle w:val="0"/>
              <w:jc w:val="center"/>
            </w:pPr>
            <w:r>
              <w:rPr>
                <w:sz w:val="20"/>
              </w:rPr>
              <w:t xml:space="preserve">38,71</w:t>
            </w:r>
          </w:p>
        </w:tc>
        <w:tc>
          <w:tcPr>
            <w:tcW w:w="907" w:type="dxa"/>
            <w:vAlign w:val="center"/>
            <w:tcBorders>
              <w:top w:val="nil"/>
              <w:left w:val="nil"/>
              <w:bottom w:val="nil"/>
              <w:right w:val="nil"/>
            </w:tcBorders>
          </w:tcPr>
          <w:p>
            <w:pPr>
              <w:pStyle w:val="0"/>
              <w:jc w:val="center"/>
            </w:pPr>
            <w:r>
              <w:rPr>
                <w:sz w:val="20"/>
              </w:rPr>
              <w:t xml:space="preserve">38,78</w:t>
            </w:r>
          </w:p>
        </w:tc>
        <w:tc>
          <w:tcPr>
            <w:tcW w:w="964" w:type="dxa"/>
            <w:vAlign w:val="center"/>
            <w:tcBorders>
              <w:top w:val="nil"/>
              <w:left w:val="nil"/>
              <w:bottom w:val="nil"/>
              <w:right w:val="nil"/>
            </w:tcBorders>
          </w:tcPr>
          <w:p>
            <w:pPr>
              <w:pStyle w:val="0"/>
              <w:jc w:val="center"/>
            </w:pPr>
            <w:r>
              <w:rPr>
                <w:sz w:val="20"/>
              </w:rPr>
              <w:t xml:space="preserve">39,37</w:t>
            </w:r>
          </w:p>
        </w:tc>
        <w:tc>
          <w:tcPr>
            <w:tcW w:w="964" w:type="dxa"/>
            <w:vAlign w:val="center"/>
            <w:tcBorders>
              <w:top w:val="nil"/>
              <w:left w:val="nil"/>
              <w:bottom w:val="nil"/>
              <w:right w:val="nil"/>
            </w:tcBorders>
          </w:tcPr>
          <w:p>
            <w:pPr>
              <w:pStyle w:val="0"/>
              <w:jc w:val="center"/>
            </w:pPr>
            <w:r>
              <w:rPr>
                <w:sz w:val="20"/>
              </w:rPr>
              <w:t xml:space="preserve">39,91</w:t>
            </w:r>
          </w:p>
        </w:tc>
        <w:tc>
          <w:tcPr>
            <w:tcW w:w="907" w:type="dxa"/>
            <w:vAlign w:val="center"/>
            <w:tcBorders>
              <w:top w:val="nil"/>
              <w:left w:val="nil"/>
              <w:bottom w:val="nil"/>
              <w:right w:val="nil"/>
            </w:tcBorders>
          </w:tcPr>
          <w:p>
            <w:pPr>
              <w:pStyle w:val="0"/>
              <w:jc w:val="center"/>
            </w:pPr>
            <w:r>
              <w:rPr>
                <w:sz w:val="20"/>
              </w:rPr>
              <w:t xml:space="preserve">38,80</w:t>
            </w:r>
          </w:p>
        </w:tc>
        <w:tc>
          <w:tcPr>
            <w:tcW w:w="1191" w:type="dxa"/>
            <w:vAlign w:val="center"/>
            <w:tcBorders>
              <w:top w:val="nil"/>
              <w:left w:val="nil"/>
              <w:bottom w:val="nil"/>
              <w:right w:val="nil"/>
            </w:tcBorders>
          </w:tcPr>
          <w:p>
            <w:pPr>
              <w:pStyle w:val="0"/>
              <w:jc w:val="center"/>
            </w:pPr>
            <w:r>
              <w:rPr>
                <w:sz w:val="20"/>
              </w:rPr>
              <w:t xml:space="preserve">42,24</w:t>
            </w:r>
          </w:p>
        </w:tc>
      </w:tr>
      <w:tr>
        <w:tc>
          <w:tcPr>
            <w:tcW w:w="3118" w:type="dxa"/>
            <w:tcBorders>
              <w:top w:val="nil"/>
              <w:left w:val="nil"/>
              <w:bottom w:val="nil"/>
              <w:right w:val="nil"/>
            </w:tcBorders>
          </w:tcPr>
          <w:p>
            <w:pPr>
              <w:pStyle w:val="0"/>
            </w:pPr>
            <w:r>
              <w:rPr>
                <w:sz w:val="20"/>
              </w:rPr>
              <w:t xml:space="preserve">Польша</w:t>
            </w:r>
          </w:p>
        </w:tc>
        <w:tc>
          <w:tcPr>
            <w:tcW w:w="964" w:type="dxa"/>
            <w:vAlign w:val="center"/>
            <w:tcBorders>
              <w:top w:val="nil"/>
              <w:left w:val="nil"/>
              <w:bottom w:val="nil"/>
              <w:right w:val="nil"/>
            </w:tcBorders>
          </w:tcPr>
          <w:p>
            <w:pPr>
              <w:pStyle w:val="0"/>
              <w:jc w:val="center"/>
            </w:pPr>
            <w:r>
              <w:rPr>
                <w:sz w:val="20"/>
              </w:rPr>
              <w:t xml:space="preserve">33,54</w:t>
            </w:r>
          </w:p>
        </w:tc>
        <w:tc>
          <w:tcPr>
            <w:tcW w:w="907" w:type="dxa"/>
            <w:vAlign w:val="center"/>
            <w:tcBorders>
              <w:top w:val="nil"/>
              <w:left w:val="nil"/>
              <w:bottom w:val="nil"/>
              <w:right w:val="nil"/>
            </w:tcBorders>
          </w:tcPr>
          <w:p>
            <w:pPr>
              <w:pStyle w:val="0"/>
              <w:jc w:val="center"/>
            </w:pPr>
            <w:r>
              <w:rPr>
                <w:sz w:val="20"/>
              </w:rPr>
              <w:t xml:space="preserve">34,12</w:t>
            </w:r>
          </w:p>
        </w:tc>
        <w:tc>
          <w:tcPr>
            <w:tcW w:w="964" w:type="dxa"/>
            <w:vAlign w:val="center"/>
            <w:tcBorders>
              <w:top w:val="nil"/>
              <w:left w:val="nil"/>
              <w:bottom w:val="nil"/>
              <w:right w:val="nil"/>
            </w:tcBorders>
          </w:tcPr>
          <w:p>
            <w:pPr>
              <w:pStyle w:val="0"/>
              <w:jc w:val="center"/>
            </w:pPr>
            <w:r>
              <w:rPr>
                <w:sz w:val="20"/>
              </w:rPr>
              <w:t xml:space="preserve">35,14</w:t>
            </w:r>
          </w:p>
        </w:tc>
        <w:tc>
          <w:tcPr>
            <w:tcW w:w="964" w:type="dxa"/>
            <w:vAlign w:val="center"/>
            <w:tcBorders>
              <w:top w:val="nil"/>
              <w:left w:val="nil"/>
              <w:bottom w:val="nil"/>
              <w:right w:val="nil"/>
            </w:tcBorders>
          </w:tcPr>
          <w:p>
            <w:pPr>
              <w:pStyle w:val="0"/>
              <w:jc w:val="center"/>
            </w:pPr>
            <w:r>
              <w:rPr>
                <w:sz w:val="20"/>
              </w:rPr>
              <w:t xml:space="preserve">35,11</w:t>
            </w:r>
          </w:p>
        </w:tc>
        <w:tc>
          <w:tcPr>
            <w:tcW w:w="907" w:type="dxa"/>
            <w:vAlign w:val="center"/>
            <w:tcBorders>
              <w:top w:val="nil"/>
              <w:left w:val="nil"/>
              <w:bottom w:val="nil"/>
              <w:right w:val="nil"/>
            </w:tcBorders>
          </w:tcPr>
          <w:p>
            <w:pPr>
              <w:pStyle w:val="0"/>
              <w:jc w:val="center"/>
            </w:pPr>
            <w:r>
              <w:rPr>
                <w:sz w:val="20"/>
              </w:rPr>
              <w:t xml:space="preserve">35,54</w:t>
            </w:r>
          </w:p>
        </w:tc>
        <w:tc>
          <w:tcPr>
            <w:tcW w:w="1191" w:type="dxa"/>
            <w:vAlign w:val="center"/>
            <w:tcBorders>
              <w:top w:val="nil"/>
              <w:left w:val="nil"/>
              <w:bottom w:val="nil"/>
              <w:right w:val="nil"/>
            </w:tcBorders>
          </w:tcPr>
          <w:p>
            <w:pPr>
              <w:pStyle w:val="0"/>
              <w:jc w:val="center"/>
            </w:pPr>
            <w:r>
              <w:rPr>
                <w:sz w:val="20"/>
              </w:rPr>
              <w:t xml:space="preserve">36,77</w:t>
            </w:r>
          </w:p>
        </w:tc>
      </w:tr>
      <w:tr>
        <w:tc>
          <w:tcPr>
            <w:tcW w:w="3118" w:type="dxa"/>
            <w:tcBorders>
              <w:top w:val="nil"/>
              <w:left w:val="nil"/>
              <w:bottom w:val="nil"/>
              <w:right w:val="nil"/>
            </w:tcBorders>
          </w:tcPr>
          <w:p>
            <w:pPr>
              <w:pStyle w:val="0"/>
            </w:pPr>
            <w:r>
              <w:rPr>
                <w:sz w:val="20"/>
              </w:rPr>
              <w:t xml:space="preserve">Португалия</w:t>
            </w:r>
          </w:p>
        </w:tc>
        <w:tc>
          <w:tcPr>
            <w:tcW w:w="964" w:type="dxa"/>
            <w:vAlign w:val="center"/>
            <w:tcBorders>
              <w:top w:val="nil"/>
              <w:left w:val="nil"/>
              <w:bottom w:val="nil"/>
              <w:right w:val="nil"/>
            </w:tcBorders>
          </w:tcPr>
          <w:p>
            <w:pPr>
              <w:pStyle w:val="0"/>
              <w:jc w:val="center"/>
            </w:pPr>
            <w:r>
              <w:rPr>
                <w:sz w:val="20"/>
              </w:rPr>
              <w:t xml:space="preserve">34,12</w:t>
            </w:r>
          </w:p>
        </w:tc>
        <w:tc>
          <w:tcPr>
            <w:tcW w:w="907" w:type="dxa"/>
            <w:vAlign w:val="center"/>
            <w:tcBorders>
              <w:top w:val="nil"/>
              <w:left w:val="nil"/>
              <w:bottom w:val="nil"/>
              <w:right w:val="nil"/>
            </w:tcBorders>
          </w:tcPr>
          <w:p>
            <w:pPr>
              <w:pStyle w:val="0"/>
              <w:jc w:val="center"/>
            </w:pPr>
            <w:r>
              <w:rPr>
                <w:sz w:val="20"/>
              </w:rPr>
              <w:t xml:space="preserve">34,12</w:t>
            </w:r>
          </w:p>
        </w:tc>
        <w:tc>
          <w:tcPr>
            <w:tcW w:w="964" w:type="dxa"/>
            <w:vAlign w:val="center"/>
            <w:tcBorders>
              <w:top w:val="nil"/>
              <w:left w:val="nil"/>
              <w:bottom w:val="nil"/>
              <w:right w:val="nil"/>
            </w:tcBorders>
          </w:tcPr>
          <w:p>
            <w:pPr>
              <w:pStyle w:val="0"/>
              <w:jc w:val="center"/>
            </w:pPr>
            <w:r>
              <w:rPr>
                <w:sz w:val="20"/>
              </w:rPr>
              <w:t xml:space="preserve">34,66</w:t>
            </w:r>
          </w:p>
        </w:tc>
        <w:tc>
          <w:tcPr>
            <w:tcW w:w="964" w:type="dxa"/>
            <w:vAlign w:val="center"/>
            <w:tcBorders>
              <w:top w:val="nil"/>
              <w:left w:val="nil"/>
              <w:bottom w:val="nil"/>
              <w:right w:val="nil"/>
            </w:tcBorders>
          </w:tcPr>
          <w:p>
            <w:pPr>
              <w:pStyle w:val="0"/>
              <w:jc w:val="center"/>
            </w:pPr>
            <w:r>
              <w:rPr>
                <w:sz w:val="20"/>
              </w:rPr>
              <w:t xml:space="preserve">34,50</w:t>
            </w:r>
          </w:p>
        </w:tc>
        <w:tc>
          <w:tcPr>
            <w:tcW w:w="907" w:type="dxa"/>
            <w:vAlign w:val="center"/>
            <w:tcBorders>
              <w:top w:val="nil"/>
              <w:left w:val="nil"/>
              <w:bottom w:val="nil"/>
              <w:right w:val="nil"/>
            </w:tcBorders>
          </w:tcPr>
          <w:p>
            <w:pPr>
              <w:pStyle w:val="0"/>
              <w:jc w:val="center"/>
            </w:pPr>
            <w:r>
              <w:rPr>
                <w:sz w:val="20"/>
              </w:rPr>
              <w:t xml:space="preserve">35,26</w:t>
            </w:r>
          </w:p>
        </w:tc>
        <w:tc>
          <w:tcPr>
            <w:tcW w:w="1191" w:type="dxa"/>
            <w:vAlign w:val="center"/>
            <w:tcBorders>
              <w:top w:val="nil"/>
              <w:left w:val="nil"/>
              <w:bottom w:val="nil"/>
              <w:right w:val="nil"/>
            </w:tcBorders>
          </w:tcPr>
          <w:p>
            <w:pPr>
              <w:pStyle w:val="0"/>
              <w:jc w:val="center"/>
            </w:pPr>
            <w:r>
              <w:rPr>
                <w:sz w:val="20"/>
              </w:rPr>
              <w:t xml:space="preserve">35,77</w:t>
            </w:r>
          </w:p>
        </w:tc>
      </w:tr>
      <w:tr>
        <w:tc>
          <w:tcPr>
            <w:tcW w:w="3118" w:type="dxa"/>
            <w:tcBorders>
              <w:top w:val="nil"/>
              <w:left w:val="nil"/>
              <w:bottom w:val="nil"/>
              <w:right w:val="nil"/>
            </w:tcBorders>
          </w:tcPr>
          <w:p>
            <w:pPr>
              <w:pStyle w:val="0"/>
            </w:pPr>
            <w:r>
              <w:rPr>
                <w:sz w:val="20"/>
              </w:rPr>
              <w:t xml:space="preserve">Словакия</w:t>
            </w:r>
          </w:p>
        </w:tc>
        <w:tc>
          <w:tcPr>
            <w:tcW w:w="964" w:type="dxa"/>
            <w:vAlign w:val="center"/>
            <w:tcBorders>
              <w:top w:val="nil"/>
              <w:left w:val="nil"/>
              <w:bottom w:val="nil"/>
              <w:right w:val="nil"/>
            </w:tcBorders>
          </w:tcPr>
          <w:p>
            <w:pPr>
              <w:pStyle w:val="0"/>
              <w:jc w:val="center"/>
            </w:pPr>
            <w:r>
              <w:rPr>
                <w:sz w:val="20"/>
              </w:rPr>
              <w:t xml:space="preserve">32,34</w:t>
            </w:r>
          </w:p>
        </w:tc>
        <w:tc>
          <w:tcPr>
            <w:tcW w:w="907" w:type="dxa"/>
            <w:vAlign w:val="center"/>
            <w:tcBorders>
              <w:top w:val="nil"/>
              <w:left w:val="nil"/>
              <w:bottom w:val="nil"/>
              <w:right w:val="nil"/>
            </w:tcBorders>
          </w:tcPr>
          <w:p>
            <w:pPr>
              <w:pStyle w:val="0"/>
              <w:jc w:val="center"/>
            </w:pPr>
            <w:r>
              <w:rPr>
                <w:sz w:val="20"/>
              </w:rPr>
              <w:t xml:space="preserve">34,22</w:t>
            </w:r>
          </w:p>
        </w:tc>
        <w:tc>
          <w:tcPr>
            <w:tcW w:w="964" w:type="dxa"/>
            <w:vAlign w:val="center"/>
            <w:tcBorders>
              <w:top w:val="nil"/>
              <w:left w:val="nil"/>
              <w:bottom w:val="nil"/>
              <w:right w:val="nil"/>
            </w:tcBorders>
          </w:tcPr>
          <w:p>
            <w:pPr>
              <w:pStyle w:val="0"/>
              <w:jc w:val="center"/>
            </w:pPr>
            <w:r>
              <w:rPr>
                <w:sz w:val="20"/>
              </w:rPr>
              <w:t xml:space="preserve">34,20</w:t>
            </w:r>
          </w:p>
        </w:tc>
        <w:tc>
          <w:tcPr>
            <w:tcW w:w="964" w:type="dxa"/>
            <w:vAlign w:val="center"/>
            <w:tcBorders>
              <w:top w:val="nil"/>
              <w:left w:val="nil"/>
              <w:bottom w:val="nil"/>
              <w:right w:val="nil"/>
            </w:tcBorders>
          </w:tcPr>
          <w:p>
            <w:pPr>
              <w:pStyle w:val="0"/>
              <w:jc w:val="center"/>
            </w:pPr>
            <w:r>
              <w:rPr>
                <w:sz w:val="20"/>
              </w:rPr>
              <w:t xml:space="preserve">34,57</w:t>
            </w:r>
          </w:p>
        </w:tc>
        <w:tc>
          <w:tcPr>
            <w:tcW w:w="907" w:type="dxa"/>
            <w:vAlign w:val="center"/>
            <w:tcBorders>
              <w:top w:val="nil"/>
              <w:left w:val="nil"/>
              <w:bottom w:val="nil"/>
              <w:right w:val="nil"/>
            </w:tcBorders>
          </w:tcPr>
          <w:p>
            <w:pPr>
              <w:pStyle w:val="0"/>
              <w:jc w:val="center"/>
            </w:pPr>
            <w:r>
              <w:rPr>
                <w:sz w:val="20"/>
              </w:rPr>
              <w:t xml:space="preserve">35,19</w:t>
            </w:r>
          </w:p>
        </w:tc>
        <w:tc>
          <w:tcPr>
            <w:tcW w:w="1191" w:type="dxa"/>
            <w:vAlign w:val="center"/>
            <w:tcBorders>
              <w:top w:val="nil"/>
              <w:left w:val="nil"/>
              <w:bottom w:val="nil"/>
              <w:right w:val="nil"/>
            </w:tcBorders>
          </w:tcPr>
          <w:p>
            <w:pPr>
              <w:pStyle w:val="0"/>
              <w:jc w:val="center"/>
            </w:pPr>
            <w:r>
              <w:rPr>
                <w:sz w:val="20"/>
              </w:rPr>
              <w:t xml:space="preserve">35,78</w:t>
            </w:r>
          </w:p>
        </w:tc>
      </w:tr>
      <w:tr>
        <w:tc>
          <w:tcPr>
            <w:tcW w:w="3118" w:type="dxa"/>
            <w:tcBorders>
              <w:top w:val="nil"/>
              <w:left w:val="nil"/>
              <w:bottom w:val="nil"/>
              <w:right w:val="nil"/>
            </w:tcBorders>
          </w:tcPr>
          <w:p>
            <w:pPr>
              <w:pStyle w:val="0"/>
            </w:pPr>
            <w:r>
              <w:rPr>
                <w:sz w:val="20"/>
              </w:rPr>
              <w:t xml:space="preserve">Словения</w:t>
            </w:r>
          </w:p>
        </w:tc>
        <w:tc>
          <w:tcPr>
            <w:tcW w:w="964" w:type="dxa"/>
            <w:vAlign w:val="center"/>
            <w:tcBorders>
              <w:top w:val="nil"/>
              <w:left w:val="nil"/>
              <w:bottom w:val="nil"/>
              <w:right w:val="nil"/>
            </w:tcBorders>
          </w:tcPr>
          <w:p>
            <w:pPr>
              <w:pStyle w:val="0"/>
              <w:jc w:val="center"/>
            </w:pPr>
            <w:r>
              <w:rPr>
                <w:sz w:val="20"/>
              </w:rPr>
              <w:t xml:space="preserve">36,51</w:t>
            </w:r>
          </w:p>
        </w:tc>
        <w:tc>
          <w:tcPr>
            <w:tcW w:w="907" w:type="dxa"/>
            <w:vAlign w:val="center"/>
            <w:tcBorders>
              <w:top w:val="nil"/>
              <w:left w:val="nil"/>
              <w:bottom w:val="nil"/>
              <w:right w:val="nil"/>
            </w:tcBorders>
          </w:tcPr>
          <w:p>
            <w:pPr>
              <w:pStyle w:val="0"/>
              <w:jc w:val="center"/>
            </w:pPr>
            <w:r>
              <w:rPr>
                <w:sz w:val="20"/>
              </w:rPr>
              <w:t xml:space="preserve">37,13</w:t>
            </w:r>
          </w:p>
        </w:tc>
        <w:tc>
          <w:tcPr>
            <w:tcW w:w="964" w:type="dxa"/>
            <w:vAlign w:val="center"/>
            <w:tcBorders>
              <w:top w:val="nil"/>
              <w:left w:val="nil"/>
              <w:bottom w:val="nil"/>
              <w:right w:val="nil"/>
            </w:tcBorders>
          </w:tcPr>
          <w:p>
            <w:pPr>
              <w:pStyle w:val="0"/>
              <w:jc w:val="center"/>
            </w:pPr>
            <w:r>
              <w:rPr>
                <w:sz w:val="20"/>
              </w:rPr>
              <w:t xml:space="preserve">37,27</w:t>
            </w:r>
          </w:p>
        </w:tc>
        <w:tc>
          <w:tcPr>
            <w:tcW w:w="964" w:type="dxa"/>
            <w:vAlign w:val="center"/>
            <w:tcBorders>
              <w:top w:val="nil"/>
              <w:left w:val="nil"/>
              <w:bottom w:val="nil"/>
              <w:right w:val="nil"/>
            </w:tcBorders>
          </w:tcPr>
          <w:p>
            <w:pPr>
              <w:pStyle w:val="0"/>
              <w:jc w:val="center"/>
            </w:pPr>
            <w:r>
              <w:rPr>
                <w:sz w:val="20"/>
              </w:rPr>
              <w:t xml:space="preserve">37,17</w:t>
            </w:r>
          </w:p>
        </w:tc>
        <w:tc>
          <w:tcPr>
            <w:tcW w:w="907" w:type="dxa"/>
            <w:vAlign w:val="center"/>
            <w:tcBorders>
              <w:top w:val="nil"/>
              <w:left w:val="nil"/>
              <w:bottom w:val="nil"/>
              <w:right w:val="nil"/>
            </w:tcBorders>
          </w:tcPr>
          <w:p>
            <w:pPr>
              <w:pStyle w:val="0"/>
              <w:jc w:val="center"/>
            </w:pPr>
            <w:r>
              <w:rPr>
                <w:sz w:val="20"/>
              </w:rPr>
              <w:t xml:space="preserve">37,18</w:t>
            </w:r>
          </w:p>
        </w:tc>
        <w:tc>
          <w:tcPr>
            <w:tcW w:w="1191" w:type="dxa"/>
            <w:vAlign w:val="center"/>
            <w:tcBorders>
              <w:top w:val="nil"/>
              <w:left w:val="nil"/>
              <w:bottom w:val="nil"/>
              <w:right w:val="nil"/>
            </w:tcBorders>
          </w:tcPr>
          <w:p>
            <w:pPr>
              <w:pStyle w:val="0"/>
              <w:jc w:val="center"/>
            </w:pPr>
            <w:r>
              <w:rPr>
                <w:sz w:val="20"/>
              </w:rPr>
              <w:t xml:space="preserve">37,43</w:t>
            </w:r>
          </w:p>
        </w:tc>
      </w:tr>
      <w:tr>
        <w:tc>
          <w:tcPr>
            <w:tcW w:w="3118" w:type="dxa"/>
            <w:tcBorders>
              <w:top w:val="nil"/>
              <w:left w:val="nil"/>
              <w:bottom w:val="nil"/>
              <w:right w:val="nil"/>
            </w:tcBorders>
          </w:tcPr>
          <w:p>
            <w:pPr>
              <w:pStyle w:val="0"/>
            </w:pPr>
            <w:r>
              <w:rPr>
                <w:sz w:val="20"/>
              </w:rPr>
              <w:t xml:space="preserve">США</w:t>
            </w:r>
          </w:p>
        </w:tc>
        <w:tc>
          <w:tcPr>
            <w:tcW w:w="964" w:type="dxa"/>
            <w:vAlign w:val="center"/>
            <w:tcBorders>
              <w:top w:val="nil"/>
              <w:left w:val="nil"/>
              <w:bottom w:val="nil"/>
              <w:right w:val="nil"/>
            </w:tcBorders>
          </w:tcPr>
          <w:p>
            <w:pPr>
              <w:pStyle w:val="0"/>
              <w:jc w:val="center"/>
            </w:pPr>
            <w:r>
              <w:rPr>
                <w:sz w:val="20"/>
              </w:rPr>
              <w:t xml:space="preserve">25,87</w:t>
            </w:r>
          </w:p>
        </w:tc>
        <w:tc>
          <w:tcPr>
            <w:tcW w:w="907" w:type="dxa"/>
            <w:vAlign w:val="center"/>
            <w:tcBorders>
              <w:top w:val="nil"/>
              <w:left w:val="nil"/>
              <w:bottom w:val="nil"/>
              <w:right w:val="nil"/>
            </w:tcBorders>
          </w:tcPr>
          <w:p>
            <w:pPr>
              <w:pStyle w:val="0"/>
              <w:jc w:val="center"/>
            </w:pPr>
            <w:r>
              <w:rPr>
                <w:sz w:val="20"/>
              </w:rPr>
              <w:t xml:space="preserve">26,74</w:t>
            </w:r>
          </w:p>
        </w:tc>
        <w:tc>
          <w:tcPr>
            <w:tcW w:w="964" w:type="dxa"/>
            <w:vAlign w:val="center"/>
            <w:tcBorders>
              <w:top w:val="nil"/>
              <w:left w:val="nil"/>
              <w:bottom w:val="nil"/>
              <w:right w:val="nil"/>
            </w:tcBorders>
          </w:tcPr>
          <w:p>
            <w:pPr>
              <w:pStyle w:val="0"/>
              <w:jc w:val="center"/>
            </w:pPr>
            <w:r>
              <w:rPr>
                <w:sz w:val="20"/>
              </w:rPr>
              <w:t xml:space="preserve">24,89</w:t>
            </w:r>
          </w:p>
        </w:tc>
        <w:tc>
          <w:tcPr>
            <w:tcW w:w="964" w:type="dxa"/>
            <w:vAlign w:val="center"/>
            <w:tcBorders>
              <w:top w:val="nil"/>
              <w:left w:val="nil"/>
              <w:bottom w:val="nil"/>
              <w:right w:val="nil"/>
            </w:tcBorders>
          </w:tcPr>
          <w:p>
            <w:pPr>
              <w:pStyle w:val="0"/>
              <w:jc w:val="center"/>
            </w:pPr>
            <w:r>
              <w:rPr>
                <w:sz w:val="20"/>
              </w:rPr>
              <w:t xml:space="preserve">24,97</w:t>
            </w:r>
          </w:p>
        </w:tc>
        <w:tc>
          <w:tcPr>
            <w:tcW w:w="907" w:type="dxa"/>
            <w:vAlign w:val="center"/>
            <w:tcBorders>
              <w:top w:val="nil"/>
              <w:left w:val="nil"/>
              <w:bottom w:val="nil"/>
              <w:right w:val="nil"/>
            </w:tcBorders>
          </w:tcPr>
          <w:p>
            <w:pPr>
              <w:pStyle w:val="0"/>
              <w:jc w:val="center"/>
            </w:pPr>
            <w:r>
              <w:rPr>
                <w:sz w:val="20"/>
              </w:rPr>
              <w:t xml:space="preserve">25,75</w:t>
            </w:r>
          </w:p>
        </w:tc>
        <w:tc>
          <w:tcPr>
            <w:tcW w:w="1191" w:type="dxa"/>
            <w:vAlign w:val="center"/>
            <w:tcBorders>
              <w:top w:val="nil"/>
              <w:left w:val="nil"/>
              <w:bottom w:val="nil"/>
              <w:right w:val="nil"/>
            </w:tcBorders>
          </w:tcPr>
          <w:p>
            <w:pPr>
              <w:pStyle w:val="0"/>
              <w:jc w:val="center"/>
            </w:pPr>
            <w:r>
              <w:rPr>
                <w:sz w:val="20"/>
              </w:rPr>
              <w:t xml:space="preserve">26,58</w:t>
            </w:r>
          </w:p>
        </w:tc>
      </w:tr>
      <w:tr>
        <w:tc>
          <w:tcPr>
            <w:tcW w:w="3118" w:type="dxa"/>
            <w:tcBorders>
              <w:top w:val="nil"/>
              <w:left w:val="nil"/>
              <w:bottom w:val="nil"/>
              <w:right w:val="nil"/>
            </w:tcBorders>
          </w:tcPr>
          <w:p>
            <w:pPr>
              <w:pStyle w:val="0"/>
            </w:pPr>
            <w:r>
              <w:rPr>
                <w:sz w:val="20"/>
              </w:rPr>
              <w:t xml:space="preserve">Турция</w:t>
            </w:r>
          </w:p>
        </w:tc>
        <w:tc>
          <w:tcPr>
            <w:tcW w:w="964" w:type="dxa"/>
            <w:vAlign w:val="center"/>
            <w:tcBorders>
              <w:top w:val="nil"/>
              <w:left w:val="nil"/>
              <w:bottom w:val="nil"/>
              <w:right w:val="nil"/>
            </w:tcBorders>
          </w:tcPr>
          <w:p>
            <w:pPr>
              <w:pStyle w:val="0"/>
              <w:jc w:val="center"/>
            </w:pPr>
            <w:r>
              <w:rPr>
                <w:sz w:val="20"/>
              </w:rPr>
              <w:t xml:space="preserve">25,30</w:t>
            </w:r>
          </w:p>
        </w:tc>
        <w:tc>
          <w:tcPr>
            <w:tcW w:w="907" w:type="dxa"/>
            <w:vAlign w:val="center"/>
            <w:tcBorders>
              <w:top w:val="nil"/>
              <w:left w:val="nil"/>
              <w:bottom w:val="nil"/>
              <w:right w:val="nil"/>
            </w:tcBorders>
          </w:tcPr>
          <w:p>
            <w:pPr>
              <w:pStyle w:val="0"/>
              <w:jc w:val="center"/>
            </w:pPr>
            <w:r>
              <w:rPr>
                <w:sz w:val="20"/>
              </w:rPr>
              <w:t xml:space="preserve">24,68</w:t>
            </w:r>
          </w:p>
        </w:tc>
        <w:tc>
          <w:tcPr>
            <w:tcW w:w="964" w:type="dxa"/>
            <w:vAlign w:val="center"/>
            <w:tcBorders>
              <w:top w:val="nil"/>
              <w:left w:val="nil"/>
              <w:bottom w:val="nil"/>
              <w:right w:val="nil"/>
            </w:tcBorders>
          </w:tcPr>
          <w:p>
            <w:pPr>
              <w:pStyle w:val="0"/>
              <w:jc w:val="center"/>
            </w:pPr>
            <w:r>
              <w:rPr>
                <w:sz w:val="20"/>
              </w:rPr>
              <w:t xml:space="preserve">23,98</w:t>
            </w:r>
          </w:p>
        </w:tc>
        <w:tc>
          <w:tcPr>
            <w:tcW w:w="964" w:type="dxa"/>
            <w:vAlign w:val="center"/>
            <w:tcBorders>
              <w:top w:val="nil"/>
              <w:left w:val="nil"/>
              <w:bottom w:val="nil"/>
              <w:right w:val="nil"/>
            </w:tcBorders>
          </w:tcPr>
          <w:p>
            <w:pPr>
              <w:pStyle w:val="0"/>
              <w:jc w:val="center"/>
            </w:pPr>
            <w:r>
              <w:rPr>
                <w:sz w:val="20"/>
              </w:rPr>
              <w:t xml:space="preserve">23,10</w:t>
            </w:r>
          </w:p>
        </w:tc>
        <w:tc>
          <w:tcPr>
            <w:tcW w:w="907" w:type="dxa"/>
            <w:vAlign w:val="center"/>
            <w:tcBorders>
              <w:top w:val="nil"/>
              <w:left w:val="nil"/>
              <w:bottom w:val="nil"/>
              <w:right w:val="nil"/>
            </w:tcBorders>
          </w:tcPr>
          <w:p>
            <w:pPr>
              <w:pStyle w:val="0"/>
              <w:jc w:val="center"/>
            </w:pPr>
            <w:r>
              <w:rPr>
                <w:sz w:val="20"/>
              </w:rPr>
              <w:t xml:space="preserve">23,86</w:t>
            </w:r>
          </w:p>
        </w:tc>
        <w:tc>
          <w:tcPr>
            <w:tcW w:w="1191" w:type="dxa"/>
            <w:vAlign w:val="center"/>
            <w:tcBorders>
              <w:top w:val="nil"/>
              <w:left w:val="nil"/>
              <w:bottom w:val="nil"/>
              <w:right w:val="nil"/>
            </w:tcBorders>
          </w:tcPr>
          <w:p>
            <w:pPr>
              <w:pStyle w:val="0"/>
              <w:jc w:val="center"/>
            </w:pPr>
            <w:r>
              <w:rPr>
                <w:sz w:val="20"/>
              </w:rPr>
              <w:t xml:space="preserve">22,83</w:t>
            </w:r>
          </w:p>
        </w:tc>
      </w:tr>
      <w:tr>
        <w:tc>
          <w:tcPr>
            <w:tcW w:w="3118" w:type="dxa"/>
            <w:tcBorders>
              <w:top w:val="nil"/>
              <w:left w:val="nil"/>
              <w:bottom w:val="nil"/>
              <w:right w:val="nil"/>
            </w:tcBorders>
          </w:tcPr>
          <w:p>
            <w:pPr>
              <w:pStyle w:val="0"/>
            </w:pPr>
            <w:r>
              <w:rPr>
                <w:sz w:val="20"/>
              </w:rPr>
              <w:t xml:space="preserve">Финляндия</w:t>
            </w:r>
          </w:p>
        </w:tc>
        <w:tc>
          <w:tcPr>
            <w:tcW w:w="964" w:type="dxa"/>
            <w:vAlign w:val="center"/>
            <w:tcBorders>
              <w:top w:val="nil"/>
              <w:left w:val="nil"/>
              <w:bottom w:val="nil"/>
              <w:right w:val="nil"/>
            </w:tcBorders>
          </w:tcPr>
          <w:p>
            <w:pPr>
              <w:pStyle w:val="0"/>
              <w:jc w:val="center"/>
            </w:pPr>
            <w:r>
              <w:rPr>
                <w:sz w:val="20"/>
              </w:rPr>
              <w:t xml:space="preserve">44,03</w:t>
            </w:r>
          </w:p>
        </w:tc>
        <w:tc>
          <w:tcPr>
            <w:tcW w:w="907" w:type="dxa"/>
            <w:vAlign w:val="center"/>
            <w:tcBorders>
              <w:top w:val="nil"/>
              <w:left w:val="nil"/>
              <w:bottom w:val="nil"/>
              <w:right w:val="nil"/>
            </w:tcBorders>
          </w:tcPr>
          <w:p>
            <w:pPr>
              <w:pStyle w:val="0"/>
              <w:jc w:val="center"/>
            </w:pPr>
            <w:r>
              <w:rPr>
                <w:sz w:val="20"/>
              </w:rPr>
              <w:t xml:space="preserve">42,93</w:t>
            </w:r>
          </w:p>
        </w:tc>
        <w:tc>
          <w:tcPr>
            <w:tcW w:w="964" w:type="dxa"/>
            <w:vAlign w:val="center"/>
            <w:tcBorders>
              <w:top w:val="nil"/>
              <w:left w:val="nil"/>
              <w:bottom w:val="nil"/>
              <w:right w:val="nil"/>
            </w:tcBorders>
          </w:tcPr>
          <w:p>
            <w:pPr>
              <w:pStyle w:val="0"/>
              <w:jc w:val="center"/>
            </w:pPr>
            <w:r>
              <w:rPr>
                <w:sz w:val="20"/>
              </w:rPr>
              <w:t xml:space="preserve">42,39</w:t>
            </w:r>
          </w:p>
        </w:tc>
        <w:tc>
          <w:tcPr>
            <w:tcW w:w="964" w:type="dxa"/>
            <w:vAlign w:val="center"/>
            <w:tcBorders>
              <w:top w:val="nil"/>
              <w:left w:val="nil"/>
              <w:bottom w:val="nil"/>
              <w:right w:val="nil"/>
            </w:tcBorders>
          </w:tcPr>
          <w:p>
            <w:pPr>
              <w:pStyle w:val="0"/>
              <w:jc w:val="center"/>
            </w:pPr>
            <w:r>
              <w:rPr>
                <w:sz w:val="20"/>
              </w:rPr>
              <w:t xml:space="preserve">42,25</w:t>
            </w:r>
          </w:p>
        </w:tc>
        <w:tc>
          <w:tcPr>
            <w:tcW w:w="907" w:type="dxa"/>
            <w:vAlign w:val="center"/>
            <w:tcBorders>
              <w:top w:val="nil"/>
              <w:left w:val="nil"/>
              <w:bottom w:val="nil"/>
              <w:right w:val="nil"/>
            </w:tcBorders>
          </w:tcPr>
          <w:p>
            <w:pPr>
              <w:pStyle w:val="0"/>
              <w:jc w:val="center"/>
            </w:pPr>
            <w:r>
              <w:rPr>
                <w:sz w:val="20"/>
              </w:rPr>
              <w:t xml:space="preserve">41,85</w:t>
            </w:r>
          </w:p>
        </w:tc>
        <w:tc>
          <w:tcPr>
            <w:tcW w:w="1191" w:type="dxa"/>
            <w:vAlign w:val="center"/>
            <w:tcBorders>
              <w:top w:val="nil"/>
              <w:left w:val="nil"/>
              <w:bottom w:val="nil"/>
              <w:right w:val="nil"/>
            </w:tcBorders>
          </w:tcPr>
          <w:p>
            <w:pPr>
              <w:pStyle w:val="0"/>
              <w:jc w:val="center"/>
            </w:pPr>
            <w:r>
              <w:rPr>
                <w:sz w:val="20"/>
              </w:rPr>
              <w:t xml:space="preserve">42,99</w:t>
            </w:r>
          </w:p>
        </w:tc>
      </w:tr>
      <w:tr>
        <w:tc>
          <w:tcPr>
            <w:tcW w:w="3118" w:type="dxa"/>
            <w:tcBorders>
              <w:top w:val="nil"/>
              <w:left w:val="nil"/>
              <w:bottom w:val="nil"/>
              <w:right w:val="nil"/>
            </w:tcBorders>
          </w:tcPr>
          <w:p>
            <w:pPr>
              <w:pStyle w:val="0"/>
            </w:pPr>
            <w:r>
              <w:rPr>
                <w:sz w:val="20"/>
              </w:rPr>
              <w:t xml:space="preserve">Франция</w:t>
            </w:r>
          </w:p>
        </w:tc>
        <w:tc>
          <w:tcPr>
            <w:tcW w:w="964" w:type="dxa"/>
            <w:vAlign w:val="center"/>
            <w:tcBorders>
              <w:top w:val="nil"/>
              <w:left w:val="nil"/>
              <w:bottom w:val="nil"/>
              <w:right w:val="nil"/>
            </w:tcBorders>
          </w:tcPr>
          <w:p>
            <w:pPr>
              <w:pStyle w:val="0"/>
              <w:jc w:val="center"/>
            </w:pPr>
            <w:r>
              <w:rPr>
                <w:sz w:val="20"/>
              </w:rPr>
              <w:t xml:space="preserve">45,37</w:t>
            </w:r>
          </w:p>
        </w:tc>
        <w:tc>
          <w:tcPr>
            <w:tcW w:w="907" w:type="dxa"/>
            <w:vAlign w:val="center"/>
            <w:tcBorders>
              <w:top w:val="nil"/>
              <w:left w:val="nil"/>
              <w:bottom w:val="nil"/>
              <w:right w:val="nil"/>
            </w:tcBorders>
          </w:tcPr>
          <w:p>
            <w:pPr>
              <w:pStyle w:val="0"/>
              <w:jc w:val="center"/>
            </w:pPr>
            <w:r>
              <w:rPr>
                <w:sz w:val="20"/>
              </w:rPr>
              <w:t xml:space="preserve">46,07</w:t>
            </w:r>
          </w:p>
        </w:tc>
        <w:tc>
          <w:tcPr>
            <w:tcW w:w="964" w:type="dxa"/>
            <w:vAlign w:val="center"/>
            <w:tcBorders>
              <w:top w:val="nil"/>
              <w:left w:val="nil"/>
              <w:bottom w:val="nil"/>
              <w:right w:val="nil"/>
            </w:tcBorders>
          </w:tcPr>
          <w:p>
            <w:pPr>
              <w:pStyle w:val="0"/>
              <w:jc w:val="center"/>
            </w:pPr>
            <w:r>
              <w:rPr>
                <w:sz w:val="20"/>
              </w:rPr>
              <w:t xml:space="preserve">45,88</w:t>
            </w:r>
          </w:p>
        </w:tc>
        <w:tc>
          <w:tcPr>
            <w:tcW w:w="964" w:type="dxa"/>
            <w:vAlign w:val="center"/>
            <w:tcBorders>
              <w:top w:val="nil"/>
              <w:left w:val="nil"/>
              <w:bottom w:val="nil"/>
              <w:right w:val="nil"/>
            </w:tcBorders>
          </w:tcPr>
          <w:p>
            <w:pPr>
              <w:pStyle w:val="0"/>
              <w:jc w:val="center"/>
            </w:pPr>
            <w:r>
              <w:rPr>
                <w:sz w:val="20"/>
              </w:rPr>
              <w:t xml:space="preserve">44,89</w:t>
            </w:r>
          </w:p>
        </w:tc>
        <w:tc>
          <w:tcPr>
            <w:tcW w:w="907" w:type="dxa"/>
            <w:vAlign w:val="center"/>
            <w:tcBorders>
              <w:top w:val="nil"/>
              <w:left w:val="nil"/>
              <w:bottom w:val="nil"/>
              <w:right w:val="nil"/>
            </w:tcBorders>
          </w:tcPr>
          <w:p>
            <w:pPr>
              <w:pStyle w:val="0"/>
              <w:jc w:val="center"/>
            </w:pPr>
            <w:r>
              <w:rPr>
                <w:sz w:val="20"/>
              </w:rPr>
              <w:t xml:space="preserve">45,34</w:t>
            </w:r>
          </w:p>
        </w:tc>
        <w:tc>
          <w:tcPr>
            <w:tcW w:w="1191" w:type="dxa"/>
            <w:vAlign w:val="center"/>
            <w:tcBorders>
              <w:top w:val="nil"/>
              <w:left w:val="nil"/>
              <w:bottom w:val="nil"/>
              <w:right w:val="nil"/>
            </w:tcBorders>
          </w:tcPr>
          <w:p>
            <w:pPr>
              <w:pStyle w:val="0"/>
              <w:jc w:val="center"/>
            </w:pPr>
            <w:r>
              <w:rPr>
                <w:sz w:val="20"/>
              </w:rPr>
              <w:t xml:space="preserve">45,15</w:t>
            </w:r>
          </w:p>
        </w:tc>
      </w:tr>
      <w:tr>
        <w:tc>
          <w:tcPr>
            <w:tcW w:w="3118" w:type="dxa"/>
            <w:tcBorders>
              <w:top w:val="nil"/>
              <w:left w:val="nil"/>
              <w:bottom w:val="nil"/>
              <w:right w:val="nil"/>
            </w:tcBorders>
          </w:tcPr>
          <w:p>
            <w:pPr>
              <w:pStyle w:val="0"/>
            </w:pPr>
            <w:r>
              <w:rPr>
                <w:sz w:val="20"/>
              </w:rPr>
              <w:t xml:space="preserve">Чехия</w:t>
            </w:r>
          </w:p>
        </w:tc>
        <w:tc>
          <w:tcPr>
            <w:tcW w:w="964" w:type="dxa"/>
            <w:vAlign w:val="center"/>
            <w:tcBorders>
              <w:top w:val="nil"/>
              <w:left w:val="nil"/>
              <w:bottom w:val="nil"/>
              <w:right w:val="nil"/>
            </w:tcBorders>
          </w:tcPr>
          <w:p>
            <w:pPr>
              <w:pStyle w:val="0"/>
              <w:jc w:val="center"/>
            </w:pPr>
            <w:r>
              <w:rPr>
                <w:sz w:val="20"/>
              </w:rPr>
              <w:t xml:space="preserve">34,24</w:t>
            </w:r>
          </w:p>
        </w:tc>
        <w:tc>
          <w:tcPr>
            <w:tcW w:w="907" w:type="dxa"/>
            <w:vAlign w:val="center"/>
            <w:tcBorders>
              <w:top w:val="nil"/>
              <w:left w:val="nil"/>
              <w:bottom w:val="nil"/>
              <w:right w:val="nil"/>
            </w:tcBorders>
          </w:tcPr>
          <w:p>
            <w:pPr>
              <w:pStyle w:val="0"/>
              <w:jc w:val="center"/>
            </w:pPr>
            <w:r>
              <w:rPr>
                <w:sz w:val="20"/>
              </w:rPr>
              <w:t xml:space="preserve">34,44</w:t>
            </w:r>
          </w:p>
        </w:tc>
        <w:tc>
          <w:tcPr>
            <w:tcW w:w="964" w:type="dxa"/>
            <w:vAlign w:val="center"/>
            <w:tcBorders>
              <w:top w:val="nil"/>
              <w:left w:val="nil"/>
              <w:bottom w:val="nil"/>
              <w:right w:val="nil"/>
            </w:tcBorders>
          </w:tcPr>
          <w:p>
            <w:pPr>
              <w:pStyle w:val="0"/>
              <w:jc w:val="center"/>
            </w:pPr>
            <w:r>
              <w:rPr>
                <w:sz w:val="20"/>
              </w:rPr>
              <w:t xml:space="preserve">34,98</w:t>
            </w:r>
          </w:p>
        </w:tc>
        <w:tc>
          <w:tcPr>
            <w:tcW w:w="964" w:type="dxa"/>
            <w:vAlign w:val="center"/>
            <w:tcBorders>
              <w:top w:val="nil"/>
              <w:left w:val="nil"/>
              <w:bottom w:val="nil"/>
              <w:right w:val="nil"/>
            </w:tcBorders>
          </w:tcPr>
          <w:p>
            <w:pPr>
              <w:pStyle w:val="0"/>
              <w:jc w:val="center"/>
            </w:pPr>
            <w:r>
              <w:rPr>
                <w:sz w:val="20"/>
              </w:rPr>
              <w:t xml:space="preserve">34,78</w:t>
            </w:r>
          </w:p>
        </w:tc>
        <w:tc>
          <w:tcPr>
            <w:tcW w:w="907" w:type="dxa"/>
            <w:vAlign w:val="center"/>
            <w:tcBorders>
              <w:top w:val="nil"/>
              <w:left w:val="nil"/>
              <w:bottom w:val="nil"/>
              <w:right w:val="nil"/>
            </w:tcBorders>
          </w:tcPr>
          <w:p>
            <w:pPr>
              <w:pStyle w:val="0"/>
              <w:jc w:val="center"/>
            </w:pPr>
            <w:r>
              <w:rPr>
                <w:sz w:val="20"/>
              </w:rPr>
              <w:t xml:space="preserve">34,73</w:t>
            </w:r>
          </w:p>
        </w:tc>
        <w:tc>
          <w:tcPr>
            <w:tcW w:w="1191" w:type="dxa"/>
            <w:vAlign w:val="center"/>
            <w:tcBorders>
              <w:top w:val="nil"/>
              <w:left w:val="nil"/>
              <w:bottom w:val="nil"/>
              <w:right w:val="nil"/>
            </w:tcBorders>
          </w:tcPr>
          <w:p>
            <w:pPr>
              <w:pStyle w:val="0"/>
              <w:jc w:val="center"/>
            </w:pPr>
            <w:r>
              <w:rPr>
                <w:sz w:val="20"/>
              </w:rPr>
              <w:t xml:space="preserve">33,84</w:t>
            </w:r>
          </w:p>
        </w:tc>
      </w:tr>
      <w:tr>
        <w:tc>
          <w:tcPr>
            <w:tcW w:w="3118" w:type="dxa"/>
            <w:tcBorders>
              <w:top w:val="nil"/>
              <w:left w:val="nil"/>
              <w:bottom w:val="nil"/>
              <w:right w:val="nil"/>
            </w:tcBorders>
          </w:tcPr>
          <w:p>
            <w:pPr>
              <w:pStyle w:val="0"/>
            </w:pPr>
            <w:r>
              <w:rPr>
                <w:sz w:val="20"/>
              </w:rPr>
              <w:t xml:space="preserve">Чили</w:t>
            </w:r>
          </w:p>
        </w:tc>
        <w:tc>
          <w:tcPr>
            <w:tcW w:w="964" w:type="dxa"/>
            <w:vAlign w:val="center"/>
            <w:tcBorders>
              <w:top w:val="nil"/>
              <w:left w:val="nil"/>
              <w:bottom w:val="nil"/>
              <w:right w:val="nil"/>
            </w:tcBorders>
          </w:tcPr>
          <w:p>
            <w:pPr>
              <w:pStyle w:val="0"/>
              <w:jc w:val="center"/>
            </w:pPr>
            <w:r>
              <w:rPr>
                <w:sz w:val="20"/>
              </w:rPr>
              <w:t xml:space="preserve">20,14</w:t>
            </w:r>
          </w:p>
        </w:tc>
        <w:tc>
          <w:tcPr>
            <w:tcW w:w="907" w:type="dxa"/>
            <w:vAlign w:val="center"/>
            <w:tcBorders>
              <w:top w:val="nil"/>
              <w:left w:val="nil"/>
              <w:bottom w:val="nil"/>
              <w:right w:val="nil"/>
            </w:tcBorders>
          </w:tcPr>
          <w:p>
            <w:pPr>
              <w:pStyle w:val="0"/>
              <w:jc w:val="center"/>
            </w:pPr>
            <w:r>
              <w:rPr>
                <w:sz w:val="20"/>
              </w:rPr>
              <w:t xml:space="preserve">20,16</w:t>
            </w:r>
          </w:p>
        </w:tc>
        <w:tc>
          <w:tcPr>
            <w:tcW w:w="964" w:type="dxa"/>
            <w:vAlign w:val="center"/>
            <w:tcBorders>
              <w:top w:val="nil"/>
              <w:left w:val="nil"/>
              <w:bottom w:val="nil"/>
              <w:right w:val="nil"/>
            </w:tcBorders>
          </w:tcPr>
          <w:p>
            <w:pPr>
              <w:pStyle w:val="0"/>
              <w:jc w:val="center"/>
            </w:pPr>
            <w:r>
              <w:rPr>
                <w:sz w:val="20"/>
              </w:rPr>
              <w:t xml:space="preserve">21,13</w:t>
            </w:r>
          </w:p>
        </w:tc>
        <w:tc>
          <w:tcPr>
            <w:tcW w:w="964" w:type="dxa"/>
            <w:vAlign w:val="center"/>
            <w:tcBorders>
              <w:top w:val="nil"/>
              <w:left w:val="nil"/>
              <w:bottom w:val="nil"/>
              <w:right w:val="nil"/>
            </w:tcBorders>
          </w:tcPr>
          <w:p>
            <w:pPr>
              <w:pStyle w:val="0"/>
              <w:jc w:val="center"/>
            </w:pPr>
            <w:r>
              <w:rPr>
                <w:sz w:val="20"/>
              </w:rPr>
              <w:t xml:space="preserve">20,89</w:t>
            </w:r>
          </w:p>
        </w:tc>
        <w:tc>
          <w:tcPr>
            <w:tcW w:w="907" w:type="dxa"/>
            <w:vAlign w:val="center"/>
            <w:tcBorders>
              <w:top w:val="nil"/>
              <w:left w:val="nil"/>
              <w:bottom w:val="nil"/>
              <w:right w:val="nil"/>
            </w:tcBorders>
          </w:tcPr>
          <w:p>
            <w:pPr>
              <w:pStyle w:val="0"/>
              <w:jc w:val="center"/>
            </w:pPr>
            <w:r>
              <w:rPr>
                <w:sz w:val="20"/>
              </w:rPr>
              <w:t xml:space="preserve">19,38</w:t>
            </w:r>
          </w:p>
        </w:tc>
        <w:tc>
          <w:tcPr>
            <w:tcW w:w="1191" w:type="dxa"/>
            <w:vAlign w:val="center"/>
            <w:tcBorders>
              <w:top w:val="nil"/>
              <w:left w:val="nil"/>
              <w:bottom w:val="nil"/>
              <w:right w:val="nil"/>
            </w:tcBorders>
          </w:tcPr>
          <w:p>
            <w:pPr>
              <w:pStyle w:val="0"/>
              <w:jc w:val="center"/>
            </w:pPr>
            <w:r>
              <w:rPr>
                <w:sz w:val="20"/>
              </w:rPr>
              <w:t xml:space="preserve">22,19</w:t>
            </w:r>
          </w:p>
        </w:tc>
      </w:tr>
      <w:tr>
        <w:tc>
          <w:tcPr>
            <w:tcW w:w="3118" w:type="dxa"/>
            <w:tcBorders>
              <w:top w:val="nil"/>
              <w:left w:val="nil"/>
              <w:bottom w:val="nil"/>
              <w:right w:val="nil"/>
            </w:tcBorders>
          </w:tcPr>
          <w:p>
            <w:pPr>
              <w:pStyle w:val="0"/>
            </w:pPr>
            <w:r>
              <w:rPr>
                <w:sz w:val="20"/>
              </w:rPr>
              <w:t xml:space="preserve">Швейцария</w:t>
            </w:r>
          </w:p>
        </w:tc>
        <w:tc>
          <w:tcPr>
            <w:tcW w:w="964" w:type="dxa"/>
            <w:vAlign w:val="center"/>
            <w:tcBorders>
              <w:top w:val="nil"/>
              <w:left w:val="nil"/>
              <w:bottom w:val="nil"/>
              <w:right w:val="nil"/>
            </w:tcBorders>
          </w:tcPr>
          <w:p>
            <w:pPr>
              <w:pStyle w:val="0"/>
              <w:jc w:val="center"/>
            </w:pPr>
            <w:r>
              <w:rPr>
                <w:sz w:val="20"/>
              </w:rPr>
              <w:t xml:space="preserve">27,71</w:t>
            </w:r>
          </w:p>
        </w:tc>
        <w:tc>
          <w:tcPr>
            <w:tcW w:w="907" w:type="dxa"/>
            <w:vAlign w:val="center"/>
            <w:tcBorders>
              <w:top w:val="nil"/>
              <w:left w:val="nil"/>
              <w:bottom w:val="nil"/>
              <w:right w:val="nil"/>
            </w:tcBorders>
          </w:tcPr>
          <w:p>
            <w:pPr>
              <w:pStyle w:val="0"/>
              <w:jc w:val="center"/>
            </w:pPr>
            <w:r>
              <w:rPr>
                <w:sz w:val="20"/>
              </w:rPr>
              <w:t xml:space="preserve">28,42</w:t>
            </w:r>
          </w:p>
        </w:tc>
        <w:tc>
          <w:tcPr>
            <w:tcW w:w="964" w:type="dxa"/>
            <w:vAlign w:val="center"/>
            <w:tcBorders>
              <w:top w:val="nil"/>
              <w:left w:val="nil"/>
              <w:bottom w:val="nil"/>
              <w:right w:val="nil"/>
            </w:tcBorders>
          </w:tcPr>
          <w:p>
            <w:pPr>
              <w:pStyle w:val="0"/>
              <w:jc w:val="center"/>
            </w:pPr>
            <w:r>
              <w:rPr>
                <w:sz w:val="20"/>
              </w:rPr>
              <w:t xml:space="preserve">26,81</w:t>
            </w:r>
          </w:p>
        </w:tc>
        <w:tc>
          <w:tcPr>
            <w:tcW w:w="964" w:type="dxa"/>
            <w:vAlign w:val="center"/>
            <w:tcBorders>
              <w:top w:val="nil"/>
              <w:left w:val="nil"/>
              <w:bottom w:val="nil"/>
              <w:right w:val="nil"/>
            </w:tcBorders>
          </w:tcPr>
          <w:p>
            <w:pPr>
              <w:pStyle w:val="0"/>
              <w:jc w:val="center"/>
            </w:pPr>
            <w:r>
              <w:rPr>
                <w:sz w:val="20"/>
              </w:rPr>
              <w:t xml:space="preserve">27,36</w:t>
            </w:r>
          </w:p>
        </w:tc>
        <w:tc>
          <w:tcPr>
            <w:tcW w:w="907" w:type="dxa"/>
            <w:vAlign w:val="center"/>
            <w:tcBorders>
              <w:top w:val="nil"/>
              <w:left w:val="nil"/>
              <w:bottom w:val="nil"/>
              <w:right w:val="nil"/>
            </w:tcBorders>
          </w:tcPr>
          <w:p>
            <w:pPr>
              <w:pStyle w:val="0"/>
              <w:jc w:val="center"/>
            </w:pPr>
            <w:r>
              <w:rPr>
                <w:sz w:val="20"/>
              </w:rPr>
              <w:t xml:space="preserve">27,53</w:t>
            </w:r>
          </w:p>
        </w:tc>
        <w:tc>
          <w:tcPr>
            <w:tcW w:w="1191" w:type="dxa"/>
            <w:vAlign w:val="center"/>
            <w:tcBorders>
              <w:top w:val="nil"/>
              <w:left w:val="nil"/>
              <w:bottom w:val="nil"/>
              <w:right w:val="nil"/>
            </w:tcBorders>
          </w:tcPr>
          <w:p>
            <w:pPr>
              <w:pStyle w:val="0"/>
              <w:jc w:val="center"/>
            </w:pPr>
            <w:r>
              <w:rPr>
                <w:sz w:val="20"/>
              </w:rPr>
              <w:t xml:space="preserve">27,96</w:t>
            </w:r>
          </w:p>
        </w:tc>
      </w:tr>
      <w:tr>
        <w:tc>
          <w:tcPr>
            <w:tcW w:w="3118" w:type="dxa"/>
            <w:tcBorders>
              <w:top w:val="nil"/>
              <w:left w:val="nil"/>
              <w:bottom w:val="nil"/>
              <w:right w:val="nil"/>
            </w:tcBorders>
          </w:tcPr>
          <w:p>
            <w:pPr>
              <w:pStyle w:val="0"/>
            </w:pPr>
            <w:r>
              <w:rPr>
                <w:sz w:val="20"/>
              </w:rPr>
              <w:t xml:space="preserve">Швеция</w:t>
            </w:r>
          </w:p>
        </w:tc>
        <w:tc>
          <w:tcPr>
            <w:tcW w:w="964" w:type="dxa"/>
            <w:vAlign w:val="center"/>
            <w:tcBorders>
              <w:top w:val="nil"/>
              <w:left w:val="nil"/>
              <w:bottom w:val="nil"/>
              <w:right w:val="nil"/>
            </w:tcBorders>
          </w:tcPr>
          <w:p>
            <w:pPr>
              <w:pStyle w:val="0"/>
              <w:jc w:val="center"/>
            </w:pPr>
            <w:r>
              <w:rPr>
                <w:sz w:val="20"/>
              </w:rPr>
              <w:t xml:space="preserve">44,21</w:t>
            </w:r>
          </w:p>
        </w:tc>
        <w:tc>
          <w:tcPr>
            <w:tcW w:w="907" w:type="dxa"/>
            <w:vAlign w:val="center"/>
            <w:tcBorders>
              <w:top w:val="nil"/>
              <w:left w:val="nil"/>
              <w:bottom w:val="nil"/>
              <w:right w:val="nil"/>
            </w:tcBorders>
          </w:tcPr>
          <w:p>
            <w:pPr>
              <w:pStyle w:val="0"/>
              <w:jc w:val="center"/>
            </w:pPr>
            <w:r>
              <w:rPr>
                <w:sz w:val="20"/>
              </w:rPr>
              <w:t xml:space="preserve">44,31</w:t>
            </w:r>
          </w:p>
        </w:tc>
        <w:tc>
          <w:tcPr>
            <w:tcW w:w="964" w:type="dxa"/>
            <w:vAlign w:val="center"/>
            <w:tcBorders>
              <w:top w:val="nil"/>
              <w:left w:val="nil"/>
              <w:bottom w:val="nil"/>
              <w:right w:val="nil"/>
            </w:tcBorders>
          </w:tcPr>
          <w:p>
            <w:pPr>
              <w:pStyle w:val="0"/>
              <w:jc w:val="center"/>
            </w:pPr>
            <w:r>
              <w:rPr>
                <w:sz w:val="20"/>
              </w:rPr>
              <w:t xml:space="preserve">43,77</w:t>
            </w:r>
          </w:p>
        </w:tc>
        <w:tc>
          <w:tcPr>
            <w:tcW w:w="964" w:type="dxa"/>
            <w:vAlign w:val="center"/>
            <w:tcBorders>
              <w:top w:val="nil"/>
              <w:left w:val="nil"/>
              <w:bottom w:val="nil"/>
              <w:right w:val="nil"/>
            </w:tcBorders>
          </w:tcPr>
          <w:p>
            <w:pPr>
              <w:pStyle w:val="0"/>
              <w:jc w:val="center"/>
            </w:pPr>
            <w:r>
              <w:rPr>
                <w:sz w:val="20"/>
              </w:rPr>
              <w:t xml:space="preserve">42,83</w:t>
            </w:r>
          </w:p>
        </w:tc>
        <w:tc>
          <w:tcPr>
            <w:tcW w:w="907" w:type="dxa"/>
            <w:vAlign w:val="center"/>
            <w:tcBorders>
              <w:top w:val="nil"/>
              <w:left w:val="nil"/>
              <w:bottom w:val="nil"/>
              <w:right w:val="nil"/>
            </w:tcBorders>
          </w:tcPr>
          <w:p>
            <w:pPr>
              <w:pStyle w:val="0"/>
              <w:jc w:val="center"/>
            </w:pPr>
            <w:r>
              <w:rPr>
                <w:sz w:val="20"/>
              </w:rPr>
              <w:t xml:space="preserve">42,32</w:t>
            </w:r>
          </w:p>
        </w:tc>
        <w:tc>
          <w:tcPr>
            <w:tcW w:w="1191" w:type="dxa"/>
            <w:vAlign w:val="center"/>
            <w:tcBorders>
              <w:top w:val="nil"/>
              <w:left w:val="nil"/>
              <w:bottom w:val="nil"/>
              <w:right w:val="nil"/>
            </w:tcBorders>
          </w:tcPr>
          <w:p>
            <w:pPr>
              <w:pStyle w:val="0"/>
              <w:jc w:val="center"/>
            </w:pPr>
            <w:r>
              <w:rPr>
                <w:sz w:val="20"/>
              </w:rPr>
              <w:t xml:space="preserve">42,58</w:t>
            </w:r>
          </w:p>
        </w:tc>
      </w:tr>
      <w:tr>
        <w:tc>
          <w:tcPr>
            <w:tcW w:w="3118" w:type="dxa"/>
            <w:tcBorders>
              <w:top w:val="nil"/>
              <w:left w:val="nil"/>
              <w:bottom w:val="nil"/>
              <w:right w:val="nil"/>
            </w:tcBorders>
          </w:tcPr>
          <w:p>
            <w:pPr>
              <w:pStyle w:val="0"/>
            </w:pPr>
            <w:r>
              <w:rPr>
                <w:sz w:val="20"/>
              </w:rPr>
              <w:t xml:space="preserve">Эстония</w:t>
            </w:r>
          </w:p>
        </w:tc>
        <w:tc>
          <w:tcPr>
            <w:tcW w:w="964" w:type="dxa"/>
            <w:vAlign w:val="center"/>
            <w:tcBorders>
              <w:top w:val="nil"/>
              <w:left w:val="nil"/>
              <w:bottom w:val="nil"/>
              <w:right w:val="nil"/>
            </w:tcBorders>
          </w:tcPr>
          <w:p>
            <w:pPr>
              <w:pStyle w:val="0"/>
              <w:jc w:val="center"/>
            </w:pPr>
            <w:r>
              <w:rPr>
                <w:sz w:val="20"/>
              </w:rPr>
              <w:t xml:space="preserve">33,54</w:t>
            </w:r>
          </w:p>
        </w:tc>
        <w:tc>
          <w:tcPr>
            <w:tcW w:w="907" w:type="dxa"/>
            <w:vAlign w:val="center"/>
            <w:tcBorders>
              <w:top w:val="nil"/>
              <w:left w:val="nil"/>
              <w:bottom w:val="nil"/>
              <w:right w:val="nil"/>
            </w:tcBorders>
          </w:tcPr>
          <w:p>
            <w:pPr>
              <w:pStyle w:val="0"/>
              <w:jc w:val="center"/>
            </w:pPr>
            <w:r>
              <w:rPr>
                <w:sz w:val="20"/>
              </w:rPr>
              <w:t xml:space="preserve">32,52</w:t>
            </w:r>
          </w:p>
        </w:tc>
        <w:tc>
          <w:tcPr>
            <w:tcW w:w="964" w:type="dxa"/>
            <w:vAlign w:val="center"/>
            <w:tcBorders>
              <w:top w:val="nil"/>
              <w:left w:val="nil"/>
              <w:bottom w:val="nil"/>
              <w:right w:val="nil"/>
            </w:tcBorders>
          </w:tcPr>
          <w:p>
            <w:pPr>
              <w:pStyle w:val="0"/>
              <w:jc w:val="center"/>
            </w:pPr>
            <w:r>
              <w:rPr>
                <w:sz w:val="20"/>
              </w:rPr>
              <w:t xml:space="preserve">33,05</w:t>
            </w:r>
          </w:p>
        </w:tc>
        <w:tc>
          <w:tcPr>
            <w:tcW w:w="964" w:type="dxa"/>
            <w:vAlign w:val="center"/>
            <w:tcBorders>
              <w:top w:val="nil"/>
              <w:left w:val="nil"/>
              <w:bottom w:val="nil"/>
              <w:right w:val="nil"/>
            </w:tcBorders>
          </w:tcPr>
          <w:p>
            <w:pPr>
              <w:pStyle w:val="0"/>
              <w:jc w:val="center"/>
            </w:pPr>
            <w:r>
              <w:rPr>
                <w:sz w:val="20"/>
              </w:rPr>
              <w:t xml:space="preserve">33,53</w:t>
            </w:r>
          </w:p>
        </w:tc>
        <w:tc>
          <w:tcPr>
            <w:tcW w:w="907" w:type="dxa"/>
            <w:vAlign w:val="center"/>
            <w:tcBorders>
              <w:top w:val="nil"/>
              <w:left w:val="nil"/>
              <w:bottom w:val="nil"/>
              <w:right w:val="nil"/>
            </w:tcBorders>
          </w:tcPr>
          <w:p>
            <w:pPr>
              <w:pStyle w:val="0"/>
              <w:jc w:val="center"/>
            </w:pPr>
            <w:r>
              <w:rPr>
                <w:sz w:val="20"/>
              </w:rPr>
              <w:t xml:space="preserve">33,26</w:t>
            </w:r>
          </w:p>
        </w:tc>
        <w:tc>
          <w:tcPr>
            <w:tcW w:w="1191" w:type="dxa"/>
            <w:vAlign w:val="center"/>
            <w:tcBorders>
              <w:top w:val="nil"/>
              <w:left w:val="nil"/>
              <w:bottom w:val="nil"/>
              <w:right w:val="nil"/>
            </w:tcBorders>
          </w:tcPr>
          <w:p>
            <w:pPr>
              <w:pStyle w:val="0"/>
              <w:jc w:val="center"/>
            </w:pPr>
            <w:r>
              <w:rPr>
                <w:sz w:val="20"/>
              </w:rPr>
              <w:t xml:space="preserve">33,52</w:t>
            </w:r>
          </w:p>
        </w:tc>
      </w:tr>
      <w:tr>
        <w:tc>
          <w:tcPr>
            <w:tcW w:w="3118" w:type="dxa"/>
            <w:tcBorders>
              <w:top w:val="nil"/>
              <w:left w:val="nil"/>
              <w:bottom w:val="nil"/>
              <w:right w:val="nil"/>
            </w:tcBorders>
          </w:tcPr>
          <w:p>
            <w:pPr>
              <w:pStyle w:val="0"/>
            </w:pPr>
            <w:r>
              <w:rPr>
                <w:sz w:val="20"/>
              </w:rPr>
              <w:t xml:space="preserve">Южная Корея</w:t>
            </w:r>
          </w:p>
        </w:tc>
        <w:tc>
          <w:tcPr>
            <w:tcW w:w="964" w:type="dxa"/>
            <w:vAlign w:val="center"/>
            <w:tcBorders>
              <w:top w:val="nil"/>
              <w:left w:val="nil"/>
              <w:bottom w:val="nil"/>
              <w:right w:val="nil"/>
            </w:tcBorders>
          </w:tcPr>
          <w:p>
            <w:pPr>
              <w:pStyle w:val="0"/>
              <w:jc w:val="center"/>
            </w:pPr>
            <w:r>
              <w:rPr>
                <w:sz w:val="20"/>
              </w:rPr>
              <w:t xml:space="preserve">26,24</w:t>
            </w:r>
          </w:p>
        </w:tc>
        <w:tc>
          <w:tcPr>
            <w:tcW w:w="907" w:type="dxa"/>
            <w:vAlign w:val="center"/>
            <w:tcBorders>
              <w:top w:val="nil"/>
              <w:left w:val="nil"/>
              <w:bottom w:val="nil"/>
              <w:right w:val="nil"/>
            </w:tcBorders>
          </w:tcPr>
          <w:p>
            <w:pPr>
              <w:pStyle w:val="0"/>
              <w:jc w:val="center"/>
            </w:pPr>
            <w:r>
              <w:rPr>
                <w:sz w:val="20"/>
              </w:rPr>
              <w:t xml:space="preserve">25,36</w:t>
            </w:r>
          </w:p>
        </w:tc>
        <w:tc>
          <w:tcPr>
            <w:tcW w:w="964" w:type="dxa"/>
            <w:vAlign w:val="center"/>
            <w:tcBorders>
              <w:top w:val="nil"/>
              <w:left w:val="nil"/>
              <w:bottom w:val="nil"/>
              <w:right w:val="nil"/>
            </w:tcBorders>
          </w:tcPr>
          <w:p>
            <w:pPr>
              <w:pStyle w:val="0"/>
              <w:jc w:val="center"/>
            </w:pPr>
            <w:r>
              <w:rPr>
                <w:sz w:val="20"/>
              </w:rPr>
              <w:t xml:space="preserve">26,69</w:t>
            </w:r>
          </w:p>
        </w:tc>
        <w:tc>
          <w:tcPr>
            <w:tcW w:w="964" w:type="dxa"/>
            <w:vAlign w:val="center"/>
            <w:tcBorders>
              <w:top w:val="nil"/>
              <w:left w:val="nil"/>
              <w:bottom w:val="nil"/>
              <w:right w:val="nil"/>
            </w:tcBorders>
          </w:tcPr>
          <w:p>
            <w:pPr>
              <w:pStyle w:val="0"/>
              <w:jc w:val="center"/>
            </w:pPr>
            <w:r>
              <w:rPr>
                <w:sz w:val="20"/>
              </w:rPr>
              <w:t xml:space="preserve">27,30</w:t>
            </w:r>
          </w:p>
        </w:tc>
        <w:tc>
          <w:tcPr>
            <w:tcW w:w="907" w:type="dxa"/>
            <w:vAlign w:val="center"/>
            <w:tcBorders>
              <w:top w:val="nil"/>
              <w:left w:val="nil"/>
              <w:bottom w:val="nil"/>
              <w:right w:val="nil"/>
            </w:tcBorders>
          </w:tcPr>
          <w:p>
            <w:pPr>
              <w:pStyle w:val="0"/>
              <w:jc w:val="center"/>
            </w:pPr>
            <w:r>
              <w:rPr>
                <w:sz w:val="20"/>
              </w:rPr>
              <w:t xml:space="preserve">27,75</w:t>
            </w:r>
          </w:p>
        </w:tc>
        <w:tc>
          <w:tcPr>
            <w:tcW w:w="1191" w:type="dxa"/>
            <w:vAlign w:val="center"/>
            <w:tcBorders>
              <w:top w:val="nil"/>
              <w:left w:val="nil"/>
              <w:bottom w:val="nil"/>
              <w:right w:val="nil"/>
            </w:tcBorders>
          </w:tcPr>
          <w:p>
            <w:pPr>
              <w:pStyle w:val="0"/>
              <w:jc w:val="center"/>
            </w:pPr>
            <w:r>
              <w:rPr>
                <w:sz w:val="20"/>
              </w:rPr>
              <w:t xml:space="preserve">29,88</w:t>
            </w:r>
          </w:p>
        </w:tc>
      </w:tr>
      <w:tr>
        <w:tc>
          <w:tcPr>
            <w:tcW w:w="3118" w:type="dxa"/>
            <w:tcBorders>
              <w:top w:val="nil"/>
              <w:left w:val="nil"/>
              <w:bottom w:val="nil"/>
              <w:right w:val="nil"/>
            </w:tcBorders>
          </w:tcPr>
          <w:p>
            <w:pPr>
              <w:pStyle w:val="0"/>
            </w:pPr>
            <w:r>
              <w:rPr>
                <w:sz w:val="20"/>
              </w:rPr>
              <w:t xml:space="preserve">Япония</w:t>
            </w:r>
          </w:p>
        </w:tc>
        <w:tc>
          <w:tcPr>
            <w:tcW w:w="964" w:type="dxa"/>
            <w:vAlign w:val="center"/>
            <w:tcBorders>
              <w:top w:val="nil"/>
              <w:left w:val="nil"/>
              <w:bottom w:val="nil"/>
              <w:right w:val="nil"/>
            </w:tcBorders>
          </w:tcPr>
          <w:p>
            <w:pPr>
              <w:pStyle w:val="0"/>
              <w:jc w:val="center"/>
            </w:pPr>
            <w:r>
              <w:rPr>
                <w:sz w:val="20"/>
              </w:rPr>
              <w:t xml:space="preserve">30,73</w:t>
            </w:r>
          </w:p>
        </w:tc>
        <w:tc>
          <w:tcPr>
            <w:tcW w:w="907" w:type="dxa"/>
            <w:vAlign w:val="center"/>
            <w:tcBorders>
              <w:top w:val="nil"/>
              <w:left w:val="nil"/>
              <w:bottom w:val="nil"/>
              <w:right w:val="nil"/>
            </w:tcBorders>
          </w:tcPr>
          <w:p>
            <w:pPr>
              <w:pStyle w:val="0"/>
              <w:jc w:val="center"/>
            </w:pPr>
            <w:r>
              <w:rPr>
                <w:sz w:val="20"/>
              </w:rPr>
              <w:t xml:space="preserve">31,38</w:t>
            </w:r>
          </w:p>
        </w:tc>
        <w:tc>
          <w:tcPr>
            <w:tcW w:w="964" w:type="dxa"/>
            <w:vAlign w:val="center"/>
            <w:tcBorders>
              <w:top w:val="nil"/>
              <w:left w:val="nil"/>
              <w:bottom w:val="nil"/>
              <w:right w:val="nil"/>
            </w:tcBorders>
          </w:tcPr>
          <w:p>
            <w:pPr>
              <w:pStyle w:val="0"/>
              <w:jc w:val="center"/>
            </w:pPr>
            <w:r>
              <w:rPr>
                <w:sz w:val="20"/>
              </w:rPr>
              <w:t xml:space="preserve">31,55</w:t>
            </w:r>
          </w:p>
        </w:tc>
        <w:tc>
          <w:tcPr>
            <w:tcW w:w="964" w:type="dxa"/>
            <w:vAlign w:val="center"/>
            <w:tcBorders>
              <w:top w:val="nil"/>
              <w:left w:val="nil"/>
              <w:bottom w:val="nil"/>
              <w:right w:val="nil"/>
            </w:tcBorders>
          </w:tcPr>
          <w:p>
            <w:pPr>
              <w:pStyle w:val="0"/>
              <w:jc w:val="center"/>
            </w:pPr>
            <w:r>
              <w:rPr>
                <w:sz w:val="20"/>
              </w:rPr>
              <w:t xml:space="preserve">31,41</w:t>
            </w:r>
          </w:p>
        </w:tc>
        <w:tc>
          <w:tcPr>
            <w:tcW w:w="907" w:type="dxa"/>
            <w:vAlign w:val="center"/>
            <w:tcBorders>
              <w:top w:val="nil"/>
              <w:left w:val="nil"/>
              <w:bottom w:val="nil"/>
              <w:right w:val="nil"/>
            </w:tcBorders>
          </w:tcPr>
          <w:p>
            <w:pPr>
              <w:pStyle w:val="0"/>
              <w:jc w:val="center"/>
            </w:pPr>
            <w:r>
              <w:rPr>
                <w:sz w:val="20"/>
              </w:rPr>
              <w:t xml:space="preserve">33,16</w:t>
            </w:r>
          </w:p>
        </w:tc>
        <w:tc>
          <w:tcPr>
            <w:tcW w:w="1191" w:type="dxa"/>
            <w:vAlign w:val="center"/>
            <w:tcBorders>
              <w:top w:val="nil"/>
              <w:left w:val="nil"/>
              <w:bottom w:val="nil"/>
              <w:right w:val="nil"/>
            </w:tcBorders>
          </w:tcPr>
          <w:p>
            <w:pPr>
              <w:pStyle w:val="0"/>
              <w:jc w:val="center"/>
            </w:pPr>
            <w:r>
              <w:rPr>
                <w:sz w:val="20"/>
              </w:rPr>
              <w:t xml:space="preserve">н.д.</w:t>
            </w:r>
          </w:p>
        </w:tc>
      </w:tr>
      <w:tr>
        <w:tc>
          <w:tcPr>
            <w:tcW w:w="3118" w:type="dxa"/>
            <w:tcBorders>
              <w:top w:val="nil"/>
              <w:left w:val="nil"/>
              <w:bottom w:val="nil"/>
              <w:right w:val="nil"/>
            </w:tcBorders>
          </w:tcPr>
          <w:p>
            <w:pPr>
              <w:pStyle w:val="0"/>
            </w:pPr>
            <w:r>
              <w:rPr>
                <w:sz w:val="20"/>
              </w:rPr>
              <w:t xml:space="preserve">Средняя по ОЭСР</w:t>
            </w:r>
          </w:p>
        </w:tc>
        <w:tc>
          <w:tcPr>
            <w:tcW w:w="964" w:type="dxa"/>
            <w:vAlign w:val="center"/>
            <w:tcBorders>
              <w:top w:val="nil"/>
              <w:left w:val="nil"/>
              <w:bottom w:val="nil"/>
              <w:right w:val="nil"/>
            </w:tcBorders>
          </w:tcPr>
          <w:p>
            <w:pPr>
              <w:pStyle w:val="0"/>
              <w:jc w:val="center"/>
            </w:pPr>
            <w:r>
              <w:rPr>
                <w:sz w:val="20"/>
              </w:rPr>
              <w:t xml:space="preserve">34,42</w:t>
            </w:r>
          </w:p>
        </w:tc>
        <w:tc>
          <w:tcPr>
            <w:tcW w:w="907" w:type="dxa"/>
            <w:vAlign w:val="center"/>
            <w:tcBorders>
              <w:top w:val="nil"/>
              <w:left w:val="nil"/>
              <w:bottom w:val="nil"/>
              <w:right w:val="nil"/>
            </w:tcBorders>
          </w:tcPr>
          <w:p>
            <w:pPr>
              <w:pStyle w:val="0"/>
              <w:jc w:val="center"/>
            </w:pPr>
            <w:r>
              <w:rPr>
                <w:sz w:val="20"/>
              </w:rPr>
              <w:t xml:space="preserve">33,74</w:t>
            </w:r>
          </w:p>
        </w:tc>
        <w:tc>
          <w:tcPr>
            <w:tcW w:w="964" w:type="dxa"/>
            <w:vAlign w:val="center"/>
            <w:tcBorders>
              <w:top w:val="nil"/>
              <w:left w:val="nil"/>
              <w:bottom w:val="nil"/>
              <w:right w:val="nil"/>
            </w:tcBorders>
          </w:tcPr>
          <w:p>
            <w:pPr>
              <w:pStyle w:val="0"/>
              <w:jc w:val="center"/>
            </w:pPr>
            <w:r>
              <w:rPr>
                <w:sz w:val="20"/>
              </w:rPr>
              <w:t xml:space="preserve">33,49</w:t>
            </w:r>
          </w:p>
        </w:tc>
        <w:tc>
          <w:tcPr>
            <w:tcW w:w="964" w:type="dxa"/>
            <w:vAlign w:val="center"/>
            <w:tcBorders>
              <w:top w:val="nil"/>
              <w:left w:val="nil"/>
              <w:bottom w:val="nil"/>
              <w:right w:val="nil"/>
            </w:tcBorders>
          </w:tcPr>
          <w:p>
            <w:pPr>
              <w:pStyle w:val="0"/>
              <w:jc w:val="center"/>
            </w:pPr>
            <w:r>
              <w:rPr>
                <w:sz w:val="20"/>
              </w:rPr>
              <w:t xml:space="preserve">33,42</w:t>
            </w:r>
          </w:p>
        </w:tc>
        <w:tc>
          <w:tcPr>
            <w:tcW w:w="907" w:type="dxa"/>
            <w:vAlign w:val="center"/>
            <w:tcBorders>
              <w:top w:val="nil"/>
              <w:left w:val="nil"/>
              <w:bottom w:val="nil"/>
              <w:right w:val="nil"/>
            </w:tcBorders>
          </w:tcPr>
          <w:p>
            <w:pPr>
              <w:pStyle w:val="0"/>
              <w:jc w:val="center"/>
            </w:pPr>
            <w:r>
              <w:rPr>
                <w:sz w:val="20"/>
              </w:rPr>
              <w:t xml:space="preserve">33,60</w:t>
            </w:r>
          </w:p>
        </w:tc>
        <w:tc>
          <w:tcPr>
            <w:tcW w:w="1191" w:type="dxa"/>
            <w:vAlign w:val="center"/>
            <w:tcBorders>
              <w:top w:val="nil"/>
              <w:left w:val="nil"/>
              <w:bottom w:val="nil"/>
              <w:right w:val="nil"/>
            </w:tcBorders>
          </w:tcPr>
          <w:p>
            <w:pPr>
              <w:pStyle w:val="0"/>
              <w:jc w:val="center"/>
            </w:pPr>
            <w:r>
              <w:rPr>
                <w:sz w:val="20"/>
              </w:rPr>
              <w:t xml:space="preserve">34,10</w:t>
            </w:r>
          </w:p>
        </w:tc>
      </w:tr>
      <w:tr>
        <w:tc>
          <w:tcPr>
            <w:tcW w:w="3118" w:type="dxa"/>
            <w:tcBorders>
              <w:top w:val="nil"/>
              <w:left w:val="nil"/>
              <w:bottom w:val="nil"/>
              <w:right w:val="nil"/>
            </w:tcBorders>
          </w:tcPr>
          <w:p>
            <w:pPr>
              <w:pStyle w:val="0"/>
            </w:pPr>
            <w:r>
              <w:rPr>
                <w:sz w:val="20"/>
              </w:rPr>
              <w:t xml:space="preserve">Россия</w:t>
            </w:r>
          </w:p>
        </w:tc>
        <w:tc>
          <w:tcPr>
            <w:tcW w:w="964" w:type="dxa"/>
            <w:vAlign w:val="center"/>
            <w:tcBorders>
              <w:top w:val="nil"/>
              <w:left w:val="nil"/>
              <w:bottom w:val="nil"/>
              <w:right w:val="nil"/>
            </w:tcBorders>
          </w:tcPr>
          <w:p>
            <w:pPr>
              <w:pStyle w:val="0"/>
              <w:jc w:val="center"/>
            </w:pPr>
            <w:r>
              <w:rPr>
                <w:sz w:val="20"/>
              </w:rPr>
              <w:t xml:space="preserve">28,64</w:t>
            </w:r>
          </w:p>
        </w:tc>
        <w:tc>
          <w:tcPr>
            <w:tcW w:w="907" w:type="dxa"/>
            <w:vAlign w:val="center"/>
            <w:tcBorders>
              <w:top w:val="nil"/>
              <w:left w:val="nil"/>
              <w:bottom w:val="nil"/>
              <w:right w:val="nil"/>
            </w:tcBorders>
          </w:tcPr>
          <w:p>
            <w:pPr>
              <w:pStyle w:val="0"/>
              <w:jc w:val="center"/>
            </w:pPr>
            <w:r>
              <w:rPr>
                <w:sz w:val="20"/>
              </w:rPr>
              <w:t xml:space="preserve">30,35</w:t>
            </w:r>
          </w:p>
        </w:tc>
        <w:tc>
          <w:tcPr>
            <w:tcW w:w="964" w:type="dxa"/>
            <w:vAlign w:val="center"/>
            <w:tcBorders>
              <w:top w:val="nil"/>
              <w:left w:val="nil"/>
              <w:bottom w:val="nil"/>
              <w:right w:val="nil"/>
            </w:tcBorders>
          </w:tcPr>
          <w:p>
            <w:pPr>
              <w:pStyle w:val="0"/>
              <w:jc w:val="center"/>
            </w:pPr>
            <w:r>
              <w:rPr>
                <w:sz w:val="20"/>
              </w:rPr>
              <w:t xml:space="preserve">32,72</w:t>
            </w:r>
          </w:p>
        </w:tc>
        <w:tc>
          <w:tcPr>
            <w:tcW w:w="964" w:type="dxa"/>
            <w:vAlign w:val="center"/>
            <w:tcBorders>
              <w:top w:val="nil"/>
              <w:left w:val="nil"/>
              <w:bottom w:val="nil"/>
              <w:right w:val="nil"/>
            </w:tcBorders>
          </w:tcPr>
          <w:p>
            <w:pPr>
              <w:pStyle w:val="0"/>
              <w:jc w:val="center"/>
            </w:pPr>
            <w:r>
              <w:rPr>
                <w:sz w:val="20"/>
              </w:rPr>
              <w:t xml:space="preserve">32,51</w:t>
            </w:r>
          </w:p>
        </w:tc>
        <w:tc>
          <w:tcPr>
            <w:tcW w:w="907" w:type="dxa"/>
            <w:vAlign w:val="center"/>
            <w:tcBorders>
              <w:top w:val="nil"/>
              <w:left w:val="nil"/>
              <w:bottom w:val="nil"/>
              <w:right w:val="nil"/>
            </w:tcBorders>
          </w:tcPr>
          <w:p>
            <w:pPr>
              <w:pStyle w:val="0"/>
              <w:jc w:val="center"/>
            </w:pPr>
            <w:r>
              <w:rPr>
                <w:sz w:val="20"/>
              </w:rPr>
              <w:t xml:space="preserve">30,58</w:t>
            </w:r>
          </w:p>
        </w:tc>
        <w:tc>
          <w:tcPr>
            <w:tcW w:w="1191" w:type="dxa"/>
            <w:vAlign w:val="center"/>
            <w:tcBorders>
              <w:top w:val="nil"/>
              <w:left w:val="nil"/>
              <w:bottom w:val="nil"/>
              <w:right w:val="nil"/>
            </w:tcBorders>
          </w:tcPr>
          <w:p>
            <w:pPr>
              <w:pStyle w:val="0"/>
              <w:jc w:val="center"/>
            </w:pPr>
            <w:r>
              <w:rPr>
                <w:sz w:val="20"/>
              </w:rPr>
              <w:t xml:space="preserve">32,01</w:t>
            </w:r>
          </w:p>
        </w:tc>
      </w:tr>
      <w:tr>
        <w:tc>
          <w:tcPr>
            <w:tcW w:w="3118" w:type="dxa"/>
            <w:tcBorders>
              <w:top w:val="nil"/>
              <w:left w:val="nil"/>
              <w:bottom w:val="single" w:sz="4"/>
              <w:right w:val="nil"/>
            </w:tcBorders>
          </w:tcPr>
          <w:p>
            <w:pPr>
              <w:pStyle w:val="0"/>
            </w:pPr>
            <w:r>
              <w:rPr>
                <w:sz w:val="20"/>
              </w:rPr>
              <w:t xml:space="preserve">Россия (без учета нефтегазовых доходов)</w:t>
            </w:r>
          </w:p>
        </w:tc>
        <w:tc>
          <w:tcPr>
            <w:tcW w:w="964" w:type="dxa"/>
            <w:vAlign w:val="center"/>
            <w:tcBorders>
              <w:top w:val="nil"/>
              <w:left w:val="nil"/>
              <w:bottom w:val="single" w:sz="4"/>
              <w:right w:val="nil"/>
            </w:tcBorders>
          </w:tcPr>
          <w:p>
            <w:pPr>
              <w:pStyle w:val="0"/>
              <w:jc w:val="center"/>
            </w:pPr>
            <w:r>
              <w:rPr>
                <w:sz w:val="20"/>
              </w:rPr>
              <w:t xml:space="preserve">22,45</w:t>
            </w:r>
          </w:p>
        </w:tc>
        <w:tc>
          <w:tcPr>
            <w:tcW w:w="907" w:type="dxa"/>
            <w:vAlign w:val="center"/>
            <w:tcBorders>
              <w:top w:val="nil"/>
              <w:left w:val="nil"/>
              <w:bottom w:val="single" w:sz="4"/>
              <w:right w:val="nil"/>
            </w:tcBorders>
          </w:tcPr>
          <w:p>
            <w:pPr>
              <w:pStyle w:val="0"/>
              <w:jc w:val="center"/>
            </w:pPr>
            <w:r>
              <w:rPr>
                <w:sz w:val="20"/>
              </w:rPr>
              <w:t xml:space="preserve">23,25</w:t>
            </w:r>
          </w:p>
        </w:tc>
        <w:tc>
          <w:tcPr>
            <w:tcW w:w="964" w:type="dxa"/>
            <w:vAlign w:val="center"/>
            <w:tcBorders>
              <w:top w:val="nil"/>
              <w:left w:val="nil"/>
              <w:bottom w:val="single" w:sz="4"/>
              <w:right w:val="nil"/>
            </w:tcBorders>
          </w:tcPr>
          <w:p>
            <w:pPr>
              <w:pStyle w:val="0"/>
              <w:jc w:val="center"/>
            </w:pPr>
            <w:r>
              <w:rPr>
                <w:sz w:val="20"/>
              </w:rPr>
              <w:t xml:space="preserve">23,52</w:t>
            </w:r>
          </w:p>
        </w:tc>
        <w:tc>
          <w:tcPr>
            <w:tcW w:w="964" w:type="dxa"/>
            <w:vAlign w:val="center"/>
            <w:tcBorders>
              <w:top w:val="nil"/>
              <w:left w:val="nil"/>
              <w:bottom w:val="single" w:sz="4"/>
              <w:right w:val="nil"/>
            </w:tcBorders>
          </w:tcPr>
          <w:p>
            <w:pPr>
              <w:pStyle w:val="0"/>
              <w:jc w:val="center"/>
            </w:pPr>
            <w:r>
              <w:rPr>
                <w:sz w:val="20"/>
              </w:rPr>
              <w:t xml:space="preserve">24,25</w:t>
            </w:r>
          </w:p>
        </w:tc>
        <w:tc>
          <w:tcPr>
            <w:tcW w:w="907" w:type="dxa"/>
            <w:vAlign w:val="center"/>
            <w:tcBorders>
              <w:top w:val="nil"/>
              <w:left w:val="nil"/>
              <w:bottom w:val="single" w:sz="4"/>
              <w:right w:val="nil"/>
            </w:tcBorders>
          </w:tcPr>
          <w:p>
            <w:pPr>
              <w:pStyle w:val="0"/>
              <w:jc w:val="center"/>
            </w:pPr>
            <w:r>
              <w:rPr>
                <w:sz w:val="20"/>
              </w:rPr>
              <w:t xml:space="preserve">25,19</w:t>
            </w:r>
          </w:p>
        </w:tc>
        <w:tc>
          <w:tcPr>
            <w:tcW w:w="1191" w:type="dxa"/>
            <w:vAlign w:val="center"/>
            <w:tcBorders>
              <w:top w:val="nil"/>
              <w:left w:val="nil"/>
              <w:bottom w:val="single" w:sz="4"/>
              <w:right w:val="nil"/>
            </w:tcBorders>
          </w:tcPr>
          <w:p>
            <w:pPr>
              <w:pStyle w:val="0"/>
              <w:jc w:val="center"/>
            </w:pPr>
            <w:r>
              <w:rPr>
                <w:sz w:val="20"/>
              </w:rPr>
              <w:t xml:space="preserve">23,77</w:t>
            </w:r>
          </w:p>
        </w:tc>
      </w:tr>
    </w:tbl>
    <w:p>
      <w:pPr>
        <w:pStyle w:val="0"/>
        <w:jc w:val="both"/>
      </w:pPr>
      <w:r>
        <w:rPr>
          <w:sz w:val="20"/>
        </w:rPr>
      </w:r>
    </w:p>
    <w:p>
      <w:pPr>
        <w:pStyle w:val="0"/>
        <w:ind w:firstLine="540"/>
        <w:jc w:val="both"/>
      </w:pPr>
      <w:r>
        <w:rPr>
          <w:sz w:val="20"/>
        </w:rPr>
        <w:t xml:space="preserve">Источники данных: данные по ОЭСР - Revenue Statistics 1965 - 2022.</w:t>
      </w:r>
    </w:p>
    <w:p>
      <w:pPr>
        <w:pStyle w:val="0"/>
        <w:jc w:val="both"/>
      </w:pPr>
      <w:r>
        <w:rPr>
          <w:sz w:val="20"/>
        </w:rPr>
      </w:r>
    </w:p>
    <w:p>
      <w:pPr>
        <w:pStyle w:val="0"/>
        <w:ind w:firstLine="540"/>
        <w:jc w:val="both"/>
      </w:pPr>
      <w:r>
        <w:rPr>
          <w:sz w:val="20"/>
        </w:rPr>
        <w:t xml:space="preserve">Таблица 5. Налоговая нагрузка на экономику в странах ОЭСР по видам налоговых доходов в 2021 году (оценка)</w:t>
      </w:r>
    </w:p>
    <w:p>
      <w:pPr>
        <w:pStyle w:val="0"/>
        <w:jc w:val="both"/>
      </w:pPr>
      <w:r>
        <w:rPr>
          <w:sz w:val="20"/>
        </w:rPr>
      </w:r>
    </w:p>
    <w:p>
      <w:pPr>
        <w:pStyle w:val="0"/>
        <w:jc w:val="right"/>
      </w:pPr>
      <w:r>
        <w:rPr>
          <w:sz w:val="20"/>
        </w:rPr>
        <w:t xml:space="preserve">% ВВП</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1587"/>
        <w:gridCol w:w="850"/>
        <w:gridCol w:w="907"/>
        <w:gridCol w:w="1134"/>
        <w:gridCol w:w="794"/>
        <w:gridCol w:w="907"/>
        <w:gridCol w:w="964"/>
        <w:gridCol w:w="680"/>
        <w:gridCol w:w="1247"/>
      </w:tblGrid>
      <w:tr>
        <w:tblPrEx>
          <w:tblBorders>
            <w:insideH w:val="single" w:sz="4"/>
          </w:tblBorders>
        </w:tblPrEx>
        <w:tc>
          <w:tcPr>
            <w:tcW w:w="1587" w:type="dxa"/>
            <w:tcBorders>
              <w:top w:val="single" w:sz="4"/>
              <w:left w:val="nil"/>
              <w:bottom w:val="single" w:sz="4"/>
              <w:right w:val="nil"/>
            </w:tcBorders>
            <w:vMerge w:val="restart"/>
          </w:tcPr>
          <w:p>
            <w:pPr>
              <w:pStyle w:val="0"/>
              <w:jc w:val="center"/>
            </w:pPr>
            <w:r>
              <w:rPr>
                <w:sz w:val="20"/>
              </w:rPr>
              <w:t xml:space="preserve">Страна</w:t>
            </w:r>
          </w:p>
        </w:tc>
        <w:tc>
          <w:tcPr>
            <w:tcW w:w="850" w:type="dxa"/>
            <w:tcBorders>
              <w:top w:val="single" w:sz="4"/>
              <w:left w:val="nil"/>
              <w:bottom w:val="single" w:sz="4"/>
              <w:right w:val="nil"/>
            </w:tcBorders>
            <w:vMerge w:val="restart"/>
          </w:tcPr>
          <w:p>
            <w:pPr>
              <w:pStyle w:val="0"/>
              <w:jc w:val="center"/>
            </w:pPr>
            <w:r>
              <w:rPr>
                <w:sz w:val="20"/>
              </w:rPr>
              <w:t xml:space="preserve">Всего налоговых поступлений</w:t>
            </w:r>
          </w:p>
        </w:tc>
        <w:tc>
          <w:tcPr>
            <w:tcW w:w="907" w:type="dxa"/>
            <w:tcBorders>
              <w:top w:val="single" w:sz="4"/>
              <w:left w:val="nil"/>
              <w:bottom w:val="single" w:sz="4"/>
              <w:right w:val="nil"/>
            </w:tcBorders>
            <w:vMerge w:val="restart"/>
          </w:tcPr>
          <w:p>
            <w:pPr>
              <w:pStyle w:val="0"/>
              <w:jc w:val="center"/>
            </w:pPr>
            <w:r>
              <w:rPr>
                <w:sz w:val="20"/>
              </w:rPr>
              <w:t xml:space="preserve">Налог на доходы (прибыль) корп.</w:t>
            </w:r>
          </w:p>
        </w:tc>
        <w:tc>
          <w:tcPr>
            <w:tcW w:w="1134" w:type="dxa"/>
            <w:tcBorders>
              <w:top w:val="single" w:sz="4"/>
              <w:left w:val="nil"/>
              <w:bottom w:val="single" w:sz="4"/>
              <w:right w:val="nil"/>
            </w:tcBorders>
            <w:vMerge w:val="restart"/>
          </w:tcPr>
          <w:p>
            <w:pPr>
              <w:pStyle w:val="0"/>
              <w:jc w:val="center"/>
            </w:pPr>
            <w:r>
              <w:rPr>
                <w:sz w:val="20"/>
              </w:rPr>
              <w:t xml:space="preserve">Налоги на доходы индивид. (НДФЛ) и з/п</w:t>
            </w:r>
          </w:p>
        </w:tc>
        <w:tc>
          <w:tcPr>
            <w:tcW w:w="794" w:type="dxa"/>
            <w:tcBorders>
              <w:top w:val="single" w:sz="4"/>
              <w:left w:val="nil"/>
              <w:bottom w:val="single" w:sz="4"/>
              <w:right w:val="nil"/>
            </w:tcBorders>
            <w:vMerge w:val="restart"/>
          </w:tcPr>
          <w:p>
            <w:pPr>
              <w:pStyle w:val="0"/>
              <w:jc w:val="center"/>
            </w:pPr>
            <w:r>
              <w:rPr>
                <w:sz w:val="20"/>
              </w:rPr>
              <w:t xml:space="preserve">Соц./страх. взносы</w:t>
            </w:r>
          </w:p>
        </w:tc>
        <w:tc>
          <w:tcPr>
            <w:tcW w:w="907" w:type="dxa"/>
            <w:tcBorders>
              <w:top w:val="single" w:sz="4"/>
              <w:left w:val="nil"/>
              <w:bottom w:val="single" w:sz="4"/>
              <w:right w:val="nil"/>
            </w:tcBorders>
            <w:vMerge w:val="restart"/>
          </w:tcPr>
          <w:p>
            <w:pPr>
              <w:pStyle w:val="0"/>
              <w:jc w:val="center"/>
            </w:pPr>
            <w:r>
              <w:rPr>
                <w:sz w:val="20"/>
              </w:rPr>
              <w:t xml:space="preserve">Имущественные налоги</w:t>
            </w:r>
          </w:p>
        </w:tc>
        <w:tc>
          <w:tcPr>
            <w:gridSpan w:val="2"/>
            <w:tcW w:w="1644" w:type="dxa"/>
            <w:tcBorders>
              <w:top w:val="single" w:sz="4"/>
              <w:left w:val="nil"/>
              <w:bottom w:val="single" w:sz="4"/>
              <w:right w:val="nil"/>
            </w:tcBorders>
          </w:tcPr>
          <w:p>
            <w:pPr>
              <w:pStyle w:val="0"/>
              <w:jc w:val="center"/>
            </w:pPr>
            <w:r>
              <w:rPr>
                <w:sz w:val="20"/>
              </w:rPr>
              <w:t xml:space="preserve">Налоги на потребление</w:t>
            </w:r>
          </w:p>
        </w:tc>
        <w:tc>
          <w:tcPr>
            <w:tcW w:w="1247" w:type="dxa"/>
            <w:tcBorders>
              <w:top w:val="single" w:sz="4"/>
              <w:left w:val="nil"/>
              <w:bottom w:val="single" w:sz="4"/>
              <w:right w:val="nil"/>
            </w:tcBorders>
            <w:vMerge w:val="restart"/>
          </w:tcPr>
          <w:p>
            <w:pPr>
              <w:pStyle w:val="0"/>
              <w:jc w:val="center"/>
            </w:pPr>
            <w:r>
              <w:rPr>
                <w:sz w:val="20"/>
              </w:rPr>
              <w:t xml:space="preserve">Остальные налоговые платежи и сборы </w:t>
            </w:r>
            <w:hyperlink w:history="0" w:anchor="P3780" w:tooltip="&lt;*&gt; - таможенные платежи, налоги на экспорт, налоги на инвестиционные товары, налоги за использование природных ресурсов (НДПИ) и т.д.">
              <w:r>
                <w:rPr>
                  <w:sz w:val="20"/>
                  <w:color w:val="0000ff"/>
                </w:rPr>
                <w:t xml:space="preserve">&lt;*&gt;</w:t>
              </w:r>
            </w:hyperlink>
          </w:p>
        </w:tc>
      </w:tr>
      <w:tr>
        <w:tblPrEx>
          <w:tblBorders>
            <w:insideH w:val="single" w:sz="4"/>
          </w:tblBorders>
        </w:tblPrEx>
        <w:tc>
          <w:tcPr>
            <w:tcBorders>
              <w:top w:val="single" w:sz="4"/>
              <w:left w:val="nil"/>
              <w:bottom w:val="single" w:sz="4"/>
              <w:right w:val="nil"/>
            </w:tcBorders>
            <w:vMerge w:val="continue"/>
          </w:tcPr>
          <w:p/>
        </w:tc>
        <w:tc>
          <w:tcPr>
            <w:tcBorders>
              <w:top w:val="single" w:sz="4"/>
              <w:left w:val="nil"/>
              <w:bottom w:val="single" w:sz="4"/>
              <w:right w:val="nil"/>
            </w:tcBorders>
            <w:vMerge w:val="continue"/>
          </w:tcPr>
          <w:p/>
        </w:tc>
        <w:tc>
          <w:tcPr>
            <w:tcBorders>
              <w:top w:val="single" w:sz="4"/>
              <w:left w:val="nil"/>
              <w:bottom w:val="single" w:sz="4"/>
              <w:right w:val="nil"/>
            </w:tcBorders>
            <w:vMerge w:val="continue"/>
          </w:tcPr>
          <w:p/>
        </w:tc>
        <w:tc>
          <w:tcPr>
            <w:tcBorders>
              <w:top w:val="single" w:sz="4"/>
              <w:left w:val="nil"/>
              <w:bottom w:val="single" w:sz="4"/>
              <w:right w:val="nil"/>
            </w:tcBorders>
            <w:vMerge w:val="continue"/>
          </w:tcPr>
          <w:p/>
        </w:tc>
        <w:tc>
          <w:tcPr>
            <w:tcBorders>
              <w:top w:val="single" w:sz="4"/>
              <w:left w:val="nil"/>
              <w:bottom w:val="single" w:sz="4"/>
              <w:right w:val="nil"/>
            </w:tcBorders>
            <w:vMerge w:val="continue"/>
          </w:tcPr>
          <w:p/>
        </w:tc>
        <w:tc>
          <w:tcPr>
            <w:tcBorders>
              <w:top w:val="single" w:sz="4"/>
              <w:left w:val="nil"/>
              <w:bottom w:val="single" w:sz="4"/>
              <w:right w:val="nil"/>
            </w:tcBorders>
            <w:vMerge w:val="continue"/>
          </w:tcPr>
          <w:p/>
        </w:tc>
        <w:tc>
          <w:tcPr>
            <w:tcW w:w="964" w:type="dxa"/>
            <w:tcBorders>
              <w:top w:val="single" w:sz="4"/>
              <w:left w:val="nil"/>
              <w:bottom w:val="single" w:sz="4"/>
              <w:right w:val="nil"/>
            </w:tcBorders>
          </w:tcPr>
          <w:p>
            <w:pPr>
              <w:pStyle w:val="0"/>
              <w:jc w:val="center"/>
            </w:pPr>
            <w:r>
              <w:rPr>
                <w:sz w:val="20"/>
              </w:rPr>
              <w:t xml:space="preserve">НДС и налог с продаж</w:t>
            </w:r>
          </w:p>
        </w:tc>
        <w:tc>
          <w:tcPr>
            <w:tcW w:w="680" w:type="dxa"/>
            <w:tcBorders>
              <w:top w:val="single" w:sz="4"/>
              <w:left w:val="nil"/>
              <w:bottom w:val="single" w:sz="4"/>
              <w:right w:val="nil"/>
            </w:tcBorders>
          </w:tcPr>
          <w:p>
            <w:pPr>
              <w:pStyle w:val="0"/>
              <w:jc w:val="center"/>
            </w:pPr>
            <w:r>
              <w:rPr>
                <w:sz w:val="20"/>
              </w:rPr>
              <w:t xml:space="preserve">Акцизы</w:t>
            </w:r>
          </w:p>
        </w:tc>
        <w:tc>
          <w:tcPr>
            <w:tcBorders>
              <w:top w:val="single" w:sz="4"/>
              <w:left w:val="nil"/>
              <w:bottom w:val="single" w:sz="4"/>
              <w:right w:val="nil"/>
            </w:tcBorders>
            <w:vMerge w:val="continue"/>
          </w:tcPr>
          <w:p/>
        </w:tc>
      </w:tr>
      <w:tr>
        <w:tc>
          <w:tcPr>
            <w:tcW w:w="1587" w:type="dxa"/>
            <w:tcBorders>
              <w:top w:val="single" w:sz="4"/>
              <w:left w:val="nil"/>
              <w:bottom w:val="nil"/>
              <w:right w:val="nil"/>
            </w:tcBorders>
          </w:tcPr>
          <w:p>
            <w:pPr>
              <w:pStyle w:val="0"/>
            </w:pPr>
            <w:r>
              <w:rPr>
                <w:sz w:val="20"/>
              </w:rPr>
              <w:t xml:space="preserve">Мексика</w:t>
            </w:r>
          </w:p>
        </w:tc>
        <w:tc>
          <w:tcPr>
            <w:tcW w:w="850" w:type="dxa"/>
            <w:vAlign w:val="center"/>
            <w:tcBorders>
              <w:top w:val="single" w:sz="4"/>
              <w:left w:val="nil"/>
              <w:bottom w:val="nil"/>
              <w:right w:val="nil"/>
            </w:tcBorders>
          </w:tcPr>
          <w:p>
            <w:pPr>
              <w:pStyle w:val="0"/>
              <w:jc w:val="center"/>
            </w:pPr>
            <w:r>
              <w:rPr>
                <w:sz w:val="20"/>
              </w:rPr>
              <w:t xml:space="preserve">16,70</w:t>
            </w:r>
          </w:p>
        </w:tc>
        <w:tc>
          <w:tcPr>
            <w:tcW w:w="907" w:type="dxa"/>
            <w:vAlign w:val="center"/>
            <w:tcBorders>
              <w:top w:val="single" w:sz="4"/>
              <w:left w:val="nil"/>
              <w:bottom w:val="nil"/>
              <w:right w:val="nil"/>
            </w:tcBorders>
          </w:tcPr>
          <w:p>
            <w:pPr>
              <w:pStyle w:val="0"/>
              <w:jc w:val="center"/>
            </w:pPr>
            <w:r>
              <w:rPr>
                <w:sz w:val="20"/>
              </w:rPr>
              <w:t xml:space="preserve">3,43</w:t>
            </w:r>
          </w:p>
        </w:tc>
        <w:tc>
          <w:tcPr>
            <w:tcW w:w="1134" w:type="dxa"/>
            <w:vAlign w:val="center"/>
            <w:tcBorders>
              <w:top w:val="single" w:sz="4"/>
              <w:left w:val="nil"/>
              <w:bottom w:val="nil"/>
              <w:right w:val="nil"/>
            </w:tcBorders>
          </w:tcPr>
          <w:p>
            <w:pPr>
              <w:pStyle w:val="0"/>
              <w:jc w:val="center"/>
            </w:pPr>
            <w:r>
              <w:rPr>
                <w:sz w:val="20"/>
              </w:rPr>
              <w:t xml:space="preserve">3,85</w:t>
            </w:r>
          </w:p>
        </w:tc>
        <w:tc>
          <w:tcPr>
            <w:tcW w:w="794" w:type="dxa"/>
            <w:vAlign w:val="center"/>
            <w:tcBorders>
              <w:top w:val="single" w:sz="4"/>
              <w:left w:val="nil"/>
              <w:bottom w:val="nil"/>
              <w:right w:val="nil"/>
            </w:tcBorders>
          </w:tcPr>
          <w:p>
            <w:pPr>
              <w:pStyle w:val="0"/>
              <w:jc w:val="center"/>
            </w:pPr>
            <w:r>
              <w:rPr>
                <w:sz w:val="20"/>
              </w:rPr>
              <w:t xml:space="preserve">2,34</w:t>
            </w:r>
          </w:p>
        </w:tc>
        <w:tc>
          <w:tcPr>
            <w:tcW w:w="907" w:type="dxa"/>
            <w:vAlign w:val="center"/>
            <w:tcBorders>
              <w:top w:val="single" w:sz="4"/>
              <w:left w:val="nil"/>
              <w:bottom w:val="nil"/>
              <w:right w:val="nil"/>
            </w:tcBorders>
          </w:tcPr>
          <w:p>
            <w:pPr>
              <w:pStyle w:val="0"/>
              <w:jc w:val="center"/>
            </w:pPr>
            <w:r>
              <w:rPr>
                <w:sz w:val="20"/>
              </w:rPr>
              <w:t xml:space="preserve">0,30</w:t>
            </w:r>
          </w:p>
        </w:tc>
        <w:tc>
          <w:tcPr>
            <w:tcW w:w="964" w:type="dxa"/>
            <w:vAlign w:val="center"/>
            <w:tcBorders>
              <w:top w:val="single" w:sz="4"/>
              <w:left w:val="nil"/>
              <w:bottom w:val="nil"/>
              <w:right w:val="nil"/>
            </w:tcBorders>
          </w:tcPr>
          <w:p>
            <w:pPr>
              <w:pStyle w:val="0"/>
              <w:jc w:val="center"/>
            </w:pPr>
            <w:r>
              <w:rPr>
                <w:sz w:val="20"/>
              </w:rPr>
              <w:t xml:space="preserve">4,29</w:t>
            </w:r>
          </w:p>
        </w:tc>
        <w:tc>
          <w:tcPr>
            <w:tcW w:w="680" w:type="dxa"/>
            <w:vAlign w:val="center"/>
            <w:tcBorders>
              <w:top w:val="single" w:sz="4"/>
              <w:left w:val="nil"/>
              <w:bottom w:val="nil"/>
              <w:right w:val="nil"/>
            </w:tcBorders>
          </w:tcPr>
          <w:p>
            <w:pPr>
              <w:pStyle w:val="0"/>
              <w:jc w:val="center"/>
            </w:pPr>
            <w:r>
              <w:rPr>
                <w:sz w:val="20"/>
              </w:rPr>
              <w:t xml:space="preserve">1,57</w:t>
            </w:r>
          </w:p>
        </w:tc>
        <w:tc>
          <w:tcPr>
            <w:tcW w:w="1247" w:type="dxa"/>
            <w:vAlign w:val="center"/>
            <w:tcBorders>
              <w:top w:val="single" w:sz="4"/>
              <w:left w:val="nil"/>
              <w:bottom w:val="nil"/>
              <w:right w:val="nil"/>
            </w:tcBorders>
          </w:tcPr>
          <w:p>
            <w:pPr>
              <w:pStyle w:val="0"/>
              <w:jc w:val="center"/>
            </w:pPr>
            <w:r>
              <w:rPr>
                <w:sz w:val="20"/>
              </w:rPr>
              <w:t xml:space="preserve">0,93</w:t>
            </w:r>
          </w:p>
        </w:tc>
      </w:tr>
      <w:tr>
        <w:tc>
          <w:tcPr>
            <w:tcW w:w="1587" w:type="dxa"/>
            <w:tcBorders>
              <w:top w:val="nil"/>
              <w:left w:val="nil"/>
              <w:bottom w:val="nil"/>
              <w:right w:val="nil"/>
            </w:tcBorders>
          </w:tcPr>
          <w:p>
            <w:pPr>
              <w:pStyle w:val="0"/>
            </w:pPr>
            <w:r>
              <w:rPr>
                <w:sz w:val="20"/>
              </w:rPr>
              <w:t xml:space="preserve">Польша</w:t>
            </w:r>
          </w:p>
        </w:tc>
        <w:tc>
          <w:tcPr>
            <w:tcW w:w="850" w:type="dxa"/>
            <w:vAlign w:val="center"/>
            <w:tcBorders>
              <w:top w:val="nil"/>
              <w:left w:val="nil"/>
              <w:bottom w:val="nil"/>
              <w:right w:val="nil"/>
            </w:tcBorders>
          </w:tcPr>
          <w:p>
            <w:pPr>
              <w:pStyle w:val="0"/>
              <w:jc w:val="center"/>
            </w:pPr>
            <w:r>
              <w:rPr>
                <w:sz w:val="20"/>
              </w:rPr>
              <w:t xml:space="preserve">36,77</w:t>
            </w:r>
          </w:p>
        </w:tc>
        <w:tc>
          <w:tcPr>
            <w:tcW w:w="907" w:type="dxa"/>
            <w:vAlign w:val="center"/>
            <w:tcBorders>
              <w:top w:val="nil"/>
              <w:left w:val="nil"/>
              <w:bottom w:val="nil"/>
              <w:right w:val="nil"/>
            </w:tcBorders>
          </w:tcPr>
          <w:p>
            <w:pPr>
              <w:pStyle w:val="0"/>
              <w:jc w:val="center"/>
            </w:pPr>
            <w:r>
              <w:rPr>
                <w:sz w:val="20"/>
              </w:rPr>
              <w:t xml:space="preserve">2,62</w:t>
            </w:r>
          </w:p>
        </w:tc>
        <w:tc>
          <w:tcPr>
            <w:tcW w:w="1134" w:type="dxa"/>
            <w:vAlign w:val="center"/>
            <w:tcBorders>
              <w:top w:val="nil"/>
              <w:left w:val="nil"/>
              <w:bottom w:val="nil"/>
              <w:right w:val="nil"/>
            </w:tcBorders>
          </w:tcPr>
          <w:p>
            <w:pPr>
              <w:pStyle w:val="0"/>
              <w:jc w:val="center"/>
            </w:pPr>
            <w:r>
              <w:rPr>
                <w:sz w:val="20"/>
              </w:rPr>
              <w:t xml:space="preserve">5,92</w:t>
            </w:r>
          </w:p>
        </w:tc>
        <w:tc>
          <w:tcPr>
            <w:tcW w:w="794" w:type="dxa"/>
            <w:vAlign w:val="center"/>
            <w:tcBorders>
              <w:top w:val="nil"/>
              <w:left w:val="nil"/>
              <w:bottom w:val="nil"/>
              <w:right w:val="nil"/>
            </w:tcBorders>
          </w:tcPr>
          <w:p>
            <w:pPr>
              <w:pStyle w:val="0"/>
              <w:jc w:val="center"/>
            </w:pPr>
            <w:r>
              <w:rPr>
                <w:sz w:val="20"/>
              </w:rPr>
              <w:t xml:space="preserve">13,01</w:t>
            </w:r>
          </w:p>
        </w:tc>
        <w:tc>
          <w:tcPr>
            <w:tcW w:w="907" w:type="dxa"/>
            <w:vAlign w:val="center"/>
            <w:tcBorders>
              <w:top w:val="nil"/>
              <w:left w:val="nil"/>
              <w:bottom w:val="nil"/>
              <w:right w:val="nil"/>
            </w:tcBorders>
          </w:tcPr>
          <w:p>
            <w:pPr>
              <w:pStyle w:val="0"/>
              <w:jc w:val="center"/>
            </w:pPr>
            <w:r>
              <w:rPr>
                <w:sz w:val="20"/>
              </w:rPr>
              <w:t xml:space="preserve">1,28</w:t>
            </w:r>
          </w:p>
        </w:tc>
        <w:tc>
          <w:tcPr>
            <w:tcW w:w="964" w:type="dxa"/>
            <w:vAlign w:val="center"/>
            <w:tcBorders>
              <w:top w:val="nil"/>
              <w:left w:val="nil"/>
              <w:bottom w:val="nil"/>
              <w:right w:val="nil"/>
            </w:tcBorders>
          </w:tcPr>
          <w:p>
            <w:pPr>
              <w:pStyle w:val="0"/>
              <w:jc w:val="center"/>
            </w:pPr>
            <w:r>
              <w:rPr>
                <w:sz w:val="20"/>
              </w:rPr>
              <w:t xml:space="preserve">8,70</w:t>
            </w:r>
          </w:p>
        </w:tc>
        <w:tc>
          <w:tcPr>
            <w:tcW w:w="680" w:type="dxa"/>
            <w:vAlign w:val="center"/>
            <w:tcBorders>
              <w:top w:val="nil"/>
              <w:left w:val="nil"/>
              <w:bottom w:val="nil"/>
              <w:right w:val="nil"/>
            </w:tcBorders>
          </w:tcPr>
          <w:p>
            <w:pPr>
              <w:pStyle w:val="0"/>
              <w:jc w:val="center"/>
            </w:pPr>
            <w:r>
              <w:rPr>
                <w:sz w:val="20"/>
              </w:rPr>
              <w:t xml:space="preserve">3,70</w:t>
            </w:r>
          </w:p>
        </w:tc>
        <w:tc>
          <w:tcPr>
            <w:tcW w:w="1247" w:type="dxa"/>
            <w:vAlign w:val="center"/>
            <w:tcBorders>
              <w:top w:val="nil"/>
              <w:left w:val="nil"/>
              <w:bottom w:val="nil"/>
              <w:right w:val="nil"/>
            </w:tcBorders>
          </w:tcPr>
          <w:p>
            <w:pPr>
              <w:pStyle w:val="0"/>
              <w:jc w:val="center"/>
            </w:pPr>
            <w:r>
              <w:rPr>
                <w:sz w:val="20"/>
              </w:rPr>
              <w:t xml:space="preserve">1,54</w:t>
            </w:r>
          </w:p>
        </w:tc>
      </w:tr>
      <w:tr>
        <w:tc>
          <w:tcPr>
            <w:tcW w:w="1587" w:type="dxa"/>
            <w:tcBorders>
              <w:top w:val="nil"/>
              <w:left w:val="nil"/>
              <w:bottom w:val="nil"/>
              <w:right w:val="nil"/>
            </w:tcBorders>
          </w:tcPr>
          <w:p>
            <w:pPr>
              <w:pStyle w:val="0"/>
            </w:pPr>
            <w:r>
              <w:rPr>
                <w:sz w:val="20"/>
              </w:rPr>
              <w:t xml:space="preserve">Словакия</w:t>
            </w:r>
          </w:p>
        </w:tc>
        <w:tc>
          <w:tcPr>
            <w:tcW w:w="850" w:type="dxa"/>
            <w:vAlign w:val="center"/>
            <w:tcBorders>
              <w:top w:val="nil"/>
              <w:left w:val="nil"/>
              <w:bottom w:val="nil"/>
              <w:right w:val="nil"/>
            </w:tcBorders>
          </w:tcPr>
          <w:p>
            <w:pPr>
              <w:pStyle w:val="0"/>
              <w:jc w:val="center"/>
            </w:pPr>
            <w:r>
              <w:rPr>
                <w:sz w:val="20"/>
              </w:rPr>
              <w:t xml:space="preserve">35,78</w:t>
            </w:r>
          </w:p>
        </w:tc>
        <w:tc>
          <w:tcPr>
            <w:tcW w:w="907" w:type="dxa"/>
            <w:vAlign w:val="center"/>
            <w:tcBorders>
              <w:top w:val="nil"/>
              <w:left w:val="nil"/>
              <w:bottom w:val="nil"/>
              <w:right w:val="nil"/>
            </w:tcBorders>
          </w:tcPr>
          <w:p>
            <w:pPr>
              <w:pStyle w:val="0"/>
              <w:jc w:val="center"/>
            </w:pPr>
            <w:r>
              <w:rPr>
                <w:sz w:val="20"/>
              </w:rPr>
              <w:t xml:space="preserve">3,03</w:t>
            </w:r>
          </w:p>
        </w:tc>
        <w:tc>
          <w:tcPr>
            <w:tcW w:w="1134" w:type="dxa"/>
            <w:vAlign w:val="center"/>
            <w:tcBorders>
              <w:top w:val="nil"/>
              <w:left w:val="nil"/>
              <w:bottom w:val="nil"/>
              <w:right w:val="nil"/>
            </w:tcBorders>
          </w:tcPr>
          <w:p>
            <w:pPr>
              <w:pStyle w:val="0"/>
              <w:jc w:val="center"/>
            </w:pPr>
            <w:r>
              <w:rPr>
                <w:sz w:val="20"/>
              </w:rPr>
              <w:t xml:space="preserve">3,91</w:t>
            </w:r>
          </w:p>
        </w:tc>
        <w:tc>
          <w:tcPr>
            <w:tcW w:w="794" w:type="dxa"/>
            <w:vAlign w:val="center"/>
            <w:tcBorders>
              <w:top w:val="nil"/>
              <w:left w:val="nil"/>
              <w:bottom w:val="nil"/>
              <w:right w:val="nil"/>
            </w:tcBorders>
          </w:tcPr>
          <w:p>
            <w:pPr>
              <w:pStyle w:val="0"/>
              <w:jc w:val="center"/>
            </w:pPr>
            <w:r>
              <w:rPr>
                <w:sz w:val="20"/>
              </w:rPr>
              <w:t xml:space="preserve">15,70</w:t>
            </w:r>
          </w:p>
        </w:tc>
        <w:tc>
          <w:tcPr>
            <w:tcW w:w="907" w:type="dxa"/>
            <w:vAlign w:val="center"/>
            <w:tcBorders>
              <w:top w:val="nil"/>
              <w:left w:val="nil"/>
              <w:bottom w:val="nil"/>
              <w:right w:val="nil"/>
            </w:tcBorders>
          </w:tcPr>
          <w:p>
            <w:pPr>
              <w:pStyle w:val="0"/>
              <w:jc w:val="center"/>
            </w:pPr>
            <w:r>
              <w:rPr>
                <w:sz w:val="20"/>
              </w:rPr>
              <w:t xml:space="preserve">0,48</w:t>
            </w:r>
          </w:p>
        </w:tc>
        <w:tc>
          <w:tcPr>
            <w:tcW w:w="964" w:type="dxa"/>
            <w:vAlign w:val="center"/>
            <w:tcBorders>
              <w:top w:val="nil"/>
              <w:left w:val="nil"/>
              <w:bottom w:val="nil"/>
              <w:right w:val="nil"/>
            </w:tcBorders>
          </w:tcPr>
          <w:p>
            <w:pPr>
              <w:pStyle w:val="0"/>
              <w:jc w:val="center"/>
            </w:pPr>
            <w:r>
              <w:rPr>
                <w:sz w:val="20"/>
              </w:rPr>
              <w:t xml:space="preserve">7,76</w:t>
            </w:r>
          </w:p>
        </w:tc>
        <w:tc>
          <w:tcPr>
            <w:tcW w:w="680" w:type="dxa"/>
            <w:vAlign w:val="center"/>
            <w:tcBorders>
              <w:top w:val="nil"/>
              <w:left w:val="nil"/>
              <w:bottom w:val="nil"/>
              <w:right w:val="nil"/>
            </w:tcBorders>
          </w:tcPr>
          <w:p>
            <w:pPr>
              <w:pStyle w:val="0"/>
              <w:jc w:val="center"/>
            </w:pPr>
            <w:r>
              <w:rPr>
                <w:sz w:val="20"/>
              </w:rPr>
              <w:t xml:space="preserve">3,05</w:t>
            </w:r>
          </w:p>
        </w:tc>
        <w:tc>
          <w:tcPr>
            <w:tcW w:w="1247" w:type="dxa"/>
            <w:vAlign w:val="center"/>
            <w:tcBorders>
              <w:top w:val="nil"/>
              <w:left w:val="nil"/>
              <w:bottom w:val="nil"/>
              <w:right w:val="nil"/>
            </w:tcBorders>
          </w:tcPr>
          <w:p>
            <w:pPr>
              <w:pStyle w:val="0"/>
              <w:jc w:val="center"/>
            </w:pPr>
            <w:r>
              <w:rPr>
                <w:sz w:val="20"/>
              </w:rPr>
              <w:t xml:space="preserve">1,86</w:t>
            </w:r>
          </w:p>
        </w:tc>
      </w:tr>
      <w:tr>
        <w:tc>
          <w:tcPr>
            <w:tcW w:w="1587" w:type="dxa"/>
            <w:tcBorders>
              <w:top w:val="nil"/>
              <w:left w:val="nil"/>
              <w:bottom w:val="nil"/>
              <w:right w:val="nil"/>
            </w:tcBorders>
          </w:tcPr>
          <w:p>
            <w:pPr>
              <w:pStyle w:val="0"/>
            </w:pPr>
            <w:r>
              <w:rPr>
                <w:sz w:val="20"/>
              </w:rPr>
              <w:t xml:space="preserve">Словения</w:t>
            </w:r>
          </w:p>
        </w:tc>
        <w:tc>
          <w:tcPr>
            <w:tcW w:w="850" w:type="dxa"/>
            <w:vAlign w:val="center"/>
            <w:tcBorders>
              <w:top w:val="nil"/>
              <w:left w:val="nil"/>
              <w:bottom w:val="nil"/>
              <w:right w:val="nil"/>
            </w:tcBorders>
          </w:tcPr>
          <w:p>
            <w:pPr>
              <w:pStyle w:val="0"/>
              <w:jc w:val="center"/>
            </w:pPr>
            <w:r>
              <w:rPr>
                <w:sz w:val="20"/>
              </w:rPr>
              <w:t xml:space="preserve">37,43</w:t>
            </w:r>
          </w:p>
        </w:tc>
        <w:tc>
          <w:tcPr>
            <w:tcW w:w="907" w:type="dxa"/>
            <w:vAlign w:val="center"/>
            <w:tcBorders>
              <w:top w:val="nil"/>
              <w:left w:val="nil"/>
              <w:bottom w:val="nil"/>
              <w:right w:val="nil"/>
            </w:tcBorders>
          </w:tcPr>
          <w:p>
            <w:pPr>
              <w:pStyle w:val="0"/>
              <w:jc w:val="center"/>
            </w:pPr>
            <w:r>
              <w:rPr>
                <w:sz w:val="20"/>
              </w:rPr>
              <w:t xml:space="preserve">1,94</w:t>
            </w:r>
          </w:p>
        </w:tc>
        <w:tc>
          <w:tcPr>
            <w:tcW w:w="1134" w:type="dxa"/>
            <w:vAlign w:val="center"/>
            <w:tcBorders>
              <w:top w:val="nil"/>
              <w:left w:val="nil"/>
              <w:bottom w:val="nil"/>
              <w:right w:val="nil"/>
            </w:tcBorders>
          </w:tcPr>
          <w:p>
            <w:pPr>
              <w:pStyle w:val="0"/>
              <w:jc w:val="center"/>
            </w:pPr>
            <w:r>
              <w:rPr>
                <w:sz w:val="20"/>
              </w:rPr>
              <w:t xml:space="preserve">5,49</w:t>
            </w:r>
          </w:p>
        </w:tc>
        <w:tc>
          <w:tcPr>
            <w:tcW w:w="794" w:type="dxa"/>
            <w:vAlign w:val="center"/>
            <w:tcBorders>
              <w:top w:val="nil"/>
              <w:left w:val="nil"/>
              <w:bottom w:val="nil"/>
              <w:right w:val="nil"/>
            </w:tcBorders>
          </w:tcPr>
          <w:p>
            <w:pPr>
              <w:pStyle w:val="0"/>
              <w:jc w:val="center"/>
            </w:pPr>
            <w:r>
              <w:rPr>
                <w:sz w:val="20"/>
              </w:rPr>
              <w:t xml:space="preserve">16,40</w:t>
            </w:r>
          </w:p>
        </w:tc>
        <w:tc>
          <w:tcPr>
            <w:tcW w:w="907" w:type="dxa"/>
            <w:vAlign w:val="center"/>
            <w:tcBorders>
              <w:top w:val="nil"/>
              <w:left w:val="nil"/>
              <w:bottom w:val="nil"/>
              <w:right w:val="nil"/>
            </w:tcBorders>
          </w:tcPr>
          <w:p>
            <w:pPr>
              <w:pStyle w:val="0"/>
              <w:jc w:val="center"/>
            </w:pPr>
            <w:r>
              <w:rPr>
                <w:sz w:val="20"/>
              </w:rPr>
              <w:t xml:space="preserve">0,62</w:t>
            </w:r>
          </w:p>
        </w:tc>
        <w:tc>
          <w:tcPr>
            <w:tcW w:w="964" w:type="dxa"/>
            <w:vAlign w:val="center"/>
            <w:tcBorders>
              <w:top w:val="nil"/>
              <w:left w:val="nil"/>
              <w:bottom w:val="nil"/>
              <w:right w:val="nil"/>
            </w:tcBorders>
          </w:tcPr>
          <w:p>
            <w:pPr>
              <w:pStyle w:val="0"/>
              <w:jc w:val="center"/>
            </w:pPr>
            <w:r>
              <w:rPr>
                <w:sz w:val="20"/>
              </w:rPr>
              <w:t xml:space="preserve">8,22</w:t>
            </w:r>
          </w:p>
        </w:tc>
        <w:tc>
          <w:tcPr>
            <w:tcW w:w="680" w:type="dxa"/>
            <w:vAlign w:val="center"/>
            <w:tcBorders>
              <w:top w:val="nil"/>
              <w:left w:val="nil"/>
              <w:bottom w:val="nil"/>
              <w:right w:val="nil"/>
            </w:tcBorders>
          </w:tcPr>
          <w:p>
            <w:pPr>
              <w:pStyle w:val="0"/>
              <w:jc w:val="center"/>
            </w:pPr>
            <w:r>
              <w:rPr>
                <w:sz w:val="20"/>
              </w:rPr>
              <w:t xml:space="preserve">2,90</w:t>
            </w:r>
          </w:p>
        </w:tc>
        <w:tc>
          <w:tcPr>
            <w:tcW w:w="1247" w:type="dxa"/>
            <w:vAlign w:val="center"/>
            <w:tcBorders>
              <w:top w:val="nil"/>
              <w:left w:val="nil"/>
              <w:bottom w:val="nil"/>
              <w:right w:val="nil"/>
            </w:tcBorders>
          </w:tcPr>
          <w:p>
            <w:pPr>
              <w:pStyle w:val="0"/>
              <w:jc w:val="center"/>
            </w:pPr>
            <w:r>
              <w:rPr>
                <w:sz w:val="20"/>
              </w:rPr>
              <w:t xml:space="preserve">1,86</w:t>
            </w:r>
          </w:p>
        </w:tc>
      </w:tr>
      <w:tr>
        <w:tc>
          <w:tcPr>
            <w:tcW w:w="1587" w:type="dxa"/>
            <w:tcBorders>
              <w:top w:val="nil"/>
              <w:left w:val="nil"/>
              <w:bottom w:val="nil"/>
              <w:right w:val="nil"/>
            </w:tcBorders>
          </w:tcPr>
          <w:p>
            <w:pPr>
              <w:pStyle w:val="0"/>
            </w:pPr>
            <w:r>
              <w:rPr>
                <w:sz w:val="20"/>
              </w:rPr>
              <w:t xml:space="preserve">США</w:t>
            </w:r>
          </w:p>
        </w:tc>
        <w:tc>
          <w:tcPr>
            <w:tcW w:w="850" w:type="dxa"/>
            <w:vAlign w:val="center"/>
            <w:tcBorders>
              <w:top w:val="nil"/>
              <w:left w:val="nil"/>
              <w:bottom w:val="nil"/>
              <w:right w:val="nil"/>
            </w:tcBorders>
          </w:tcPr>
          <w:p>
            <w:pPr>
              <w:pStyle w:val="0"/>
              <w:jc w:val="center"/>
            </w:pPr>
            <w:r>
              <w:rPr>
                <w:sz w:val="20"/>
              </w:rPr>
              <w:t xml:space="preserve">26,58</w:t>
            </w:r>
          </w:p>
        </w:tc>
        <w:tc>
          <w:tcPr>
            <w:tcW w:w="907" w:type="dxa"/>
            <w:vAlign w:val="center"/>
            <w:tcBorders>
              <w:top w:val="nil"/>
              <w:left w:val="nil"/>
              <w:bottom w:val="nil"/>
              <w:right w:val="nil"/>
            </w:tcBorders>
          </w:tcPr>
          <w:p>
            <w:pPr>
              <w:pStyle w:val="0"/>
              <w:jc w:val="center"/>
            </w:pPr>
            <w:r>
              <w:rPr>
                <w:sz w:val="20"/>
              </w:rPr>
              <w:t xml:space="preserve">1,61</w:t>
            </w:r>
          </w:p>
        </w:tc>
        <w:tc>
          <w:tcPr>
            <w:tcW w:w="1134" w:type="dxa"/>
            <w:vAlign w:val="center"/>
            <w:tcBorders>
              <w:top w:val="nil"/>
              <w:left w:val="nil"/>
              <w:bottom w:val="nil"/>
              <w:right w:val="nil"/>
            </w:tcBorders>
          </w:tcPr>
          <w:p>
            <w:pPr>
              <w:pStyle w:val="0"/>
              <w:jc w:val="center"/>
            </w:pPr>
            <w:r>
              <w:rPr>
                <w:sz w:val="20"/>
              </w:rPr>
              <w:t xml:space="preserve">11,21</w:t>
            </w:r>
          </w:p>
        </w:tc>
        <w:tc>
          <w:tcPr>
            <w:tcW w:w="794" w:type="dxa"/>
            <w:vAlign w:val="center"/>
            <w:tcBorders>
              <w:top w:val="nil"/>
              <w:left w:val="nil"/>
              <w:bottom w:val="nil"/>
              <w:right w:val="nil"/>
            </w:tcBorders>
          </w:tcPr>
          <w:p>
            <w:pPr>
              <w:pStyle w:val="0"/>
              <w:jc w:val="center"/>
            </w:pPr>
            <w:r>
              <w:rPr>
                <w:sz w:val="20"/>
              </w:rPr>
              <w:t xml:space="preserve">6,34</w:t>
            </w:r>
          </w:p>
        </w:tc>
        <w:tc>
          <w:tcPr>
            <w:tcW w:w="907" w:type="dxa"/>
            <w:vAlign w:val="center"/>
            <w:tcBorders>
              <w:top w:val="nil"/>
              <w:left w:val="nil"/>
              <w:bottom w:val="nil"/>
              <w:right w:val="nil"/>
            </w:tcBorders>
          </w:tcPr>
          <w:p>
            <w:pPr>
              <w:pStyle w:val="0"/>
              <w:jc w:val="center"/>
            </w:pPr>
            <w:r>
              <w:rPr>
                <w:sz w:val="20"/>
              </w:rPr>
              <w:t xml:space="preserve">3,02</w:t>
            </w:r>
          </w:p>
        </w:tc>
        <w:tc>
          <w:tcPr>
            <w:tcW w:w="964" w:type="dxa"/>
            <w:vAlign w:val="center"/>
            <w:tcBorders>
              <w:top w:val="nil"/>
              <w:left w:val="nil"/>
              <w:bottom w:val="nil"/>
              <w:right w:val="nil"/>
            </w:tcBorders>
          </w:tcPr>
          <w:p>
            <w:pPr>
              <w:pStyle w:val="0"/>
              <w:jc w:val="center"/>
            </w:pPr>
            <w:r>
              <w:rPr>
                <w:sz w:val="20"/>
              </w:rPr>
              <w:t xml:space="preserve">2,17</w:t>
            </w:r>
          </w:p>
        </w:tc>
        <w:tc>
          <w:tcPr>
            <w:tcW w:w="680" w:type="dxa"/>
            <w:vAlign w:val="center"/>
            <w:tcBorders>
              <w:top w:val="nil"/>
              <w:left w:val="nil"/>
              <w:bottom w:val="nil"/>
              <w:right w:val="nil"/>
            </w:tcBorders>
          </w:tcPr>
          <w:p>
            <w:pPr>
              <w:pStyle w:val="0"/>
              <w:jc w:val="center"/>
            </w:pPr>
            <w:r>
              <w:rPr>
                <w:sz w:val="20"/>
              </w:rPr>
              <w:t xml:space="preserve">0,73</w:t>
            </w:r>
          </w:p>
        </w:tc>
        <w:tc>
          <w:tcPr>
            <w:tcW w:w="1247" w:type="dxa"/>
            <w:vAlign w:val="center"/>
            <w:tcBorders>
              <w:top w:val="nil"/>
              <w:left w:val="nil"/>
              <w:bottom w:val="nil"/>
              <w:right w:val="nil"/>
            </w:tcBorders>
          </w:tcPr>
          <w:p>
            <w:pPr>
              <w:pStyle w:val="0"/>
              <w:jc w:val="center"/>
            </w:pPr>
            <w:r>
              <w:rPr>
                <w:sz w:val="20"/>
              </w:rPr>
              <w:t xml:space="preserve">1,50</w:t>
            </w:r>
          </w:p>
        </w:tc>
      </w:tr>
      <w:tr>
        <w:tc>
          <w:tcPr>
            <w:tcW w:w="1587" w:type="dxa"/>
            <w:tcBorders>
              <w:top w:val="nil"/>
              <w:left w:val="nil"/>
              <w:bottom w:val="nil"/>
              <w:right w:val="nil"/>
            </w:tcBorders>
          </w:tcPr>
          <w:p>
            <w:pPr>
              <w:pStyle w:val="0"/>
            </w:pPr>
            <w:r>
              <w:rPr>
                <w:sz w:val="20"/>
              </w:rPr>
              <w:t xml:space="preserve">Турция</w:t>
            </w:r>
          </w:p>
        </w:tc>
        <w:tc>
          <w:tcPr>
            <w:tcW w:w="850" w:type="dxa"/>
            <w:vAlign w:val="center"/>
            <w:tcBorders>
              <w:top w:val="nil"/>
              <w:left w:val="nil"/>
              <w:bottom w:val="nil"/>
              <w:right w:val="nil"/>
            </w:tcBorders>
          </w:tcPr>
          <w:p>
            <w:pPr>
              <w:pStyle w:val="0"/>
              <w:jc w:val="center"/>
            </w:pPr>
            <w:r>
              <w:rPr>
                <w:sz w:val="20"/>
              </w:rPr>
              <w:t xml:space="preserve">22,83</w:t>
            </w:r>
          </w:p>
        </w:tc>
        <w:tc>
          <w:tcPr>
            <w:tcW w:w="907" w:type="dxa"/>
            <w:vAlign w:val="center"/>
            <w:tcBorders>
              <w:top w:val="nil"/>
              <w:left w:val="nil"/>
              <w:bottom w:val="nil"/>
              <w:right w:val="nil"/>
            </w:tcBorders>
          </w:tcPr>
          <w:p>
            <w:pPr>
              <w:pStyle w:val="0"/>
              <w:jc w:val="center"/>
            </w:pPr>
            <w:r>
              <w:rPr>
                <w:sz w:val="20"/>
              </w:rPr>
              <w:t xml:space="preserve">2,46</w:t>
            </w:r>
          </w:p>
        </w:tc>
        <w:tc>
          <w:tcPr>
            <w:tcW w:w="1134" w:type="dxa"/>
            <w:vAlign w:val="center"/>
            <w:tcBorders>
              <w:top w:val="nil"/>
              <w:left w:val="nil"/>
              <w:bottom w:val="nil"/>
              <w:right w:val="nil"/>
            </w:tcBorders>
          </w:tcPr>
          <w:p>
            <w:pPr>
              <w:pStyle w:val="0"/>
              <w:jc w:val="center"/>
            </w:pPr>
            <w:r>
              <w:rPr>
                <w:sz w:val="20"/>
              </w:rPr>
              <w:t xml:space="preserve">3,03</w:t>
            </w:r>
          </w:p>
        </w:tc>
        <w:tc>
          <w:tcPr>
            <w:tcW w:w="794" w:type="dxa"/>
            <w:vAlign w:val="center"/>
            <w:tcBorders>
              <w:top w:val="nil"/>
              <w:left w:val="nil"/>
              <w:bottom w:val="nil"/>
              <w:right w:val="nil"/>
            </w:tcBorders>
          </w:tcPr>
          <w:p>
            <w:pPr>
              <w:pStyle w:val="0"/>
              <w:jc w:val="center"/>
            </w:pPr>
            <w:r>
              <w:rPr>
                <w:sz w:val="20"/>
              </w:rPr>
              <w:t xml:space="preserve">6,53</w:t>
            </w:r>
          </w:p>
        </w:tc>
        <w:tc>
          <w:tcPr>
            <w:tcW w:w="907" w:type="dxa"/>
            <w:vAlign w:val="center"/>
            <w:tcBorders>
              <w:top w:val="nil"/>
              <w:left w:val="nil"/>
              <w:bottom w:val="nil"/>
              <w:right w:val="nil"/>
            </w:tcBorders>
          </w:tcPr>
          <w:p>
            <w:pPr>
              <w:pStyle w:val="0"/>
              <w:jc w:val="center"/>
            </w:pPr>
            <w:r>
              <w:rPr>
                <w:sz w:val="20"/>
              </w:rPr>
              <w:t xml:space="preserve">0,97</w:t>
            </w:r>
          </w:p>
        </w:tc>
        <w:tc>
          <w:tcPr>
            <w:tcW w:w="964" w:type="dxa"/>
            <w:vAlign w:val="center"/>
            <w:tcBorders>
              <w:top w:val="nil"/>
              <w:left w:val="nil"/>
              <w:bottom w:val="nil"/>
              <w:right w:val="nil"/>
            </w:tcBorders>
          </w:tcPr>
          <w:p>
            <w:pPr>
              <w:pStyle w:val="0"/>
              <w:jc w:val="center"/>
            </w:pPr>
            <w:r>
              <w:rPr>
                <w:sz w:val="20"/>
              </w:rPr>
              <w:t xml:space="preserve">5,32</w:t>
            </w:r>
          </w:p>
        </w:tc>
        <w:tc>
          <w:tcPr>
            <w:tcW w:w="680" w:type="dxa"/>
            <w:vAlign w:val="center"/>
            <w:tcBorders>
              <w:top w:val="nil"/>
              <w:left w:val="nil"/>
              <w:bottom w:val="nil"/>
              <w:right w:val="nil"/>
            </w:tcBorders>
          </w:tcPr>
          <w:p>
            <w:pPr>
              <w:pStyle w:val="0"/>
              <w:jc w:val="center"/>
            </w:pPr>
            <w:r>
              <w:rPr>
                <w:sz w:val="20"/>
              </w:rPr>
              <w:t xml:space="preserve">2,83</w:t>
            </w:r>
          </w:p>
        </w:tc>
        <w:tc>
          <w:tcPr>
            <w:tcW w:w="1247" w:type="dxa"/>
            <w:vAlign w:val="center"/>
            <w:tcBorders>
              <w:top w:val="nil"/>
              <w:left w:val="nil"/>
              <w:bottom w:val="nil"/>
              <w:right w:val="nil"/>
            </w:tcBorders>
          </w:tcPr>
          <w:p>
            <w:pPr>
              <w:pStyle w:val="0"/>
              <w:jc w:val="center"/>
            </w:pPr>
            <w:r>
              <w:rPr>
                <w:sz w:val="20"/>
              </w:rPr>
              <w:t xml:space="preserve">1,70</w:t>
            </w:r>
          </w:p>
        </w:tc>
      </w:tr>
      <w:tr>
        <w:tc>
          <w:tcPr>
            <w:tcW w:w="1587" w:type="dxa"/>
            <w:tcBorders>
              <w:top w:val="nil"/>
              <w:left w:val="nil"/>
              <w:bottom w:val="nil"/>
              <w:right w:val="nil"/>
            </w:tcBorders>
          </w:tcPr>
          <w:p>
            <w:pPr>
              <w:pStyle w:val="0"/>
            </w:pPr>
            <w:r>
              <w:rPr>
                <w:sz w:val="20"/>
              </w:rPr>
              <w:t xml:space="preserve">Финляндия</w:t>
            </w:r>
          </w:p>
        </w:tc>
        <w:tc>
          <w:tcPr>
            <w:tcW w:w="850" w:type="dxa"/>
            <w:vAlign w:val="center"/>
            <w:tcBorders>
              <w:top w:val="nil"/>
              <w:left w:val="nil"/>
              <w:bottom w:val="nil"/>
              <w:right w:val="nil"/>
            </w:tcBorders>
          </w:tcPr>
          <w:p>
            <w:pPr>
              <w:pStyle w:val="0"/>
              <w:jc w:val="center"/>
            </w:pPr>
            <w:r>
              <w:rPr>
                <w:sz w:val="20"/>
              </w:rPr>
              <w:t xml:space="preserve">42,99</w:t>
            </w:r>
          </w:p>
        </w:tc>
        <w:tc>
          <w:tcPr>
            <w:tcW w:w="907" w:type="dxa"/>
            <w:vAlign w:val="center"/>
            <w:tcBorders>
              <w:top w:val="nil"/>
              <w:left w:val="nil"/>
              <w:bottom w:val="nil"/>
              <w:right w:val="nil"/>
            </w:tcBorders>
          </w:tcPr>
          <w:p>
            <w:pPr>
              <w:pStyle w:val="0"/>
              <w:jc w:val="center"/>
            </w:pPr>
            <w:r>
              <w:rPr>
                <w:sz w:val="20"/>
              </w:rPr>
              <w:t xml:space="preserve">2,68</w:t>
            </w:r>
          </w:p>
        </w:tc>
        <w:tc>
          <w:tcPr>
            <w:tcW w:w="1134" w:type="dxa"/>
            <w:vAlign w:val="center"/>
            <w:tcBorders>
              <w:top w:val="nil"/>
              <w:left w:val="nil"/>
              <w:bottom w:val="nil"/>
              <w:right w:val="nil"/>
            </w:tcBorders>
          </w:tcPr>
          <w:p>
            <w:pPr>
              <w:pStyle w:val="0"/>
              <w:jc w:val="center"/>
            </w:pPr>
            <w:r>
              <w:rPr>
                <w:sz w:val="20"/>
              </w:rPr>
              <w:t xml:space="preserve">12,84</w:t>
            </w:r>
          </w:p>
        </w:tc>
        <w:tc>
          <w:tcPr>
            <w:tcW w:w="794" w:type="dxa"/>
            <w:vAlign w:val="center"/>
            <w:tcBorders>
              <w:top w:val="nil"/>
              <w:left w:val="nil"/>
              <w:bottom w:val="nil"/>
              <w:right w:val="nil"/>
            </w:tcBorders>
          </w:tcPr>
          <w:p>
            <w:pPr>
              <w:pStyle w:val="0"/>
              <w:jc w:val="center"/>
            </w:pPr>
            <w:r>
              <w:rPr>
                <w:sz w:val="20"/>
              </w:rPr>
              <w:t xml:space="preserve">11,95</w:t>
            </w:r>
          </w:p>
        </w:tc>
        <w:tc>
          <w:tcPr>
            <w:tcW w:w="907" w:type="dxa"/>
            <w:vAlign w:val="center"/>
            <w:tcBorders>
              <w:top w:val="nil"/>
              <w:left w:val="nil"/>
              <w:bottom w:val="nil"/>
              <w:right w:val="nil"/>
            </w:tcBorders>
          </w:tcPr>
          <w:p>
            <w:pPr>
              <w:pStyle w:val="0"/>
              <w:jc w:val="center"/>
            </w:pPr>
            <w:r>
              <w:rPr>
                <w:sz w:val="20"/>
              </w:rPr>
              <w:t xml:space="preserve">1,51</w:t>
            </w:r>
          </w:p>
        </w:tc>
        <w:tc>
          <w:tcPr>
            <w:tcW w:w="964" w:type="dxa"/>
            <w:vAlign w:val="center"/>
            <w:tcBorders>
              <w:top w:val="nil"/>
              <w:left w:val="nil"/>
              <w:bottom w:val="nil"/>
              <w:right w:val="nil"/>
            </w:tcBorders>
          </w:tcPr>
          <w:p>
            <w:pPr>
              <w:pStyle w:val="0"/>
              <w:jc w:val="center"/>
            </w:pPr>
            <w:r>
              <w:rPr>
                <w:sz w:val="20"/>
              </w:rPr>
              <w:t xml:space="preserve">9,37</w:t>
            </w:r>
          </w:p>
        </w:tc>
        <w:tc>
          <w:tcPr>
            <w:tcW w:w="680" w:type="dxa"/>
            <w:vAlign w:val="center"/>
            <w:tcBorders>
              <w:top w:val="nil"/>
              <w:left w:val="nil"/>
              <w:bottom w:val="nil"/>
              <w:right w:val="nil"/>
            </w:tcBorders>
          </w:tcPr>
          <w:p>
            <w:pPr>
              <w:pStyle w:val="0"/>
              <w:jc w:val="center"/>
            </w:pPr>
            <w:r>
              <w:rPr>
                <w:sz w:val="20"/>
              </w:rPr>
              <w:t xml:space="preserve">3,12</w:t>
            </w:r>
          </w:p>
        </w:tc>
        <w:tc>
          <w:tcPr>
            <w:tcW w:w="1247" w:type="dxa"/>
            <w:vAlign w:val="center"/>
            <w:tcBorders>
              <w:top w:val="nil"/>
              <w:left w:val="nil"/>
              <w:bottom w:val="nil"/>
              <w:right w:val="nil"/>
            </w:tcBorders>
          </w:tcPr>
          <w:p>
            <w:pPr>
              <w:pStyle w:val="0"/>
              <w:jc w:val="center"/>
            </w:pPr>
            <w:r>
              <w:rPr>
                <w:sz w:val="20"/>
              </w:rPr>
              <w:t xml:space="preserve">1,53</w:t>
            </w:r>
          </w:p>
        </w:tc>
      </w:tr>
      <w:tr>
        <w:tc>
          <w:tcPr>
            <w:tcW w:w="1587" w:type="dxa"/>
            <w:tcBorders>
              <w:top w:val="nil"/>
              <w:left w:val="nil"/>
              <w:bottom w:val="nil"/>
              <w:right w:val="nil"/>
            </w:tcBorders>
          </w:tcPr>
          <w:p>
            <w:pPr>
              <w:pStyle w:val="0"/>
            </w:pPr>
            <w:r>
              <w:rPr>
                <w:sz w:val="20"/>
              </w:rPr>
              <w:t xml:space="preserve">Франция</w:t>
            </w:r>
          </w:p>
        </w:tc>
        <w:tc>
          <w:tcPr>
            <w:tcW w:w="850" w:type="dxa"/>
            <w:vAlign w:val="center"/>
            <w:tcBorders>
              <w:top w:val="nil"/>
              <w:left w:val="nil"/>
              <w:bottom w:val="nil"/>
              <w:right w:val="nil"/>
            </w:tcBorders>
          </w:tcPr>
          <w:p>
            <w:pPr>
              <w:pStyle w:val="0"/>
              <w:jc w:val="center"/>
            </w:pPr>
            <w:r>
              <w:rPr>
                <w:sz w:val="20"/>
              </w:rPr>
              <w:t xml:space="preserve">45,15</w:t>
            </w:r>
          </w:p>
        </w:tc>
        <w:tc>
          <w:tcPr>
            <w:tcW w:w="907" w:type="dxa"/>
            <w:vAlign w:val="center"/>
            <w:tcBorders>
              <w:top w:val="nil"/>
              <w:left w:val="nil"/>
              <w:bottom w:val="nil"/>
              <w:right w:val="nil"/>
            </w:tcBorders>
          </w:tcPr>
          <w:p>
            <w:pPr>
              <w:pStyle w:val="0"/>
              <w:jc w:val="center"/>
            </w:pPr>
            <w:r>
              <w:rPr>
                <w:sz w:val="20"/>
              </w:rPr>
              <w:t xml:space="preserve">2,53</w:t>
            </w:r>
          </w:p>
        </w:tc>
        <w:tc>
          <w:tcPr>
            <w:tcW w:w="1134" w:type="dxa"/>
            <w:vAlign w:val="center"/>
            <w:tcBorders>
              <w:top w:val="nil"/>
              <w:left w:val="nil"/>
              <w:bottom w:val="nil"/>
              <w:right w:val="nil"/>
            </w:tcBorders>
          </w:tcPr>
          <w:p>
            <w:pPr>
              <w:pStyle w:val="0"/>
              <w:jc w:val="center"/>
            </w:pPr>
            <w:r>
              <w:rPr>
                <w:sz w:val="20"/>
              </w:rPr>
              <w:t xml:space="preserve">11,31</w:t>
            </w:r>
          </w:p>
        </w:tc>
        <w:tc>
          <w:tcPr>
            <w:tcW w:w="794" w:type="dxa"/>
            <w:vAlign w:val="center"/>
            <w:tcBorders>
              <w:top w:val="nil"/>
              <w:left w:val="nil"/>
              <w:bottom w:val="nil"/>
              <w:right w:val="nil"/>
            </w:tcBorders>
          </w:tcPr>
          <w:p>
            <w:pPr>
              <w:pStyle w:val="0"/>
              <w:jc w:val="center"/>
            </w:pPr>
            <w:r>
              <w:rPr>
                <w:sz w:val="20"/>
              </w:rPr>
              <w:t xml:space="preserve">14,80</w:t>
            </w:r>
          </w:p>
        </w:tc>
        <w:tc>
          <w:tcPr>
            <w:tcW w:w="907" w:type="dxa"/>
            <w:vAlign w:val="center"/>
            <w:tcBorders>
              <w:top w:val="nil"/>
              <w:left w:val="nil"/>
              <w:bottom w:val="nil"/>
              <w:right w:val="nil"/>
            </w:tcBorders>
          </w:tcPr>
          <w:p>
            <w:pPr>
              <w:pStyle w:val="0"/>
              <w:jc w:val="center"/>
            </w:pPr>
            <w:r>
              <w:rPr>
                <w:sz w:val="20"/>
              </w:rPr>
              <w:t xml:space="preserve">3,82</w:t>
            </w:r>
          </w:p>
        </w:tc>
        <w:tc>
          <w:tcPr>
            <w:tcW w:w="964" w:type="dxa"/>
            <w:vAlign w:val="center"/>
            <w:tcBorders>
              <w:top w:val="nil"/>
              <w:left w:val="nil"/>
              <w:bottom w:val="nil"/>
              <w:right w:val="nil"/>
            </w:tcBorders>
          </w:tcPr>
          <w:p>
            <w:pPr>
              <w:pStyle w:val="0"/>
              <w:jc w:val="center"/>
            </w:pPr>
            <w:r>
              <w:rPr>
                <w:sz w:val="20"/>
              </w:rPr>
              <w:t xml:space="preserve">7,40</w:t>
            </w:r>
          </w:p>
        </w:tc>
        <w:tc>
          <w:tcPr>
            <w:tcW w:w="680" w:type="dxa"/>
            <w:vAlign w:val="center"/>
            <w:tcBorders>
              <w:top w:val="nil"/>
              <w:left w:val="nil"/>
              <w:bottom w:val="nil"/>
              <w:right w:val="nil"/>
            </w:tcBorders>
          </w:tcPr>
          <w:p>
            <w:pPr>
              <w:pStyle w:val="0"/>
              <w:jc w:val="center"/>
            </w:pPr>
            <w:r>
              <w:rPr>
                <w:sz w:val="20"/>
              </w:rPr>
              <w:t xml:space="preserve">2,60</w:t>
            </w:r>
          </w:p>
        </w:tc>
        <w:tc>
          <w:tcPr>
            <w:tcW w:w="1247" w:type="dxa"/>
            <w:vAlign w:val="center"/>
            <w:tcBorders>
              <w:top w:val="nil"/>
              <w:left w:val="nil"/>
              <w:bottom w:val="nil"/>
              <w:right w:val="nil"/>
            </w:tcBorders>
          </w:tcPr>
          <w:p>
            <w:pPr>
              <w:pStyle w:val="0"/>
              <w:jc w:val="center"/>
            </w:pPr>
            <w:r>
              <w:rPr>
                <w:sz w:val="20"/>
              </w:rPr>
              <w:t xml:space="preserve">2,67</w:t>
            </w:r>
          </w:p>
        </w:tc>
      </w:tr>
      <w:tr>
        <w:tc>
          <w:tcPr>
            <w:tcW w:w="1587" w:type="dxa"/>
            <w:tcBorders>
              <w:top w:val="nil"/>
              <w:left w:val="nil"/>
              <w:bottom w:val="nil"/>
              <w:right w:val="nil"/>
            </w:tcBorders>
          </w:tcPr>
          <w:p>
            <w:pPr>
              <w:pStyle w:val="0"/>
            </w:pPr>
            <w:r>
              <w:rPr>
                <w:sz w:val="20"/>
              </w:rPr>
              <w:t xml:space="preserve">Южная Корея</w:t>
            </w:r>
          </w:p>
        </w:tc>
        <w:tc>
          <w:tcPr>
            <w:tcW w:w="850" w:type="dxa"/>
            <w:vAlign w:val="center"/>
            <w:tcBorders>
              <w:top w:val="nil"/>
              <w:left w:val="nil"/>
              <w:bottom w:val="nil"/>
              <w:right w:val="nil"/>
            </w:tcBorders>
          </w:tcPr>
          <w:p>
            <w:pPr>
              <w:pStyle w:val="0"/>
              <w:jc w:val="center"/>
            </w:pPr>
            <w:r>
              <w:rPr>
                <w:sz w:val="20"/>
              </w:rPr>
              <w:t xml:space="preserve">29,88</w:t>
            </w:r>
          </w:p>
        </w:tc>
        <w:tc>
          <w:tcPr>
            <w:tcW w:w="907" w:type="dxa"/>
            <w:vAlign w:val="center"/>
            <w:tcBorders>
              <w:top w:val="nil"/>
              <w:left w:val="nil"/>
              <w:bottom w:val="nil"/>
              <w:right w:val="nil"/>
            </w:tcBorders>
          </w:tcPr>
          <w:p>
            <w:pPr>
              <w:pStyle w:val="0"/>
              <w:jc w:val="center"/>
            </w:pPr>
            <w:r>
              <w:rPr>
                <w:sz w:val="20"/>
              </w:rPr>
              <w:t xml:space="preserve">3,83</w:t>
            </w:r>
          </w:p>
        </w:tc>
        <w:tc>
          <w:tcPr>
            <w:tcW w:w="1134" w:type="dxa"/>
            <w:vAlign w:val="center"/>
            <w:tcBorders>
              <w:top w:val="nil"/>
              <w:left w:val="nil"/>
              <w:bottom w:val="nil"/>
              <w:right w:val="nil"/>
            </w:tcBorders>
          </w:tcPr>
          <w:p>
            <w:pPr>
              <w:pStyle w:val="0"/>
              <w:jc w:val="center"/>
            </w:pPr>
            <w:r>
              <w:rPr>
                <w:sz w:val="20"/>
              </w:rPr>
              <w:t xml:space="preserve">6,18</w:t>
            </w:r>
          </w:p>
        </w:tc>
        <w:tc>
          <w:tcPr>
            <w:tcW w:w="794" w:type="dxa"/>
            <w:vAlign w:val="center"/>
            <w:tcBorders>
              <w:top w:val="nil"/>
              <w:left w:val="nil"/>
              <w:bottom w:val="nil"/>
              <w:right w:val="nil"/>
            </w:tcBorders>
          </w:tcPr>
          <w:p>
            <w:pPr>
              <w:pStyle w:val="0"/>
              <w:jc w:val="center"/>
            </w:pPr>
            <w:r>
              <w:rPr>
                <w:sz w:val="20"/>
              </w:rPr>
              <w:t xml:space="preserve">7,83</w:t>
            </w:r>
          </w:p>
        </w:tc>
        <w:tc>
          <w:tcPr>
            <w:tcW w:w="907" w:type="dxa"/>
            <w:vAlign w:val="center"/>
            <w:tcBorders>
              <w:top w:val="nil"/>
              <w:left w:val="nil"/>
              <w:bottom w:val="nil"/>
              <w:right w:val="nil"/>
            </w:tcBorders>
          </w:tcPr>
          <w:p>
            <w:pPr>
              <w:pStyle w:val="0"/>
              <w:jc w:val="center"/>
            </w:pPr>
            <w:r>
              <w:rPr>
                <w:sz w:val="20"/>
              </w:rPr>
              <w:t xml:space="preserve">4,50</w:t>
            </w:r>
          </w:p>
        </w:tc>
        <w:tc>
          <w:tcPr>
            <w:tcW w:w="964" w:type="dxa"/>
            <w:vAlign w:val="center"/>
            <w:tcBorders>
              <w:top w:val="nil"/>
              <w:left w:val="nil"/>
              <w:bottom w:val="nil"/>
              <w:right w:val="nil"/>
            </w:tcBorders>
          </w:tcPr>
          <w:p>
            <w:pPr>
              <w:pStyle w:val="0"/>
              <w:jc w:val="center"/>
            </w:pPr>
            <w:r>
              <w:rPr>
                <w:sz w:val="20"/>
              </w:rPr>
              <w:t xml:space="preserve">4,30</w:t>
            </w:r>
          </w:p>
        </w:tc>
        <w:tc>
          <w:tcPr>
            <w:tcW w:w="680" w:type="dxa"/>
            <w:vAlign w:val="center"/>
            <w:tcBorders>
              <w:top w:val="nil"/>
              <w:left w:val="nil"/>
              <w:bottom w:val="nil"/>
              <w:right w:val="nil"/>
            </w:tcBorders>
          </w:tcPr>
          <w:p>
            <w:pPr>
              <w:pStyle w:val="0"/>
              <w:jc w:val="center"/>
            </w:pPr>
            <w:r>
              <w:rPr>
                <w:sz w:val="20"/>
              </w:rPr>
              <w:t xml:space="preserve">1,73</w:t>
            </w:r>
          </w:p>
        </w:tc>
        <w:tc>
          <w:tcPr>
            <w:tcW w:w="1247" w:type="dxa"/>
            <w:vAlign w:val="center"/>
            <w:tcBorders>
              <w:top w:val="nil"/>
              <w:left w:val="nil"/>
              <w:bottom w:val="nil"/>
              <w:right w:val="nil"/>
            </w:tcBorders>
          </w:tcPr>
          <w:p>
            <w:pPr>
              <w:pStyle w:val="0"/>
              <w:jc w:val="center"/>
            </w:pPr>
            <w:r>
              <w:rPr>
                <w:sz w:val="20"/>
              </w:rPr>
              <w:t xml:space="preserve">1,52</w:t>
            </w:r>
          </w:p>
        </w:tc>
      </w:tr>
      <w:tr>
        <w:tc>
          <w:tcPr>
            <w:tcW w:w="1587" w:type="dxa"/>
            <w:tcBorders>
              <w:top w:val="nil"/>
              <w:left w:val="nil"/>
              <w:bottom w:val="nil"/>
              <w:right w:val="nil"/>
            </w:tcBorders>
          </w:tcPr>
          <w:p>
            <w:pPr>
              <w:pStyle w:val="0"/>
            </w:pPr>
            <w:r>
              <w:rPr>
                <w:sz w:val="20"/>
              </w:rPr>
              <w:t xml:space="preserve">Россия</w:t>
            </w:r>
          </w:p>
        </w:tc>
        <w:tc>
          <w:tcPr>
            <w:tcW w:w="850" w:type="dxa"/>
            <w:vAlign w:val="center"/>
            <w:tcBorders>
              <w:top w:val="nil"/>
              <w:left w:val="nil"/>
              <w:bottom w:val="nil"/>
              <w:right w:val="nil"/>
            </w:tcBorders>
          </w:tcPr>
          <w:p>
            <w:pPr>
              <w:pStyle w:val="0"/>
              <w:jc w:val="center"/>
            </w:pPr>
            <w:r>
              <w:rPr>
                <w:sz w:val="20"/>
              </w:rPr>
              <w:t xml:space="preserve">32,01</w:t>
            </w:r>
          </w:p>
        </w:tc>
        <w:tc>
          <w:tcPr>
            <w:tcW w:w="907" w:type="dxa"/>
            <w:vAlign w:val="center"/>
            <w:tcBorders>
              <w:top w:val="nil"/>
              <w:left w:val="nil"/>
              <w:bottom w:val="nil"/>
              <w:right w:val="nil"/>
            </w:tcBorders>
          </w:tcPr>
          <w:p>
            <w:pPr>
              <w:pStyle w:val="0"/>
              <w:jc w:val="center"/>
            </w:pPr>
            <w:r>
              <w:rPr>
                <w:sz w:val="20"/>
              </w:rPr>
              <w:t xml:space="preserve">4,50</w:t>
            </w:r>
          </w:p>
        </w:tc>
        <w:tc>
          <w:tcPr>
            <w:tcW w:w="1134" w:type="dxa"/>
            <w:vAlign w:val="center"/>
            <w:tcBorders>
              <w:top w:val="nil"/>
              <w:left w:val="nil"/>
              <w:bottom w:val="nil"/>
              <w:right w:val="nil"/>
            </w:tcBorders>
          </w:tcPr>
          <w:p>
            <w:pPr>
              <w:pStyle w:val="0"/>
              <w:jc w:val="center"/>
            </w:pPr>
            <w:r>
              <w:rPr>
                <w:sz w:val="20"/>
              </w:rPr>
              <w:t xml:space="preserve">3,61</w:t>
            </w:r>
          </w:p>
        </w:tc>
        <w:tc>
          <w:tcPr>
            <w:tcW w:w="794" w:type="dxa"/>
            <w:vAlign w:val="center"/>
            <w:tcBorders>
              <w:top w:val="nil"/>
              <w:left w:val="nil"/>
              <w:bottom w:val="nil"/>
              <w:right w:val="nil"/>
            </w:tcBorders>
          </w:tcPr>
          <w:p>
            <w:pPr>
              <w:pStyle w:val="0"/>
              <w:jc w:val="center"/>
            </w:pPr>
            <w:r>
              <w:rPr>
                <w:sz w:val="20"/>
              </w:rPr>
              <w:t xml:space="preserve">6,09</w:t>
            </w:r>
          </w:p>
        </w:tc>
        <w:tc>
          <w:tcPr>
            <w:tcW w:w="907" w:type="dxa"/>
            <w:vAlign w:val="center"/>
            <w:tcBorders>
              <w:top w:val="nil"/>
              <w:left w:val="nil"/>
              <w:bottom w:val="nil"/>
              <w:right w:val="nil"/>
            </w:tcBorders>
          </w:tcPr>
          <w:p>
            <w:pPr>
              <w:pStyle w:val="0"/>
              <w:jc w:val="center"/>
            </w:pPr>
            <w:r>
              <w:rPr>
                <w:sz w:val="20"/>
              </w:rPr>
              <w:t xml:space="preserve">1,07</w:t>
            </w:r>
          </w:p>
        </w:tc>
        <w:tc>
          <w:tcPr>
            <w:tcW w:w="964" w:type="dxa"/>
            <w:vAlign w:val="center"/>
            <w:tcBorders>
              <w:top w:val="nil"/>
              <w:left w:val="nil"/>
              <w:bottom w:val="nil"/>
              <w:right w:val="nil"/>
            </w:tcBorders>
          </w:tcPr>
          <w:p>
            <w:pPr>
              <w:pStyle w:val="0"/>
              <w:jc w:val="center"/>
            </w:pPr>
            <w:r>
              <w:rPr>
                <w:sz w:val="20"/>
              </w:rPr>
              <w:t xml:space="preserve">6,81</w:t>
            </w:r>
          </w:p>
        </w:tc>
        <w:tc>
          <w:tcPr>
            <w:tcW w:w="680" w:type="dxa"/>
            <w:vAlign w:val="center"/>
            <w:tcBorders>
              <w:top w:val="nil"/>
              <w:left w:val="nil"/>
              <w:bottom w:val="nil"/>
              <w:right w:val="nil"/>
            </w:tcBorders>
          </w:tcPr>
          <w:p>
            <w:pPr>
              <w:pStyle w:val="0"/>
              <w:jc w:val="center"/>
            </w:pPr>
            <w:r>
              <w:rPr>
                <w:sz w:val="20"/>
              </w:rPr>
              <w:t xml:space="preserve">0,60</w:t>
            </w:r>
          </w:p>
        </w:tc>
        <w:tc>
          <w:tcPr>
            <w:tcW w:w="1247" w:type="dxa"/>
            <w:vAlign w:val="center"/>
            <w:tcBorders>
              <w:top w:val="nil"/>
              <w:left w:val="nil"/>
              <w:bottom w:val="nil"/>
              <w:right w:val="nil"/>
            </w:tcBorders>
          </w:tcPr>
          <w:p>
            <w:pPr>
              <w:pStyle w:val="0"/>
              <w:jc w:val="center"/>
            </w:pPr>
            <w:r>
              <w:rPr>
                <w:sz w:val="20"/>
              </w:rPr>
              <w:t xml:space="preserve">9,35</w:t>
            </w:r>
          </w:p>
        </w:tc>
      </w:tr>
      <w:tr>
        <w:tc>
          <w:tcPr>
            <w:tcW w:w="1587" w:type="dxa"/>
            <w:tcBorders>
              <w:top w:val="nil"/>
              <w:left w:val="nil"/>
              <w:bottom w:val="single" w:sz="4"/>
              <w:right w:val="nil"/>
            </w:tcBorders>
          </w:tcPr>
          <w:p>
            <w:pPr>
              <w:pStyle w:val="0"/>
            </w:pPr>
            <w:r>
              <w:rPr>
                <w:sz w:val="20"/>
              </w:rPr>
              <w:t xml:space="preserve">Россия (без учета нефтегазовых доходов)</w:t>
            </w:r>
          </w:p>
        </w:tc>
        <w:tc>
          <w:tcPr>
            <w:tcW w:w="850" w:type="dxa"/>
            <w:vAlign w:val="center"/>
            <w:tcBorders>
              <w:top w:val="nil"/>
              <w:left w:val="nil"/>
              <w:bottom w:val="single" w:sz="4"/>
              <w:right w:val="nil"/>
            </w:tcBorders>
          </w:tcPr>
          <w:p>
            <w:pPr>
              <w:pStyle w:val="0"/>
              <w:jc w:val="center"/>
            </w:pPr>
            <w:r>
              <w:rPr>
                <w:sz w:val="20"/>
              </w:rPr>
              <w:t xml:space="preserve">23,77</w:t>
            </w:r>
          </w:p>
        </w:tc>
        <w:tc>
          <w:tcPr>
            <w:tcW w:w="907" w:type="dxa"/>
            <w:vAlign w:val="center"/>
            <w:tcBorders>
              <w:top w:val="nil"/>
              <w:left w:val="nil"/>
              <w:bottom w:val="single" w:sz="4"/>
              <w:right w:val="nil"/>
            </w:tcBorders>
          </w:tcPr>
          <w:p>
            <w:pPr>
              <w:pStyle w:val="0"/>
              <w:jc w:val="center"/>
            </w:pPr>
            <w:r>
              <w:rPr>
                <w:sz w:val="20"/>
              </w:rPr>
              <w:t xml:space="preserve">4,50</w:t>
            </w:r>
          </w:p>
        </w:tc>
        <w:tc>
          <w:tcPr>
            <w:tcW w:w="1134" w:type="dxa"/>
            <w:vAlign w:val="center"/>
            <w:tcBorders>
              <w:top w:val="nil"/>
              <w:left w:val="nil"/>
              <w:bottom w:val="single" w:sz="4"/>
              <w:right w:val="nil"/>
            </w:tcBorders>
          </w:tcPr>
          <w:p>
            <w:pPr>
              <w:pStyle w:val="0"/>
              <w:jc w:val="center"/>
            </w:pPr>
            <w:r>
              <w:rPr>
                <w:sz w:val="20"/>
              </w:rPr>
              <w:t xml:space="preserve">3,61</w:t>
            </w:r>
          </w:p>
        </w:tc>
        <w:tc>
          <w:tcPr>
            <w:tcW w:w="794" w:type="dxa"/>
            <w:vAlign w:val="center"/>
            <w:tcBorders>
              <w:top w:val="nil"/>
              <w:left w:val="nil"/>
              <w:bottom w:val="single" w:sz="4"/>
              <w:right w:val="nil"/>
            </w:tcBorders>
          </w:tcPr>
          <w:p>
            <w:pPr>
              <w:pStyle w:val="0"/>
              <w:jc w:val="center"/>
            </w:pPr>
            <w:r>
              <w:rPr>
                <w:sz w:val="20"/>
              </w:rPr>
              <w:t xml:space="preserve">6,09</w:t>
            </w:r>
          </w:p>
        </w:tc>
        <w:tc>
          <w:tcPr>
            <w:tcW w:w="907" w:type="dxa"/>
            <w:vAlign w:val="center"/>
            <w:tcBorders>
              <w:top w:val="nil"/>
              <w:left w:val="nil"/>
              <w:bottom w:val="single" w:sz="4"/>
              <w:right w:val="nil"/>
            </w:tcBorders>
          </w:tcPr>
          <w:p>
            <w:pPr>
              <w:pStyle w:val="0"/>
              <w:jc w:val="center"/>
            </w:pPr>
            <w:r>
              <w:rPr>
                <w:sz w:val="20"/>
              </w:rPr>
              <w:t xml:space="preserve">1,07</w:t>
            </w:r>
          </w:p>
        </w:tc>
        <w:tc>
          <w:tcPr>
            <w:tcW w:w="964" w:type="dxa"/>
            <w:vAlign w:val="center"/>
            <w:tcBorders>
              <w:top w:val="nil"/>
              <w:left w:val="nil"/>
              <w:bottom w:val="single" w:sz="4"/>
              <w:right w:val="nil"/>
            </w:tcBorders>
          </w:tcPr>
          <w:p>
            <w:pPr>
              <w:pStyle w:val="0"/>
              <w:jc w:val="center"/>
            </w:pPr>
            <w:r>
              <w:rPr>
                <w:sz w:val="20"/>
              </w:rPr>
              <w:t xml:space="preserve">6,81</w:t>
            </w:r>
          </w:p>
        </w:tc>
        <w:tc>
          <w:tcPr>
            <w:tcW w:w="680" w:type="dxa"/>
            <w:vAlign w:val="center"/>
            <w:tcBorders>
              <w:top w:val="nil"/>
              <w:left w:val="nil"/>
              <w:bottom w:val="single" w:sz="4"/>
              <w:right w:val="nil"/>
            </w:tcBorders>
          </w:tcPr>
          <w:p>
            <w:pPr>
              <w:pStyle w:val="0"/>
              <w:jc w:val="center"/>
            </w:pPr>
            <w:r>
              <w:rPr>
                <w:sz w:val="20"/>
              </w:rPr>
              <w:t xml:space="preserve">0,60</w:t>
            </w:r>
          </w:p>
        </w:tc>
        <w:tc>
          <w:tcPr>
            <w:tcW w:w="1247" w:type="dxa"/>
            <w:vAlign w:val="center"/>
            <w:tcBorders>
              <w:top w:val="nil"/>
              <w:left w:val="nil"/>
              <w:bottom w:val="single" w:sz="4"/>
              <w:right w:val="nil"/>
            </w:tcBorders>
          </w:tcPr>
          <w:p>
            <w:pPr>
              <w:pStyle w:val="0"/>
              <w:jc w:val="center"/>
            </w:pPr>
            <w:r>
              <w:rPr>
                <w:sz w:val="20"/>
              </w:rPr>
              <w:t xml:space="preserve">1,11</w:t>
            </w:r>
          </w:p>
        </w:tc>
      </w:tr>
    </w:tbl>
    <w:p>
      <w:pPr>
        <w:pStyle w:val="0"/>
        <w:jc w:val="both"/>
      </w:pPr>
      <w:r>
        <w:rPr>
          <w:sz w:val="20"/>
        </w:rPr>
      </w:r>
    </w:p>
    <w:p>
      <w:pPr>
        <w:pStyle w:val="0"/>
        <w:ind w:firstLine="540"/>
        <w:jc w:val="both"/>
      </w:pPr>
      <w:r>
        <w:rPr>
          <w:sz w:val="20"/>
        </w:rPr>
        <w:t xml:space="preserve">--------------------------------</w:t>
      </w:r>
    </w:p>
    <w:bookmarkStart w:id="3780" w:name="P3780"/>
    <w:bookmarkEnd w:id="3780"/>
    <w:p>
      <w:pPr>
        <w:pStyle w:val="0"/>
        <w:spacing w:before="200" w:line-rule="auto"/>
        <w:ind w:firstLine="540"/>
        <w:jc w:val="both"/>
      </w:pPr>
      <w:r>
        <w:rPr>
          <w:sz w:val="20"/>
        </w:rPr>
        <w:t xml:space="preserve">&lt;*&gt; - таможенные платежи, налоги на экспорт, налоги на инвестиционные товары, налоги за использование природных ресурсов (НДПИ) и т.д.</w:t>
      </w:r>
    </w:p>
    <w:p>
      <w:pPr>
        <w:pStyle w:val="0"/>
        <w:jc w:val="both"/>
      </w:pPr>
      <w:r>
        <w:rPr>
          <w:sz w:val="20"/>
        </w:rPr>
      </w:r>
    </w:p>
    <w:p>
      <w:pPr>
        <w:pStyle w:val="0"/>
        <w:ind w:firstLine="540"/>
        <w:jc w:val="both"/>
      </w:pPr>
      <w:r>
        <w:rPr>
          <w:sz w:val="20"/>
        </w:rPr>
        <w:t xml:space="preserve">Источники данных: данные по ОЭСР - Revenue Statistics 1965 - 2023.</w:t>
      </w:r>
    </w:p>
    <w:p>
      <w:pPr>
        <w:pStyle w:val="0"/>
        <w:jc w:val="both"/>
      </w:pPr>
      <w:r>
        <w:rPr>
          <w:sz w:val="20"/>
        </w:rPr>
      </w:r>
    </w:p>
    <w:p>
      <w:pPr>
        <w:pStyle w:val="0"/>
        <w:ind w:firstLine="540"/>
        <w:jc w:val="both"/>
      </w:pPr>
      <w:r>
        <w:rPr>
          <w:sz w:val="20"/>
        </w:rPr>
        <w:t xml:space="preserve">Таблица 6. Налоговая нагрузка на экономику в странах Евразийского экономического союза в 2016 - 2022 гг.</w:t>
      </w:r>
    </w:p>
    <w:p>
      <w:pPr>
        <w:pStyle w:val="0"/>
        <w:jc w:val="both"/>
      </w:pPr>
      <w:r>
        <w:rPr>
          <w:sz w:val="20"/>
        </w:rPr>
      </w:r>
    </w:p>
    <w:p>
      <w:pPr>
        <w:pStyle w:val="0"/>
        <w:jc w:val="right"/>
      </w:pPr>
      <w:r>
        <w:rPr>
          <w:sz w:val="20"/>
        </w:rPr>
        <w:t xml:space="preserve">% налоговых доходов к ВВП</w:t>
      </w:r>
    </w:p>
    <w:p>
      <w:pPr>
        <w:spacing w:before="0"/>
        <w:spacing w:after="1"/>
      </w:pPr>
    </w:p>
    <w:tbl>
      <w:tblPr>
        <w:tblInd w:w="0" w:type="dxa"/>
        <w:tblLayout w:type="fixed"/>
        <w:tblBorders>
          <w:top w:val="single" w:sz="4"/>
          <w:bottom w:val="single" w:sz="4"/>
        </w:tblBorders>
        <w:tblCellMar>
          <w:top w:w="102" w:type="dxa"/>
          <w:left w:w="62" w:type="dxa"/>
          <w:bottom w:w="102" w:type="dxa"/>
          <w:right w:w="62" w:type="dxa"/>
        </w:tblCellMar>
      </w:tblPr>
      <w:tblGrid>
        <w:gridCol w:w="4082"/>
        <w:gridCol w:w="737"/>
        <w:gridCol w:w="680"/>
        <w:gridCol w:w="737"/>
        <w:gridCol w:w="737"/>
        <w:gridCol w:w="737"/>
        <w:gridCol w:w="680"/>
        <w:gridCol w:w="680"/>
      </w:tblGrid>
      <w:tr>
        <w:tblPrEx>
          <w:tblBorders>
            <w:insideH w:val="single" w:sz="4"/>
          </w:tblBorders>
        </w:tblPrEx>
        <w:tc>
          <w:tcPr>
            <w:tcW w:w="4082" w:type="dxa"/>
            <w:tcBorders>
              <w:top w:val="single" w:sz="4"/>
              <w:left w:val="nil"/>
              <w:bottom w:val="single" w:sz="4"/>
              <w:right w:val="nil"/>
            </w:tcBorders>
          </w:tcPr>
          <w:p>
            <w:pPr>
              <w:pStyle w:val="0"/>
              <w:jc w:val="center"/>
            </w:pPr>
            <w:r>
              <w:rPr>
                <w:sz w:val="20"/>
              </w:rPr>
              <w:t xml:space="preserve">Страна</w:t>
            </w:r>
          </w:p>
        </w:tc>
        <w:tc>
          <w:tcPr>
            <w:tcW w:w="737" w:type="dxa"/>
            <w:tcBorders>
              <w:top w:val="single" w:sz="4"/>
              <w:left w:val="nil"/>
              <w:bottom w:val="single" w:sz="4"/>
              <w:right w:val="nil"/>
            </w:tcBorders>
          </w:tcPr>
          <w:p>
            <w:pPr>
              <w:pStyle w:val="0"/>
              <w:jc w:val="center"/>
            </w:pPr>
            <w:r>
              <w:rPr>
                <w:sz w:val="20"/>
              </w:rPr>
              <w:t xml:space="preserve">2016</w:t>
            </w:r>
          </w:p>
        </w:tc>
        <w:tc>
          <w:tcPr>
            <w:tcW w:w="680" w:type="dxa"/>
            <w:tcBorders>
              <w:top w:val="single" w:sz="4"/>
              <w:left w:val="nil"/>
              <w:bottom w:val="single" w:sz="4"/>
              <w:right w:val="nil"/>
            </w:tcBorders>
          </w:tcPr>
          <w:p>
            <w:pPr>
              <w:pStyle w:val="0"/>
              <w:jc w:val="center"/>
            </w:pPr>
            <w:r>
              <w:rPr>
                <w:sz w:val="20"/>
              </w:rPr>
              <w:t xml:space="preserve">2017</w:t>
            </w:r>
          </w:p>
        </w:tc>
        <w:tc>
          <w:tcPr>
            <w:tcW w:w="737" w:type="dxa"/>
            <w:tcBorders>
              <w:top w:val="single" w:sz="4"/>
              <w:left w:val="nil"/>
              <w:bottom w:val="single" w:sz="4"/>
              <w:right w:val="nil"/>
            </w:tcBorders>
          </w:tcPr>
          <w:p>
            <w:pPr>
              <w:pStyle w:val="0"/>
              <w:jc w:val="center"/>
            </w:pPr>
            <w:r>
              <w:rPr>
                <w:sz w:val="20"/>
              </w:rPr>
              <w:t xml:space="preserve">2018</w:t>
            </w:r>
          </w:p>
        </w:tc>
        <w:tc>
          <w:tcPr>
            <w:tcW w:w="737" w:type="dxa"/>
            <w:tcBorders>
              <w:top w:val="single" w:sz="4"/>
              <w:left w:val="nil"/>
              <w:bottom w:val="single" w:sz="4"/>
              <w:right w:val="nil"/>
            </w:tcBorders>
          </w:tcPr>
          <w:p>
            <w:pPr>
              <w:pStyle w:val="0"/>
              <w:jc w:val="center"/>
            </w:pPr>
            <w:r>
              <w:rPr>
                <w:sz w:val="20"/>
              </w:rPr>
              <w:t xml:space="preserve">2019</w:t>
            </w:r>
          </w:p>
        </w:tc>
        <w:tc>
          <w:tcPr>
            <w:tcW w:w="737" w:type="dxa"/>
            <w:tcBorders>
              <w:top w:val="single" w:sz="4"/>
              <w:left w:val="nil"/>
              <w:bottom w:val="single" w:sz="4"/>
              <w:right w:val="nil"/>
            </w:tcBorders>
          </w:tcPr>
          <w:p>
            <w:pPr>
              <w:pStyle w:val="0"/>
              <w:jc w:val="center"/>
            </w:pPr>
            <w:r>
              <w:rPr>
                <w:sz w:val="20"/>
              </w:rPr>
              <w:t xml:space="preserve">2020</w:t>
            </w:r>
          </w:p>
        </w:tc>
        <w:tc>
          <w:tcPr>
            <w:tcW w:w="680" w:type="dxa"/>
            <w:tcBorders>
              <w:top w:val="single" w:sz="4"/>
              <w:left w:val="nil"/>
              <w:bottom w:val="single" w:sz="4"/>
              <w:right w:val="nil"/>
            </w:tcBorders>
          </w:tcPr>
          <w:p>
            <w:pPr>
              <w:pStyle w:val="0"/>
              <w:jc w:val="center"/>
            </w:pPr>
            <w:r>
              <w:rPr>
                <w:sz w:val="20"/>
              </w:rPr>
              <w:t xml:space="preserve">2021</w:t>
            </w:r>
          </w:p>
        </w:tc>
        <w:tc>
          <w:tcPr>
            <w:tcW w:w="680" w:type="dxa"/>
            <w:tcBorders>
              <w:top w:val="single" w:sz="4"/>
              <w:left w:val="nil"/>
              <w:bottom w:val="single" w:sz="4"/>
              <w:right w:val="nil"/>
            </w:tcBorders>
          </w:tcPr>
          <w:p>
            <w:pPr>
              <w:pStyle w:val="0"/>
              <w:jc w:val="center"/>
            </w:pPr>
            <w:r>
              <w:rPr>
                <w:sz w:val="20"/>
              </w:rPr>
              <w:t xml:space="preserve">2022</w:t>
            </w:r>
          </w:p>
        </w:tc>
      </w:tr>
      <w:tr>
        <w:tc>
          <w:tcPr>
            <w:tcW w:w="4082" w:type="dxa"/>
            <w:tcBorders>
              <w:top w:val="single" w:sz="4"/>
              <w:left w:val="nil"/>
              <w:bottom w:val="nil"/>
              <w:right w:val="nil"/>
            </w:tcBorders>
          </w:tcPr>
          <w:p>
            <w:pPr>
              <w:pStyle w:val="0"/>
            </w:pPr>
            <w:r>
              <w:rPr>
                <w:sz w:val="20"/>
              </w:rPr>
              <w:t xml:space="preserve">Россия</w:t>
            </w:r>
          </w:p>
        </w:tc>
        <w:tc>
          <w:tcPr>
            <w:tcW w:w="737" w:type="dxa"/>
            <w:vAlign w:val="center"/>
            <w:tcBorders>
              <w:top w:val="single" w:sz="4"/>
              <w:left w:val="nil"/>
              <w:bottom w:val="nil"/>
              <w:right w:val="nil"/>
            </w:tcBorders>
          </w:tcPr>
          <w:p>
            <w:pPr>
              <w:pStyle w:val="0"/>
              <w:jc w:val="center"/>
            </w:pPr>
            <w:r>
              <w:rPr>
                <w:sz w:val="20"/>
              </w:rPr>
              <w:t xml:space="preserve">32,9</w:t>
            </w:r>
          </w:p>
        </w:tc>
        <w:tc>
          <w:tcPr>
            <w:tcW w:w="680" w:type="dxa"/>
            <w:vAlign w:val="center"/>
            <w:tcBorders>
              <w:top w:val="single" w:sz="4"/>
              <w:left w:val="nil"/>
              <w:bottom w:val="nil"/>
              <w:right w:val="nil"/>
            </w:tcBorders>
          </w:tcPr>
          <w:p>
            <w:pPr>
              <w:pStyle w:val="0"/>
              <w:jc w:val="center"/>
            </w:pPr>
            <w:r>
              <w:rPr>
                <w:sz w:val="20"/>
              </w:rPr>
              <w:t xml:space="preserve">33,4</w:t>
            </w:r>
          </w:p>
        </w:tc>
        <w:tc>
          <w:tcPr>
            <w:tcW w:w="737" w:type="dxa"/>
            <w:vAlign w:val="center"/>
            <w:tcBorders>
              <w:top w:val="single" w:sz="4"/>
              <w:left w:val="nil"/>
              <w:bottom w:val="nil"/>
              <w:right w:val="nil"/>
            </w:tcBorders>
          </w:tcPr>
          <w:p>
            <w:pPr>
              <w:pStyle w:val="0"/>
              <w:jc w:val="center"/>
            </w:pPr>
            <w:r>
              <w:rPr>
                <w:sz w:val="20"/>
              </w:rPr>
              <w:t xml:space="preserve">35,5</w:t>
            </w:r>
          </w:p>
        </w:tc>
        <w:tc>
          <w:tcPr>
            <w:tcW w:w="737" w:type="dxa"/>
            <w:vAlign w:val="center"/>
            <w:tcBorders>
              <w:top w:val="single" w:sz="4"/>
              <w:left w:val="nil"/>
              <w:bottom w:val="nil"/>
              <w:right w:val="nil"/>
            </w:tcBorders>
          </w:tcPr>
          <w:p>
            <w:pPr>
              <w:pStyle w:val="0"/>
              <w:jc w:val="center"/>
            </w:pPr>
            <w:r>
              <w:rPr>
                <w:sz w:val="20"/>
              </w:rPr>
              <w:t xml:space="preserve">35,7</w:t>
            </w:r>
          </w:p>
        </w:tc>
        <w:tc>
          <w:tcPr>
            <w:tcW w:w="737" w:type="dxa"/>
            <w:vAlign w:val="center"/>
            <w:tcBorders>
              <w:top w:val="single" w:sz="4"/>
              <w:left w:val="nil"/>
              <w:bottom w:val="nil"/>
              <w:right w:val="nil"/>
            </w:tcBorders>
          </w:tcPr>
          <w:p>
            <w:pPr>
              <w:pStyle w:val="0"/>
              <w:jc w:val="center"/>
            </w:pPr>
            <w:r>
              <w:rPr>
                <w:sz w:val="20"/>
              </w:rPr>
              <w:t xml:space="preserve">35,2</w:t>
            </w:r>
          </w:p>
        </w:tc>
        <w:tc>
          <w:tcPr>
            <w:tcW w:w="680" w:type="dxa"/>
            <w:vAlign w:val="center"/>
            <w:tcBorders>
              <w:top w:val="single" w:sz="4"/>
              <w:left w:val="nil"/>
              <w:bottom w:val="nil"/>
              <w:right w:val="nil"/>
            </w:tcBorders>
          </w:tcPr>
          <w:p>
            <w:pPr>
              <w:pStyle w:val="0"/>
              <w:jc w:val="center"/>
            </w:pPr>
            <w:r>
              <w:rPr>
                <w:sz w:val="20"/>
              </w:rPr>
              <w:t xml:space="preserve">35,6</w:t>
            </w:r>
          </w:p>
        </w:tc>
        <w:tc>
          <w:tcPr>
            <w:tcW w:w="680" w:type="dxa"/>
            <w:vAlign w:val="center"/>
            <w:tcBorders>
              <w:top w:val="single" w:sz="4"/>
              <w:left w:val="nil"/>
              <w:bottom w:val="nil"/>
              <w:right w:val="nil"/>
            </w:tcBorders>
          </w:tcPr>
          <w:p>
            <w:pPr>
              <w:pStyle w:val="0"/>
              <w:jc w:val="center"/>
            </w:pPr>
            <w:r>
              <w:rPr>
                <w:sz w:val="20"/>
              </w:rPr>
              <w:t xml:space="preserve">34,3</w:t>
            </w:r>
          </w:p>
        </w:tc>
      </w:tr>
      <w:tr>
        <w:tc>
          <w:tcPr>
            <w:tcW w:w="4082" w:type="dxa"/>
            <w:tcBorders>
              <w:top w:val="nil"/>
              <w:left w:val="nil"/>
              <w:bottom w:val="nil"/>
              <w:right w:val="nil"/>
            </w:tcBorders>
          </w:tcPr>
          <w:p>
            <w:pPr>
              <w:pStyle w:val="0"/>
            </w:pPr>
            <w:r>
              <w:rPr>
                <w:sz w:val="20"/>
              </w:rPr>
              <w:t xml:space="preserve">Средняя по ЕАЭС (кроме России)</w:t>
            </w:r>
          </w:p>
        </w:tc>
        <w:tc>
          <w:tcPr>
            <w:tcW w:w="737" w:type="dxa"/>
            <w:vAlign w:val="center"/>
            <w:tcBorders>
              <w:top w:val="nil"/>
              <w:left w:val="nil"/>
              <w:bottom w:val="nil"/>
              <w:right w:val="nil"/>
            </w:tcBorders>
          </w:tcPr>
          <w:p>
            <w:pPr>
              <w:pStyle w:val="0"/>
              <w:jc w:val="center"/>
            </w:pPr>
            <w:r>
              <w:rPr>
                <w:sz w:val="20"/>
              </w:rPr>
              <w:t xml:space="preserve">27,6</w:t>
            </w:r>
          </w:p>
        </w:tc>
        <w:tc>
          <w:tcPr>
            <w:tcW w:w="680" w:type="dxa"/>
            <w:vAlign w:val="center"/>
            <w:tcBorders>
              <w:top w:val="nil"/>
              <w:left w:val="nil"/>
              <w:bottom w:val="nil"/>
              <w:right w:val="nil"/>
            </w:tcBorders>
          </w:tcPr>
          <w:p>
            <w:pPr>
              <w:pStyle w:val="0"/>
              <w:jc w:val="center"/>
            </w:pPr>
            <w:r>
              <w:rPr>
                <w:sz w:val="20"/>
              </w:rPr>
              <w:t xml:space="preserve">28,3</w:t>
            </w:r>
          </w:p>
        </w:tc>
        <w:tc>
          <w:tcPr>
            <w:tcW w:w="737" w:type="dxa"/>
            <w:vAlign w:val="center"/>
            <w:tcBorders>
              <w:top w:val="nil"/>
              <w:left w:val="nil"/>
              <w:bottom w:val="nil"/>
              <w:right w:val="nil"/>
            </w:tcBorders>
          </w:tcPr>
          <w:p>
            <w:pPr>
              <w:pStyle w:val="0"/>
              <w:jc w:val="center"/>
            </w:pPr>
            <w:r>
              <w:rPr>
                <w:sz w:val="20"/>
              </w:rPr>
              <w:t xml:space="preserve">29,0</w:t>
            </w:r>
          </w:p>
        </w:tc>
        <w:tc>
          <w:tcPr>
            <w:tcW w:w="737" w:type="dxa"/>
            <w:vAlign w:val="center"/>
            <w:tcBorders>
              <w:top w:val="nil"/>
              <w:left w:val="nil"/>
              <w:bottom w:val="nil"/>
              <w:right w:val="nil"/>
            </w:tcBorders>
          </w:tcPr>
          <w:p>
            <w:pPr>
              <w:pStyle w:val="0"/>
              <w:jc w:val="center"/>
            </w:pPr>
            <w:r>
              <w:rPr>
                <w:sz w:val="20"/>
              </w:rPr>
              <w:t xml:space="preserve">25,0</w:t>
            </w:r>
          </w:p>
        </w:tc>
        <w:tc>
          <w:tcPr>
            <w:tcW w:w="737" w:type="dxa"/>
            <w:vAlign w:val="center"/>
            <w:tcBorders>
              <w:top w:val="nil"/>
              <w:left w:val="nil"/>
              <w:bottom w:val="nil"/>
              <w:right w:val="nil"/>
            </w:tcBorders>
          </w:tcPr>
          <w:p>
            <w:pPr>
              <w:pStyle w:val="0"/>
              <w:jc w:val="center"/>
            </w:pPr>
            <w:r>
              <w:rPr>
                <w:sz w:val="20"/>
              </w:rPr>
              <w:t xml:space="preserve">24,7</w:t>
            </w:r>
          </w:p>
        </w:tc>
        <w:tc>
          <w:tcPr>
            <w:tcW w:w="680" w:type="dxa"/>
            <w:vAlign w:val="center"/>
            <w:tcBorders>
              <w:top w:val="nil"/>
              <w:left w:val="nil"/>
              <w:bottom w:val="nil"/>
              <w:right w:val="nil"/>
            </w:tcBorders>
          </w:tcPr>
          <w:p>
            <w:pPr>
              <w:pStyle w:val="0"/>
              <w:jc w:val="center"/>
            </w:pPr>
            <w:r>
              <w:rPr>
                <w:sz w:val="20"/>
              </w:rPr>
              <w:t xml:space="preserve">24,6</w:t>
            </w:r>
          </w:p>
        </w:tc>
        <w:tc>
          <w:tcPr>
            <w:tcW w:w="680" w:type="dxa"/>
            <w:vAlign w:val="center"/>
            <w:tcBorders>
              <w:top w:val="nil"/>
              <w:left w:val="nil"/>
              <w:bottom w:val="nil"/>
              <w:right w:val="nil"/>
            </w:tcBorders>
          </w:tcPr>
          <w:p>
            <w:pPr>
              <w:pStyle w:val="0"/>
              <w:jc w:val="center"/>
            </w:pPr>
            <w:r>
              <w:rPr>
                <w:sz w:val="20"/>
              </w:rPr>
              <w:t xml:space="preserve">27,2</w:t>
            </w:r>
          </w:p>
        </w:tc>
      </w:tr>
      <w:tr>
        <w:tc>
          <w:tcPr>
            <w:tcW w:w="4082" w:type="dxa"/>
            <w:tcBorders>
              <w:top w:val="nil"/>
              <w:left w:val="nil"/>
              <w:bottom w:val="nil"/>
              <w:right w:val="nil"/>
            </w:tcBorders>
          </w:tcPr>
          <w:p>
            <w:pPr>
              <w:pStyle w:val="0"/>
            </w:pPr>
            <w:r>
              <w:rPr>
                <w:sz w:val="20"/>
              </w:rPr>
              <w:t xml:space="preserve">Армения</w:t>
            </w:r>
          </w:p>
        </w:tc>
        <w:tc>
          <w:tcPr>
            <w:tcW w:w="737" w:type="dxa"/>
            <w:vAlign w:val="center"/>
            <w:tcBorders>
              <w:top w:val="nil"/>
              <w:left w:val="nil"/>
              <w:bottom w:val="nil"/>
              <w:right w:val="nil"/>
            </w:tcBorders>
          </w:tcPr>
          <w:p>
            <w:pPr>
              <w:pStyle w:val="0"/>
              <w:jc w:val="center"/>
            </w:pPr>
            <w:r>
              <w:rPr>
                <w:sz w:val="20"/>
              </w:rPr>
              <w:t xml:space="preserve">21,4</w:t>
            </w:r>
          </w:p>
        </w:tc>
        <w:tc>
          <w:tcPr>
            <w:tcW w:w="680" w:type="dxa"/>
            <w:vAlign w:val="center"/>
            <w:tcBorders>
              <w:top w:val="nil"/>
              <w:left w:val="nil"/>
              <w:bottom w:val="nil"/>
              <w:right w:val="nil"/>
            </w:tcBorders>
          </w:tcPr>
          <w:p>
            <w:pPr>
              <w:pStyle w:val="0"/>
              <w:jc w:val="center"/>
            </w:pPr>
            <w:r>
              <w:rPr>
                <w:sz w:val="20"/>
              </w:rPr>
              <w:t xml:space="preserve">21,2</w:t>
            </w:r>
          </w:p>
        </w:tc>
        <w:tc>
          <w:tcPr>
            <w:tcW w:w="737" w:type="dxa"/>
            <w:vAlign w:val="center"/>
            <w:tcBorders>
              <w:top w:val="nil"/>
              <w:left w:val="nil"/>
              <w:bottom w:val="nil"/>
              <w:right w:val="nil"/>
            </w:tcBorders>
          </w:tcPr>
          <w:p>
            <w:pPr>
              <w:pStyle w:val="0"/>
              <w:jc w:val="center"/>
            </w:pPr>
            <w:r>
              <w:rPr>
                <w:sz w:val="20"/>
              </w:rPr>
              <w:t xml:space="preserve">22,3</w:t>
            </w:r>
          </w:p>
        </w:tc>
        <w:tc>
          <w:tcPr>
            <w:tcW w:w="737" w:type="dxa"/>
            <w:vAlign w:val="center"/>
            <w:tcBorders>
              <w:top w:val="nil"/>
              <w:left w:val="nil"/>
              <w:bottom w:val="nil"/>
              <w:right w:val="nil"/>
            </w:tcBorders>
          </w:tcPr>
          <w:p>
            <w:pPr>
              <w:pStyle w:val="0"/>
              <w:jc w:val="center"/>
            </w:pPr>
            <w:r>
              <w:rPr>
                <w:sz w:val="20"/>
              </w:rPr>
              <w:t xml:space="preserve">23,9</w:t>
            </w:r>
          </w:p>
        </w:tc>
        <w:tc>
          <w:tcPr>
            <w:tcW w:w="737" w:type="dxa"/>
            <w:vAlign w:val="center"/>
            <w:tcBorders>
              <w:top w:val="nil"/>
              <w:left w:val="nil"/>
              <w:bottom w:val="nil"/>
              <w:right w:val="nil"/>
            </w:tcBorders>
          </w:tcPr>
          <w:p>
            <w:pPr>
              <w:pStyle w:val="0"/>
              <w:jc w:val="center"/>
            </w:pPr>
            <w:r>
              <w:rPr>
                <w:sz w:val="20"/>
              </w:rPr>
              <w:t xml:space="preserve">25,2</w:t>
            </w:r>
          </w:p>
        </w:tc>
        <w:tc>
          <w:tcPr>
            <w:tcW w:w="680" w:type="dxa"/>
            <w:vAlign w:val="center"/>
            <w:tcBorders>
              <w:top w:val="nil"/>
              <w:left w:val="nil"/>
              <w:bottom w:val="nil"/>
              <w:right w:val="nil"/>
            </w:tcBorders>
          </w:tcPr>
          <w:p>
            <w:pPr>
              <w:pStyle w:val="0"/>
              <w:jc w:val="center"/>
            </w:pPr>
            <w:r>
              <w:rPr>
                <w:sz w:val="20"/>
              </w:rPr>
              <w:t xml:space="preserve">24,1</w:t>
            </w:r>
          </w:p>
        </w:tc>
        <w:tc>
          <w:tcPr>
            <w:tcW w:w="680" w:type="dxa"/>
            <w:vAlign w:val="center"/>
            <w:tcBorders>
              <w:top w:val="nil"/>
              <w:left w:val="nil"/>
              <w:bottom w:val="nil"/>
              <w:right w:val="nil"/>
            </w:tcBorders>
          </w:tcPr>
          <w:p>
            <w:pPr>
              <w:pStyle w:val="0"/>
              <w:jc w:val="center"/>
            </w:pPr>
            <w:r>
              <w:rPr>
                <w:sz w:val="20"/>
              </w:rPr>
              <w:t xml:space="preserve">24,3</w:t>
            </w:r>
          </w:p>
        </w:tc>
      </w:tr>
      <w:tr>
        <w:tc>
          <w:tcPr>
            <w:tcW w:w="4082" w:type="dxa"/>
            <w:tcBorders>
              <w:top w:val="nil"/>
              <w:left w:val="nil"/>
              <w:bottom w:val="nil"/>
              <w:right w:val="nil"/>
            </w:tcBorders>
          </w:tcPr>
          <w:p>
            <w:pPr>
              <w:pStyle w:val="0"/>
            </w:pPr>
            <w:r>
              <w:rPr>
                <w:sz w:val="20"/>
              </w:rPr>
              <w:t xml:space="preserve">Беларусь</w:t>
            </w:r>
          </w:p>
        </w:tc>
        <w:tc>
          <w:tcPr>
            <w:tcW w:w="737" w:type="dxa"/>
            <w:vAlign w:val="center"/>
            <w:tcBorders>
              <w:top w:val="nil"/>
              <w:left w:val="nil"/>
              <w:bottom w:val="nil"/>
              <w:right w:val="nil"/>
            </w:tcBorders>
          </w:tcPr>
          <w:p>
            <w:pPr>
              <w:pStyle w:val="0"/>
              <w:jc w:val="center"/>
            </w:pPr>
            <w:r>
              <w:rPr>
                <w:sz w:val="20"/>
              </w:rPr>
              <w:t xml:space="preserve">39,0</w:t>
            </w:r>
          </w:p>
        </w:tc>
        <w:tc>
          <w:tcPr>
            <w:tcW w:w="680" w:type="dxa"/>
            <w:vAlign w:val="center"/>
            <w:tcBorders>
              <w:top w:val="nil"/>
              <w:left w:val="nil"/>
              <w:bottom w:val="nil"/>
              <w:right w:val="nil"/>
            </w:tcBorders>
          </w:tcPr>
          <w:p>
            <w:pPr>
              <w:pStyle w:val="0"/>
              <w:jc w:val="center"/>
            </w:pPr>
            <w:r>
              <w:rPr>
                <w:sz w:val="20"/>
              </w:rPr>
              <w:t xml:space="preserve">38,7</w:t>
            </w:r>
          </w:p>
        </w:tc>
        <w:tc>
          <w:tcPr>
            <w:tcW w:w="737" w:type="dxa"/>
            <w:vAlign w:val="center"/>
            <w:tcBorders>
              <w:top w:val="nil"/>
              <w:left w:val="nil"/>
              <w:bottom w:val="nil"/>
              <w:right w:val="nil"/>
            </w:tcBorders>
          </w:tcPr>
          <w:p>
            <w:pPr>
              <w:pStyle w:val="0"/>
              <w:jc w:val="center"/>
            </w:pPr>
            <w:r>
              <w:rPr>
                <w:sz w:val="20"/>
              </w:rPr>
              <w:t xml:space="preserve">39,6</w:t>
            </w:r>
          </w:p>
        </w:tc>
        <w:tc>
          <w:tcPr>
            <w:tcW w:w="737" w:type="dxa"/>
            <w:vAlign w:val="center"/>
            <w:tcBorders>
              <w:top w:val="nil"/>
              <w:left w:val="nil"/>
              <w:bottom w:val="nil"/>
              <w:right w:val="nil"/>
            </w:tcBorders>
          </w:tcPr>
          <w:p>
            <w:pPr>
              <w:pStyle w:val="0"/>
              <w:jc w:val="center"/>
            </w:pPr>
            <w:r>
              <w:rPr>
                <w:sz w:val="20"/>
              </w:rPr>
              <w:t xml:space="preserve">23,9</w:t>
            </w:r>
          </w:p>
        </w:tc>
        <w:tc>
          <w:tcPr>
            <w:tcW w:w="737" w:type="dxa"/>
            <w:vAlign w:val="center"/>
            <w:tcBorders>
              <w:top w:val="nil"/>
              <w:left w:val="nil"/>
              <w:bottom w:val="nil"/>
              <w:right w:val="nil"/>
            </w:tcBorders>
          </w:tcPr>
          <w:p>
            <w:pPr>
              <w:pStyle w:val="0"/>
              <w:jc w:val="center"/>
            </w:pPr>
            <w:r>
              <w:rPr>
                <w:sz w:val="20"/>
              </w:rPr>
              <w:t xml:space="preserve">25,2</w:t>
            </w:r>
          </w:p>
        </w:tc>
        <w:tc>
          <w:tcPr>
            <w:tcW w:w="680" w:type="dxa"/>
            <w:vAlign w:val="center"/>
            <w:tcBorders>
              <w:top w:val="nil"/>
              <w:left w:val="nil"/>
              <w:bottom w:val="nil"/>
              <w:right w:val="nil"/>
            </w:tcBorders>
          </w:tcPr>
          <w:p>
            <w:pPr>
              <w:pStyle w:val="0"/>
              <w:jc w:val="center"/>
            </w:pPr>
            <w:r>
              <w:rPr>
                <w:sz w:val="20"/>
              </w:rPr>
              <w:t xml:space="preserve">24,1</w:t>
            </w:r>
          </w:p>
        </w:tc>
        <w:tc>
          <w:tcPr>
            <w:tcW w:w="680" w:type="dxa"/>
            <w:vAlign w:val="center"/>
            <w:tcBorders>
              <w:top w:val="nil"/>
              <w:left w:val="nil"/>
              <w:bottom w:val="nil"/>
              <w:right w:val="nil"/>
            </w:tcBorders>
          </w:tcPr>
          <w:p>
            <w:pPr>
              <w:pStyle w:val="0"/>
              <w:jc w:val="center"/>
            </w:pPr>
            <w:r>
              <w:rPr>
                <w:sz w:val="20"/>
              </w:rPr>
              <w:t xml:space="preserve">24,3</w:t>
            </w:r>
          </w:p>
        </w:tc>
      </w:tr>
      <w:tr>
        <w:tc>
          <w:tcPr>
            <w:tcW w:w="4082" w:type="dxa"/>
            <w:tcBorders>
              <w:top w:val="nil"/>
              <w:left w:val="nil"/>
              <w:bottom w:val="nil"/>
              <w:right w:val="nil"/>
            </w:tcBorders>
          </w:tcPr>
          <w:p>
            <w:pPr>
              <w:pStyle w:val="0"/>
            </w:pPr>
            <w:r>
              <w:rPr>
                <w:sz w:val="20"/>
              </w:rPr>
              <w:t xml:space="preserve">Казахстан</w:t>
            </w:r>
          </w:p>
        </w:tc>
        <w:tc>
          <w:tcPr>
            <w:tcW w:w="737" w:type="dxa"/>
            <w:vAlign w:val="center"/>
            <w:tcBorders>
              <w:top w:val="nil"/>
              <w:left w:val="nil"/>
              <w:bottom w:val="nil"/>
              <w:right w:val="nil"/>
            </w:tcBorders>
          </w:tcPr>
          <w:p>
            <w:pPr>
              <w:pStyle w:val="0"/>
              <w:jc w:val="center"/>
            </w:pPr>
            <w:r>
              <w:rPr>
                <w:sz w:val="20"/>
              </w:rPr>
              <w:t xml:space="preserve">17,0</w:t>
            </w:r>
          </w:p>
        </w:tc>
        <w:tc>
          <w:tcPr>
            <w:tcW w:w="680" w:type="dxa"/>
            <w:vAlign w:val="center"/>
            <w:tcBorders>
              <w:top w:val="nil"/>
              <w:left w:val="nil"/>
              <w:bottom w:val="nil"/>
              <w:right w:val="nil"/>
            </w:tcBorders>
          </w:tcPr>
          <w:p>
            <w:pPr>
              <w:pStyle w:val="0"/>
              <w:jc w:val="center"/>
            </w:pPr>
            <w:r>
              <w:rPr>
                <w:sz w:val="20"/>
              </w:rPr>
              <w:t xml:space="preserve">19,8</w:t>
            </w:r>
          </w:p>
        </w:tc>
        <w:tc>
          <w:tcPr>
            <w:tcW w:w="737" w:type="dxa"/>
            <w:vAlign w:val="center"/>
            <w:tcBorders>
              <w:top w:val="nil"/>
              <w:left w:val="nil"/>
              <w:bottom w:val="nil"/>
              <w:right w:val="nil"/>
            </w:tcBorders>
          </w:tcPr>
          <w:p>
            <w:pPr>
              <w:pStyle w:val="0"/>
              <w:jc w:val="center"/>
            </w:pPr>
            <w:r>
              <w:rPr>
                <w:sz w:val="20"/>
              </w:rPr>
              <w:t xml:space="preserve">21,4</w:t>
            </w:r>
          </w:p>
        </w:tc>
        <w:tc>
          <w:tcPr>
            <w:tcW w:w="737" w:type="dxa"/>
            <w:vAlign w:val="center"/>
            <w:tcBorders>
              <w:top w:val="nil"/>
              <w:left w:val="nil"/>
              <w:bottom w:val="nil"/>
              <w:right w:val="nil"/>
            </w:tcBorders>
          </w:tcPr>
          <w:p>
            <w:pPr>
              <w:pStyle w:val="0"/>
              <w:jc w:val="center"/>
            </w:pPr>
            <w:r>
              <w:rPr>
                <w:sz w:val="20"/>
              </w:rPr>
              <w:t xml:space="preserve">19,7</w:t>
            </w:r>
          </w:p>
        </w:tc>
        <w:tc>
          <w:tcPr>
            <w:tcW w:w="737" w:type="dxa"/>
            <w:vAlign w:val="center"/>
            <w:tcBorders>
              <w:top w:val="nil"/>
              <w:left w:val="nil"/>
              <w:bottom w:val="nil"/>
              <w:right w:val="nil"/>
            </w:tcBorders>
          </w:tcPr>
          <w:p>
            <w:pPr>
              <w:pStyle w:val="0"/>
              <w:jc w:val="center"/>
            </w:pPr>
            <w:r>
              <w:rPr>
                <w:sz w:val="20"/>
              </w:rPr>
              <w:t xml:space="preserve">17,5</w:t>
            </w:r>
          </w:p>
        </w:tc>
        <w:tc>
          <w:tcPr>
            <w:tcW w:w="680" w:type="dxa"/>
            <w:vAlign w:val="center"/>
            <w:tcBorders>
              <w:top w:val="nil"/>
              <w:left w:val="nil"/>
              <w:bottom w:val="nil"/>
              <w:right w:val="nil"/>
            </w:tcBorders>
          </w:tcPr>
          <w:p>
            <w:pPr>
              <w:pStyle w:val="0"/>
              <w:jc w:val="center"/>
            </w:pPr>
            <w:r>
              <w:rPr>
                <w:sz w:val="20"/>
              </w:rPr>
              <w:t xml:space="preserve">17,1</w:t>
            </w:r>
          </w:p>
        </w:tc>
        <w:tc>
          <w:tcPr>
            <w:tcW w:w="680" w:type="dxa"/>
            <w:vAlign w:val="center"/>
            <w:tcBorders>
              <w:top w:val="nil"/>
              <w:left w:val="nil"/>
              <w:bottom w:val="nil"/>
              <w:right w:val="nil"/>
            </w:tcBorders>
          </w:tcPr>
          <w:p>
            <w:pPr>
              <w:pStyle w:val="0"/>
              <w:jc w:val="center"/>
            </w:pPr>
            <w:r>
              <w:rPr>
                <w:sz w:val="20"/>
              </w:rPr>
              <w:t xml:space="preserve">21,8</w:t>
            </w:r>
          </w:p>
        </w:tc>
      </w:tr>
      <w:tr>
        <w:tc>
          <w:tcPr>
            <w:tcW w:w="4082" w:type="dxa"/>
            <w:tcBorders>
              <w:top w:val="nil"/>
              <w:left w:val="nil"/>
              <w:bottom w:val="single" w:sz="4"/>
              <w:right w:val="nil"/>
            </w:tcBorders>
          </w:tcPr>
          <w:p>
            <w:pPr>
              <w:pStyle w:val="0"/>
            </w:pPr>
            <w:r>
              <w:rPr>
                <w:sz w:val="20"/>
              </w:rPr>
              <w:t xml:space="preserve">Киргизия</w:t>
            </w:r>
          </w:p>
        </w:tc>
        <w:tc>
          <w:tcPr>
            <w:tcW w:w="737" w:type="dxa"/>
            <w:vAlign w:val="center"/>
            <w:tcBorders>
              <w:top w:val="nil"/>
              <w:left w:val="nil"/>
              <w:bottom w:val="single" w:sz="4"/>
              <w:right w:val="nil"/>
            </w:tcBorders>
          </w:tcPr>
          <w:p>
            <w:pPr>
              <w:pStyle w:val="0"/>
              <w:jc w:val="center"/>
            </w:pPr>
            <w:r>
              <w:rPr>
                <w:sz w:val="20"/>
              </w:rPr>
              <w:t xml:space="preserve">33,1</w:t>
            </w:r>
          </w:p>
        </w:tc>
        <w:tc>
          <w:tcPr>
            <w:tcW w:w="680" w:type="dxa"/>
            <w:vAlign w:val="center"/>
            <w:tcBorders>
              <w:top w:val="nil"/>
              <w:left w:val="nil"/>
              <w:bottom w:val="single" w:sz="4"/>
              <w:right w:val="nil"/>
            </w:tcBorders>
          </w:tcPr>
          <w:p>
            <w:pPr>
              <w:pStyle w:val="0"/>
              <w:jc w:val="center"/>
            </w:pPr>
            <w:r>
              <w:rPr>
                <w:sz w:val="20"/>
              </w:rPr>
              <w:t xml:space="preserve">33,3</w:t>
            </w:r>
          </w:p>
        </w:tc>
        <w:tc>
          <w:tcPr>
            <w:tcW w:w="737" w:type="dxa"/>
            <w:vAlign w:val="center"/>
            <w:tcBorders>
              <w:top w:val="nil"/>
              <w:left w:val="nil"/>
              <w:bottom w:val="single" w:sz="4"/>
              <w:right w:val="nil"/>
            </w:tcBorders>
          </w:tcPr>
          <w:p>
            <w:pPr>
              <w:pStyle w:val="0"/>
              <w:jc w:val="center"/>
            </w:pPr>
            <w:r>
              <w:rPr>
                <w:sz w:val="20"/>
              </w:rPr>
              <w:t xml:space="preserve">32,5</w:t>
            </w:r>
          </w:p>
        </w:tc>
        <w:tc>
          <w:tcPr>
            <w:tcW w:w="737" w:type="dxa"/>
            <w:vAlign w:val="center"/>
            <w:tcBorders>
              <w:top w:val="nil"/>
              <w:left w:val="nil"/>
              <w:bottom w:val="single" w:sz="4"/>
              <w:right w:val="nil"/>
            </w:tcBorders>
          </w:tcPr>
          <w:p>
            <w:pPr>
              <w:pStyle w:val="0"/>
              <w:jc w:val="center"/>
            </w:pPr>
            <w:r>
              <w:rPr>
                <w:sz w:val="20"/>
              </w:rPr>
              <w:t xml:space="preserve">32,5</w:t>
            </w:r>
          </w:p>
        </w:tc>
        <w:tc>
          <w:tcPr>
            <w:tcW w:w="737" w:type="dxa"/>
            <w:vAlign w:val="center"/>
            <w:tcBorders>
              <w:top w:val="nil"/>
              <w:left w:val="nil"/>
              <w:bottom w:val="single" w:sz="4"/>
              <w:right w:val="nil"/>
            </w:tcBorders>
          </w:tcPr>
          <w:p>
            <w:pPr>
              <w:pStyle w:val="0"/>
              <w:jc w:val="center"/>
            </w:pPr>
            <w:r>
              <w:rPr>
                <w:sz w:val="20"/>
              </w:rPr>
              <w:t xml:space="preserve">30,8</w:t>
            </w:r>
          </w:p>
        </w:tc>
        <w:tc>
          <w:tcPr>
            <w:tcW w:w="680" w:type="dxa"/>
            <w:vAlign w:val="center"/>
            <w:tcBorders>
              <w:top w:val="nil"/>
              <w:left w:val="nil"/>
              <w:bottom w:val="single" w:sz="4"/>
              <w:right w:val="nil"/>
            </w:tcBorders>
          </w:tcPr>
          <w:p>
            <w:pPr>
              <w:pStyle w:val="0"/>
              <w:jc w:val="center"/>
            </w:pPr>
            <w:r>
              <w:rPr>
                <w:sz w:val="20"/>
              </w:rPr>
              <w:t xml:space="preserve">33,2</w:t>
            </w:r>
          </w:p>
        </w:tc>
        <w:tc>
          <w:tcPr>
            <w:tcW w:w="680" w:type="dxa"/>
            <w:vAlign w:val="center"/>
            <w:tcBorders>
              <w:top w:val="nil"/>
              <w:left w:val="nil"/>
              <w:bottom w:val="single" w:sz="4"/>
              <w:right w:val="nil"/>
            </w:tcBorders>
          </w:tcPr>
          <w:p>
            <w:pPr>
              <w:pStyle w:val="0"/>
              <w:jc w:val="center"/>
            </w:pPr>
            <w:r>
              <w:rPr>
                <w:sz w:val="20"/>
              </w:rPr>
              <w:t xml:space="preserve">38,5</w:t>
            </w:r>
          </w:p>
        </w:tc>
      </w:tr>
    </w:tbl>
    <w:p>
      <w:pPr>
        <w:pStyle w:val="0"/>
        <w:jc w:val="both"/>
      </w:pPr>
      <w:r>
        <w:rPr>
          <w:sz w:val="20"/>
        </w:rPr>
      </w:r>
    </w:p>
    <w:p>
      <w:pPr>
        <w:pStyle w:val="0"/>
        <w:ind w:firstLine="540"/>
        <w:jc w:val="both"/>
      </w:pPr>
      <w:r>
        <w:rPr>
          <w:sz w:val="20"/>
        </w:rPr>
        <w:t xml:space="preserve">Источники данных: Международный валютный фонд (https://www2imf.org/en/Publications/WEO/weo-database/2022/April).</w:t>
      </w:r>
    </w:p>
    <w:p>
      <w:pPr>
        <w:pStyle w:val="0"/>
        <w:jc w:val="both"/>
      </w:pPr>
      <w:r>
        <w:rPr>
          <w:sz w:val="20"/>
        </w:rPr>
      </w:r>
    </w:p>
    <w:p>
      <w:pPr>
        <w:pStyle w:val="0"/>
        <w:ind w:firstLine="540"/>
        <w:jc w:val="both"/>
      </w:pPr>
      <w:r>
        <w:rPr>
          <w:sz w:val="20"/>
        </w:rPr>
        <w:t xml:space="preserve">Уровень налоговой нагрузки в России по данным Международного валютного фонда (2022 год - 34,3%) отличается от уровня налоговой нагрузки, рассчитанного в соответствии с методикой, применяемой ОЭСР (2022 год - 31,29%), что связано с различными подходами к определению общей суммы налоговых доходов. В частности, в расчетах могут по-разному учитываться таможенные пошлины, налоги, сборы и регулярные платежи за пользование природными ресурсами, взносы на обязательное социальное страхование.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2</w:t>
      </w:r>
    </w:p>
    <w:p>
      <w:pPr>
        <w:pStyle w:val="0"/>
        <w:jc w:val="both"/>
      </w:pPr>
      <w:r>
        <w:rPr>
          <w:sz w:val="20"/>
        </w:rPr>
      </w:r>
    </w:p>
    <w:p>
      <w:pPr>
        <w:pStyle w:val="2"/>
        <w:jc w:val="center"/>
      </w:pPr>
      <w:r>
        <w:rPr>
          <w:sz w:val="20"/>
        </w:rPr>
        <w:t xml:space="preserve">МЕРЫ НАЛОГОВОЙ ПОЛИТИКИ ПО ВИДАМ НАЛОГОВ</w:t>
      </w:r>
    </w:p>
    <w:p>
      <w:pPr>
        <w:pStyle w:val="0"/>
        <w:jc w:val="both"/>
      </w:pPr>
      <w:r>
        <w:rPr>
          <w:sz w:val="20"/>
        </w:rPr>
      </w:r>
    </w:p>
    <w:p>
      <w:pPr>
        <w:pStyle w:val="2"/>
        <w:outlineLvl w:val="1"/>
        <w:ind w:firstLine="540"/>
        <w:jc w:val="both"/>
      </w:pPr>
      <w:r>
        <w:rPr>
          <w:sz w:val="20"/>
        </w:rPr>
        <w:t xml:space="preserve">Совершенствование налогового администрирования</w:t>
      </w:r>
    </w:p>
    <w:p>
      <w:pPr>
        <w:pStyle w:val="0"/>
        <w:spacing w:before="200" w:line-rule="auto"/>
        <w:ind w:firstLine="540"/>
        <w:jc w:val="both"/>
      </w:pPr>
      <w:r>
        <w:rPr>
          <w:sz w:val="20"/>
        </w:rPr>
        <w:t xml:space="preserve">1. Установление особенностей порядка вступления в силу нормативных правовых актов муниципальных образований и федеральной территории "Сириус" о местных налогах и сборах, актов законодательства субъектов Российской Федерации о налогах и сборах, направленных на приведение соответствующих актов в соответствие с законодательством Российской Федерации о налогах и сборах, актов законодательства Российской Федерации о налогах и сборах, предусматривающих внесение изменений в </w:t>
      </w:r>
      <w:hyperlink w:history="0" r:id="rId35"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часть первую</w:t>
        </w:r>
      </w:hyperlink>
      <w:r>
        <w:rPr>
          <w:sz w:val="20"/>
        </w:rPr>
        <w:t xml:space="preserve"> Налогового кодекса Российской Федерации, для которых действующий месячный срок вступления в силу неактуален.</w:t>
      </w:r>
    </w:p>
    <w:p>
      <w:pPr>
        <w:pStyle w:val="0"/>
        <w:spacing w:before="200" w:line-rule="auto"/>
        <w:ind w:firstLine="540"/>
        <w:jc w:val="both"/>
      </w:pPr>
      <w:r>
        <w:rPr>
          <w:sz w:val="20"/>
        </w:rPr>
        <w:t xml:space="preserve">2. В целях совершенствования электронного документооборота между налоговым органом и налогоплательщиком предлагается установление шестидневного срока, по истечении которого документ, направленный налоговым органом налогоплательщику в электронной форме по телекоммуникационным каналам связи через оператора электронного документооборота, считается полученным налогоплательщиком.</w:t>
      </w:r>
    </w:p>
    <w:p>
      <w:pPr>
        <w:pStyle w:val="0"/>
        <w:spacing w:before="200" w:line-rule="auto"/>
        <w:ind w:firstLine="540"/>
        <w:jc w:val="both"/>
      </w:pPr>
      <w:r>
        <w:rPr>
          <w:sz w:val="20"/>
        </w:rPr>
        <w:t xml:space="preserve">3. Для снижения административной нагрузки на хозяйствующих субъектов предлагается установить обязанность однократного представления упрощенной налоговой декларации и, отменить обязанность ее представления в последующем, в случае отсутствия операций, в результате которых происходит движение денежных средств на счетах в банках (в кассе организации), и в случае отсутствия объектов налогообложения по налогам, по которым представляется эта упрощенная налоговая декларация.</w:t>
      </w:r>
    </w:p>
    <w:p>
      <w:pPr>
        <w:pStyle w:val="0"/>
        <w:spacing w:before="200" w:line-rule="auto"/>
        <w:ind w:firstLine="540"/>
        <w:jc w:val="both"/>
      </w:pPr>
      <w:r>
        <w:rPr>
          <w:sz w:val="20"/>
        </w:rPr>
        <w:t xml:space="preserve">4. Дальнейшее расширение круга потенциальных участников налогового мониторинга путем сокращения "пороговых" требований к ним в части суммы уплаченных ими налогов со 100 млн рублей до 80 млн рублей, полученных ими доходов с 1 млрд рублей до 800 млн рублей и величине их активов с 1 млрд рублей до 800 млн рублей.</w:t>
      </w:r>
    </w:p>
    <w:p>
      <w:pPr>
        <w:pStyle w:val="0"/>
        <w:spacing w:before="200" w:line-rule="auto"/>
        <w:ind w:firstLine="540"/>
        <w:jc w:val="both"/>
      </w:pPr>
      <w:r>
        <w:rPr>
          <w:sz w:val="20"/>
        </w:rPr>
        <w:t xml:space="preserve">5. Предоставление возможности наследникам права распоряжаться суммой денежных средств, формирующих положительное сальдо единого налогового счета умершего (объявленного умершим) налогоплательщика.</w:t>
      </w:r>
    </w:p>
    <w:p>
      <w:pPr>
        <w:pStyle w:val="0"/>
        <w:spacing w:before="200" w:line-rule="auto"/>
        <w:ind w:firstLine="540"/>
        <w:jc w:val="both"/>
      </w:pPr>
      <w:r>
        <w:rPr>
          <w:sz w:val="20"/>
        </w:rPr>
        <w:t xml:space="preserve">6. В целях исключения дальнейшего разночтения состава перечня дополнительных мероприятий налогового контроля, которые могут проводиться на этапе рассмотрения материалов налоговой проверки, предлагается уточнить, что к таким мероприятиям также относится выемка документов.</w:t>
      </w:r>
    </w:p>
    <w:p>
      <w:pPr>
        <w:pStyle w:val="0"/>
        <w:spacing w:before="200" w:line-rule="auto"/>
        <w:ind w:firstLine="540"/>
        <w:jc w:val="both"/>
      </w:pPr>
      <w:r>
        <w:rPr>
          <w:sz w:val="20"/>
        </w:rPr>
        <w:t xml:space="preserve">7. В целях стимулирования резидентов (участников) преференциальных налоговых режимов в увеличении фактических объемов капитальных вложений и (или) НИОКР (для новых резидентов (участников) преференциальных налоговых режимов), в своевременном выполнении контролируемых показателей, сдаче бухгалтерской (финансовой) отчетности, а также сокращения возможности по переводу действующих производств в преференциальные налоговые режимы предлагается реализация соответствующих мер по совершенствованию налогового регулирования преференциальных налоговых режимов.</w:t>
      </w:r>
    </w:p>
    <w:p>
      <w:pPr>
        <w:pStyle w:val="0"/>
        <w:jc w:val="both"/>
      </w:pPr>
      <w:r>
        <w:rPr>
          <w:sz w:val="20"/>
        </w:rPr>
      </w:r>
    </w:p>
    <w:p>
      <w:pPr>
        <w:pStyle w:val="2"/>
        <w:outlineLvl w:val="1"/>
        <w:ind w:firstLine="540"/>
        <w:jc w:val="both"/>
      </w:pPr>
      <w:r>
        <w:rPr>
          <w:sz w:val="20"/>
        </w:rPr>
        <w:t xml:space="preserve">Налог на добавленную стоимость</w:t>
      </w:r>
    </w:p>
    <w:p>
      <w:pPr>
        <w:pStyle w:val="0"/>
        <w:spacing w:before="200" w:line-rule="auto"/>
        <w:ind w:firstLine="540"/>
        <w:jc w:val="both"/>
      </w:pPr>
      <w:r>
        <w:rPr>
          <w:sz w:val="20"/>
        </w:rPr>
        <w:t xml:space="preserve">1. Уточнение порядка расчета суммы по налогу на добавленную стоимость, подлежащей восстановлению по объектам недвижимости, операции по реализации (передаче) которых не облагаются налогом на добавленную стоимость, в целях устранения неопределенности расчета восстановляемого налога.</w:t>
      </w:r>
    </w:p>
    <w:p>
      <w:pPr>
        <w:pStyle w:val="0"/>
        <w:spacing w:before="200" w:line-rule="auto"/>
        <w:ind w:firstLine="540"/>
        <w:jc w:val="both"/>
      </w:pPr>
      <w:r>
        <w:rPr>
          <w:sz w:val="20"/>
        </w:rPr>
        <w:t xml:space="preserve">2. В целях предотвращения создания схем по уклонению от уплаты НДС, в том числе в случае, когда товары реализуются хозяйствующими субъектами государств - членов Евразийского экономического союза российским физическим лицам, не являющимся плательщиками НДС, на основании договоров поручения, договоров комиссии, агентских договоров или иных аналогичных договоров предлагается возложить обязанность по исчислению и уплате НДС при ввозе товаров на территорию Российской Федерации с территории государств - членов Евразийского экономического союза на организации - посредники.</w:t>
      </w:r>
    </w:p>
    <w:p>
      <w:pPr>
        <w:pStyle w:val="0"/>
        <w:jc w:val="both"/>
      </w:pPr>
      <w:r>
        <w:rPr>
          <w:sz w:val="20"/>
        </w:rPr>
      </w:r>
    </w:p>
    <w:p>
      <w:pPr>
        <w:pStyle w:val="2"/>
        <w:outlineLvl w:val="1"/>
        <w:ind w:firstLine="540"/>
        <w:jc w:val="both"/>
      </w:pPr>
      <w:r>
        <w:rPr>
          <w:sz w:val="20"/>
        </w:rPr>
        <w:t xml:space="preserve">Акцизы</w:t>
      </w:r>
    </w:p>
    <w:p>
      <w:pPr>
        <w:pStyle w:val="0"/>
        <w:spacing w:before="200" w:line-rule="auto"/>
        <w:ind w:firstLine="540"/>
        <w:jc w:val="both"/>
      </w:pPr>
      <w:r>
        <w:rPr>
          <w:sz w:val="20"/>
        </w:rPr>
        <w:t xml:space="preserve">1. Разработка механизма контроля полноты уплаты акциза на табачную и никотинсодержащую продукцию на основании данных о ее маркировке средствами идентификации, а также отказ от маркировки табачной продукции специальными (федеральными) и акцизными марками.</w:t>
      </w:r>
    </w:p>
    <w:p>
      <w:pPr>
        <w:pStyle w:val="0"/>
        <w:spacing w:before="200" w:line-rule="auto"/>
        <w:ind w:firstLine="540"/>
        <w:jc w:val="both"/>
      </w:pPr>
      <w:r>
        <w:rPr>
          <w:sz w:val="20"/>
        </w:rPr>
        <w:t xml:space="preserve">2. Введение налогового механизма, предусматривающего предоставление производителям синтетического каучука с 1 января 2024 года обратного акциза при заключении ими соглашения с Минэнерго России, предельный срок действия которого составит 10 лет.</w:t>
      </w:r>
    </w:p>
    <w:p>
      <w:pPr>
        <w:pStyle w:val="0"/>
        <w:spacing w:before="200" w:line-rule="auto"/>
        <w:ind w:firstLine="540"/>
        <w:jc w:val="both"/>
      </w:pPr>
      <w:r>
        <w:rPr>
          <w:sz w:val="20"/>
        </w:rPr>
        <w:t xml:space="preserve">В силу отсутствия на внутреннем рынке объективных рыночных котировок величина обратного акциза будет зависеть от биржевых цен на натуральный каучук на сингапурском рынке и на сырье (бутан и бутадиен) на роттердамском рынке.</w:t>
      </w:r>
    </w:p>
    <w:p>
      <w:pPr>
        <w:pStyle w:val="0"/>
        <w:spacing w:before="200" w:line-rule="auto"/>
        <w:ind w:firstLine="540"/>
        <w:jc w:val="both"/>
      </w:pPr>
      <w:r>
        <w:rPr>
          <w:sz w:val="20"/>
        </w:rPr>
        <w:t xml:space="preserve">При неблагоприятных биржевых ценах производители будут получать обратный акциз на синтетический каучук из бюджета. При биржевой конъюнктуре производители будут уплачивать акциз в пределах ранее возмещенного акциза с индексацией, что снизит расходы бюджета на указанную меру поддержи.</w:t>
      </w:r>
    </w:p>
    <w:p>
      <w:pPr>
        <w:pStyle w:val="0"/>
        <w:spacing w:before="200" w:line-rule="auto"/>
        <w:ind w:firstLine="540"/>
        <w:jc w:val="both"/>
      </w:pPr>
      <w:r>
        <w:rPr>
          <w:sz w:val="20"/>
        </w:rPr>
        <w:t xml:space="preserve">3. Увеличение ставок акцизов на различные виды подакцизной алкогольной продукции (вино, игристое вино, виноградосодержащие напитки, плодовые алкогольные напитки и ряд других), никотиносодержащей продукции (табак, табачные изделия, жидкости для электронных систем доставки никотина) и табачной продукции).</w:t>
      </w:r>
    </w:p>
    <w:p>
      <w:pPr>
        <w:pStyle w:val="0"/>
        <w:jc w:val="both"/>
      </w:pPr>
      <w:r>
        <w:rPr>
          <w:sz w:val="20"/>
        </w:rPr>
      </w:r>
    </w:p>
    <w:p>
      <w:pPr>
        <w:pStyle w:val="2"/>
        <w:outlineLvl w:val="1"/>
        <w:ind w:firstLine="540"/>
        <w:jc w:val="both"/>
      </w:pPr>
      <w:r>
        <w:rPr>
          <w:sz w:val="20"/>
        </w:rPr>
        <w:t xml:space="preserve">Налог на доходы физических лиц</w:t>
      </w:r>
    </w:p>
    <w:p>
      <w:pPr>
        <w:pStyle w:val="0"/>
        <w:spacing w:before="200" w:line-rule="auto"/>
        <w:ind w:firstLine="540"/>
        <w:jc w:val="both"/>
      </w:pPr>
      <w:r>
        <w:rPr>
          <w:sz w:val="20"/>
        </w:rPr>
        <w:t xml:space="preserve">1. Расширение сферы применения налоговой льготы, установленной для семей с детьми в отношении дохода от продажи жилого помещения при улучшении жилищных условий: льгота применяется не только при покупке, в частности, индивидуального жилого дома, но также при строительстве индивидуального жилого дома.</w:t>
      </w:r>
    </w:p>
    <w:p>
      <w:pPr>
        <w:pStyle w:val="0"/>
        <w:spacing w:before="200" w:line-rule="auto"/>
        <w:ind w:firstLine="540"/>
        <w:jc w:val="both"/>
      </w:pPr>
      <w:r>
        <w:rPr>
          <w:sz w:val="20"/>
        </w:rPr>
        <w:t xml:space="preserve">2. Установление возможности уменьшения доходов от продажи жилых помещений и транспортных средств, непосредственно использовавшихся в предпринимательской деятельности, на фактически произведенные и документально подтвержденные расходы на приобретение такого имущества для случаев, когда указанные доходы получены не в рамках осуществления предпринимательской деятельности.</w:t>
      </w:r>
    </w:p>
    <w:p>
      <w:pPr>
        <w:pStyle w:val="0"/>
        <w:spacing w:before="200" w:line-rule="auto"/>
        <w:ind w:firstLine="540"/>
        <w:jc w:val="both"/>
      </w:pPr>
      <w:r>
        <w:rPr>
          <w:sz w:val="20"/>
        </w:rPr>
        <w:t xml:space="preserve">3. Установление порядка определения расходов на приобретение доли участия в уставном капитале общества в случае, если доля участия приобретена налогоплательщиком в результате реорганизации другой организации.</w:t>
      </w:r>
    </w:p>
    <w:p>
      <w:pPr>
        <w:pStyle w:val="0"/>
        <w:spacing w:before="200" w:line-rule="auto"/>
        <w:ind w:firstLine="540"/>
        <w:jc w:val="both"/>
      </w:pPr>
      <w:r>
        <w:rPr>
          <w:sz w:val="20"/>
        </w:rPr>
        <w:t xml:space="preserve">4. Наделение налоговых агентов правом на уменьшение суммы дохода, полученного налогоплательщиком при продаже доли участия в уставном капитале общества, при выходе из участников общества, а также при получении имущества и имущественных прав при ликвидации организации на сумму расходов налогоплательщика на приобретение указанных имущественных прав.</w:t>
      </w:r>
    </w:p>
    <w:p>
      <w:pPr>
        <w:pStyle w:val="0"/>
        <w:spacing w:before="200" w:line-rule="auto"/>
        <w:ind w:firstLine="540"/>
        <w:jc w:val="both"/>
      </w:pPr>
      <w:r>
        <w:rPr>
          <w:sz w:val="20"/>
        </w:rPr>
        <w:t xml:space="preserve">5. В целях повышения определенности предлагается уточнить, что при исчислении налоговым агентом налога на доходы физических лиц в отношении доходов, не являющихся дивидендами, в расчет совокупности налоговых баз для целей применения налоговой ставки, установленной в отношении доходов, получаемых налоговыми резидентами Российской Федерации, не включается налоговая база по дивидендам.</w:t>
      </w:r>
    </w:p>
    <w:p>
      <w:pPr>
        <w:pStyle w:val="0"/>
        <w:spacing w:before="200" w:line-rule="auto"/>
        <w:ind w:firstLine="540"/>
        <w:jc w:val="both"/>
      </w:pPr>
      <w:r>
        <w:rPr>
          <w:sz w:val="20"/>
        </w:rPr>
        <w:t xml:space="preserve">6. В целях расширения круга лиц получателей вычетов предлагается уточнить, что при определении дохода налогоплательщика, исчисленного нарастающим итогом с начала налогового периода для целей предоставления стандартного налогового вычета на детей, учитываются только доходы, относящиеся к основной налоговой базе.</w:t>
      </w:r>
    </w:p>
    <w:p>
      <w:pPr>
        <w:pStyle w:val="0"/>
        <w:spacing w:before="200" w:line-rule="auto"/>
        <w:ind w:firstLine="540"/>
        <w:jc w:val="both"/>
      </w:pPr>
      <w:r>
        <w:rPr>
          <w:sz w:val="20"/>
        </w:rPr>
        <w:t xml:space="preserve">7. При определении налоговой базы по налогу на доходы физических лиц в отношении доходов в виде процентов по вкладам (остаткам на счетах) в банках исключается доход в виде процентов, рассчитанный как произведение одного миллиона рублей и ключевой ставки Банка России (далее - необлагаемый процентный доход). Предлагается дополнительно проработать вопрос об особенностях налогообложения вкладов со сроком действия более 1 года в целях возможности учета суммы необлагаемого процентного дохода, определенного в периодах, за которые начислены проценты по вкладу.</w:t>
      </w:r>
    </w:p>
    <w:p>
      <w:pPr>
        <w:pStyle w:val="0"/>
        <w:spacing w:before="200" w:line-rule="auto"/>
        <w:ind w:firstLine="540"/>
        <w:jc w:val="both"/>
      </w:pPr>
      <w:r>
        <w:rPr>
          <w:sz w:val="20"/>
        </w:rPr>
        <w:t xml:space="preserve">8. Совершенствование налогового стимулирования привлечения денежных средств физических лиц на финансовый рынок на долгосрочной основе, в том числе:</w:t>
      </w:r>
    </w:p>
    <w:p>
      <w:pPr>
        <w:pStyle w:val="0"/>
        <w:spacing w:before="200" w:line-rule="auto"/>
        <w:ind w:firstLine="540"/>
        <w:jc w:val="both"/>
      </w:pPr>
      <w:r>
        <w:rPr>
          <w:sz w:val="20"/>
        </w:rPr>
        <w:t xml:space="preserve">- предоставление в качестве налоговых стимулов налогового вычета по налогу на доходы физических лиц в размере внесенных средств на индивидуальные инвестиционные счета нового типа и (или) на формирование негосударственной пенсии и (или) по договорам долгосрочных сбережений с учетом общего ограничения в размере 400 тыс. рублей за налоговый период;</w:t>
      </w:r>
    </w:p>
    <w:p>
      <w:pPr>
        <w:pStyle w:val="0"/>
        <w:spacing w:before="200" w:line-rule="auto"/>
        <w:ind w:firstLine="540"/>
        <w:jc w:val="both"/>
      </w:pPr>
      <w:r>
        <w:rPr>
          <w:sz w:val="20"/>
        </w:rPr>
        <w:t xml:space="preserve">- освобождение от налогообложения полученного финансового результата по соответствующим финансовым инструментам (продуктам) с установлением предельной величины такого освобождения;</w:t>
      </w:r>
    </w:p>
    <w:p>
      <w:pPr>
        <w:pStyle w:val="0"/>
        <w:spacing w:before="200" w:line-rule="auto"/>
        <w:ind w:firstLine="540"/>
        <w:jc w:val="both"/>
      </w:pPr>
      <w:r>
        <w:rPr>
          <w:sz w:val="20"/>
        </w:rPr>
        <w:t xml:space="preserve">- сохранение права на налоговые льготы при возврате денежных средств ранее 10 летнего периода в случае оплаты дорогостоящего лечения.</w:t>
      </w:r>
    </w:p>
    <w:p>
      <w:pPr>
        <w:pStyle w:val="0"/>
        <w:spacing w:before="200" w:line-rule="auto"/>
        <w:ind w:firstLine="540"/>
        <w:jc w:val="both"/>
      </w:pPr>
      <w:r>
        <w:rPr>
          <w:sz w:val="20"/>
        </w:rPr>
        <w:t xml:space="preserve">9. В целях налогового администрирования предлагается обязать налоговых агентов отражать в документе, содержащем сведения о доходах физических лиц, отдельные виды доходов, освобождаемые от налогообложения (в настоящее время не указываются).</w:t>
      </w:r>
    </w:p>
    <w:p>
      <w:pPr>
        <w:pStyle w:val="0"/>
        <w:jc w:val="both"/>
      </w:pPr>
      <w:r>
        <w:rPr>
          <w:sz w:val="20"/>
        </w:rPr>
      </w:r>
    </w:p>
    <w:p>
      <w:pPr>
        <w:pStyle w:val="2"/>
        <w:outlineLvl w:val="1"/>
        <w:ind w:firstLine="540"/>
        <w:jc w:val="both"/>
      </w:pPr>
      <w:r>
        <w:rPr>
          <w:sz w:val="20"/>
        </w:rPr>
        <w:t xml:space="preserve">Налог на прибыль организаций</w:t>
      </w:r>
    </w:p>
    <w:p>
      <w:pPr>
        <w:pStyle w:val="0"/>
        <w:spacing w:before="200" w:line-rule="auto"/>
        <w:ind w:firstLine="540"/>
        <w:jc w:val="both"/>
      </w:pPr>
      <w:r>
        <w:rPr>
          <w:sz w:val="20"/>
        </w:rPr>
        <w:t xml:space="preserve">1. Для применения нулевой ставки по налогу на прибыль организаций при реализации акций (долей участия) в целях упрощения администрирования (по аналогии с налогообложением доходов от источников в Российской Федерации) исключить требования о выполнении условия о составе активов эмитента (не более 50% недвижимого имущества) для операций по реализации обращающихся ценных бумаг.</w:t>
      </w:r>
    </w:p>
    <w:p>
      <w:pPr>
        <w:pStyle w:val="0"/>
        <w:spacing w:before="200" w:line-rule="auto"/>
        <w:ind w:firstLine="540"/>
        <w:jc w:val="both"/>
      </w:pPr>
      <w:r>
        <w:rPr>
          <w:sz w:val="20"/>
        </w:rPr>
        <w:t xml:space="preserve">2. Зачисление сумм налога на прибыль организаций, исчисленных с прибыли, полученной от реализации налогоплательщиками акций (долей участия в уставном капитале) дочерних организаций, осуществляющих экспорт природного газа в сжиженном состоянии, в полном объеме в федеральный бюджет.</w:t>
      </w:r>
    </w:p>
    <w:p>
      <w:pPr>
        <w:pStyle w:val="0"/>
        <w:spacing w:before="200" w:line-rule="auto"/>
        <w:ind w:firstLine="540"/>
        <w:jc w:val="both"/>
      </w:pPr>
      <w:r>
        <w:rPr>
          <w:sz w:val="20"/>
        </w:rPr>
        <w:t xml:space="preserve">3. Во исполнение </w:t>
      </w:r>
      <w:hyperlink w:history="0" r:id="rId36" w:tooltip="Указ Президента РФ от 08.08.2023 N 585 &quot;О приостановлении Российской Федерацией действия отдельных положений международных договоров Российской Федерации по вопросам налогообложения&quot; {КонсультантПлюс}">
        <w:r>
          <w:rPr>
            <w:sz w:val="20"/>
            <w:color w:val="0000ff"/>
          </w:rPr>
          <w:t xml:space="preserve">подпункта 2 пункта 3</w:t>
        </w:r>
      </w:hyperlink>
      <w:r>
        <w:rPr>
          <w:sz w:val="20"/>
        </w:rPr>
        <w:t xml:space="preserve"> Указа Президента Российской Федерации от 08.08.2023 N 585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 Указ) с целью снижения влияния на экономику Российской Федерации последствий приостановления действия отдельных положений международных договоров Российской Федерации по вопросам налогообложения (далее - Договоры) предлагается установить освобождение от налогообложения налогом на прибыль организаций или пониженные ставки налога на прибыль организаций для следующих доходов, выплачиваемых иностранным компаниям, расположенными в иностранных государствах, в отношении которых ранее применялось освобождение от налогообложения у источника или пониженная ставка налога у источника согласно Договорам, действие которых приостановлено Указом:</w:t>
      </w:r>
    </w:p>
    <w:p>
      <w:pPr>
        <w:pStyle w:val="0"/>
        <w:spacing w:before="200" w:line-rule="auto"/>
        <w:ind w:firstLine="540"/>
        <w:jc w:val="both"/>
      </w:pPr>
      <w:r>
        <w:rPr>
          <w:sz w:val="20"/>
        </w:rPr>
        <w:t xml:space="preserve">- процентных доходов, выплачиваемых экспортно-кредитным агентствам, организациям, осуществляющим банковскую деятельность в соответствии с личным законом,</w:t>
      </w:r>
    </w:p>
    <w:p>
      <w:pPr>
        <w:pStyle w:val="0"/>
        <w:spacing w:before="200" w:line-rule="auto"/>
        <w:ind w:firstLine="540"/>
        <w:jc w:val="both"/>
      </w:pPr>
      <w:r>
        <w:rPr>
          <w:sz w:val="20"/>
        </w:rPr>
        <w:t xml:space="preserve">- доходов по договорам лизинга воздушных судов (включая вспомогательные силовые установки и (или) авиационные двигатели), зарегистрированных или подлежащих регистрации в Государственном реестре гражданских воздушных судов Российской Федерации, заключенным до 05.03.2022,</w:t>
      </w:r>
    </w:p>
    <w:p>
      <w:pPr>
        <w:pStyle w:val="0"/>
        <w:spacing w:before="200" w:line-rule="auto"/>
        <w:ind w:firstLine="540"/>
        <w:jc w:val="both"/>
      </w:pPr>
      <w:r>
        <w:rPr>
          <w:sz w:val="20"/>
        </w:rPr>
        <w:t xml:space="preserve">- доходов по договорам об урегулировании страховых и (или) претензионных требований, связанных с заключенными с иностранными компаниями - лизингодателями до 05.03.2022 договорами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 не являющейся взаимозависимой с указанными иностранными организациями,</w:t>
      </w:r>
    </w:p>
    <w:p>
      <w:pPr>
        <w:pStyle w:val="0"/>
        <w:spacing w:before="200" w:line-rule="auto"/>
        <w:ind w:firstLine="540"/>
        <w:jc w:val="both"/>
      </w:pPr>
      <w:r>
        <w:rPr>
          <w:sz w:val="20"/>
        </w:rPr>
        <w:t xml:space="preserve">- выплаты за предоставление права на трансляцию ведущих международных и иностранных спортивных событий, а также права пользования международным развлекательным и спортивным контентом</w:t>
      </w:r>
    </w:p>
    <w:p>
      <w:pPr>
        <w:pStyle w:val="0"/>
        <w:spacing w:before="200" w:line-rule="auto"/>
        <w:ind w:firstLine="540"/>
        <w:jc w:val="both"/>
      </w:pPr>
      <w:r>
        <w:rPr>
          <w:sz w:val="20"/>
        </w:rPr>
        <w:t xml:space="preserve">- лицензионные платежи по действующим лицензионным договорам за предоставление права пользования программным обеспечением и иными нематериальными активами, не имеющими аналогов на российском рынке,</w:t>
      </w:r>
    </w:p>
    <w:p>
      <w:pPr>
        <w:pStyle w:val="0"/>
        <w:spacing w:before="200" w:line-rule="auto"/>
        <w:ind w:firstLine="540"/>
        <w:jc w:val="both"/>
      </w:pPr>
      <w:r>
        <w:rPr>
          <w:sz w:val="20"/>
        </w:rPr>
        <w:t xml:space="preserve">- доходы от реализации морских судов, зарегистрированных в Российском международном реестре судов и находящихся на территории Российской Федерации. Предлагаемый порядок налогообложения применятся при условии подтверждения наличия у иностранных организаций фактического права на получаемый доход и подтверждения факта отсутствия взаимозависимости между российской организацией, выплачивающей доход и иностранной организацией - получателем дохода.</w:t>
      </w:r>
    </w:p>
    <w:p>
      <w:pPr>
        <w:pStyle w:val="0"/>
        <w:jc w:val="both"/>
      </w:pPr>
      <w:r>
        <w:rPr>
          <w:sz w:val="20"/>
        </w:rPr>
      </w:r>
    </w:p>
    <w:p>
      <w:pPr>
        <w:pStyle w:val="2"/>
        <w:outlineLvl w:val="1"/>
        <w:ind w:firstLine="540"/>
        <w:jc w:val="both"/>
      </w:pPr>
      <w:r>
        <w:rPr>
          <w:sz w:val="20"/>
        </w:rPr>
        <w:t xml:space="preserve">Налог на добычу полезных ископаемых и налог на дополнительный доход от добычи углеводородного сырья</w:t>
      </w:r>
    </w:p>
    <w:p>
      <w:pPr>
        <w:pStyle w:val="0"/>
        <w:spacing w:before="200" w:line-rule="auto"/>
        <w:ind w:firstLine="540"/>
        <w:jc w:val="both"/>
      </w:pPr>
      <w:r>
        <w:rPr>
          <w:sz w:val="20"/>
        </w:rPr>
        <w:t xml:space="preserve">1. Введение особенностей налогообложения добычи драгоценных металлов, содержащихся в качестве попутных компонентов в многокомпонентных комплексных рудах и рудах цветных металлов, в целях рационального недропользования и обеспечения объективной оценки стоимости добытых руд при исчислении НДПИ.</w:t>
      </w:r>
    </w:p>
    <w:p>
      <w:pPr>
        <w:pStyle w:val="0"/>
        <w:spacing w:before="200" w:line-rule="auto"/>
        <w:ind w:firstLine="540"/>
        <w:jc w:val="both"/>
      </w:pPr>
      <w:r>
        <w:rPr>
          <w:sz w:val="20"/>
        </w:rPr>
        <w:t xml:space="preserve">2. Установление особенностей исчисления НДПИ в отношении концентратов, содержащих одновременно золото, серебро и металлы платиновой группы, которые позволят устранить правовую неопределенность, связанную с определением величины рентного коэффициента К</w:t>
      </w:r>
      <w:r>
        <w:rPr>
          <w:sz w:val="20"/>
          <w:vertAlign w:val="subscript"/>
        </w:rPr>
        <w:t xml:space="preserve">РЕНТА</w:t>
      </w:r>
      <w:r>
        <w:rPr>
          <w:sz w:val="20"/>
        </w:rPr>
        <w:t xml:space="preserve"> при добыче указанных драгоценных металлов.</w:t>
      </w:r>
    </w:p>
    <w:p>
      <w:pPr>
        <w:pStyle w:val="0"/>
        <w:spacing w:before="200" w:line-rule="auto"/>
        <w:ind w:firstLine="540"/>
        <w:jc w:val="both"/>
      </w:pPr>
      <w:r>
        <w:rPr>
          <w:sz w:val="20"/>
        </w:rPr>
        <w:t xml:space="preserve">3. Увеличение налога на добычу полезных ископаемых в размере суммы дополнительных доходов газоснабжающих организаций, связанных с опережающим ростом тарифов на природный газ.</w:t>
      </w:r>
    </w:p>
    <w:p>
      <w:pPr>
        <w:pStyle w:val="0"/>
        <w:spacing w:before="200" w:line-rule="auto"/>
        <w:ind w:firstLine="540"/>
        <w:jc w:val="both"/>
      </w:pPr>
      <w:r>
        <w:rPr>
          <w:sz w:val="20"/>
        </w:rPr>
        <w:t xml:space="preserve">4. Уточнение "дисконтов" к цене нефти "North Sea Dated" на рынке северного моря (Brent), используемых при определении налоговой ставки по НДПИ (не более 15 долларов США за баррель в 2024 г., 10 - в 2025 г. и 6 - в 2026 г.)</w:t>
      </w:r>
    </w:p>
    <w:p>
      <w:pPr>
        <w:pStyle w:val="0"/>
        <w:jc w:val="both"/>
      </w:pPr>
      <w:r>
        <w:rPr>
          <w:sz w:val="20"/>
        </w:rPr>
      </w:r>
    </w:p>
    <w:p>
      <w:pPr>
        <w:pStyle w:val="2"/>
        <w:outlineLvl w:val="1"/>
        <w:ind w:firstLine="540"/>
        <w:jc w:val="both"/>
      </w:pPr>
      <w:r>
        <w:rPr>
          <w:sz w:val="20"/>
        </w:rPr>
        <w:t xml:space="preserve">Специальные налоговые режимы</w:t>
      </w:r>
    </w:p>
    <w:p>
      <w:pPr>
        <w:pStyle w:val="0"/>
        <w:spacing w:before="200" w:line-rule="auto"/>
        <w:ind w:firstLine="540"/>
        <w:jc w:val="both"/>
      </w:pPr>
      <w:r>
        <w:rPr>
          <w:sz w:val="20"/>
        </w:rPr>
        <w:t xml:space="preserve">1. В целях снижения нагрузки на налогоплательщиков предлагается уточнить переходные положения в части учета в составе расходов налога на прибыль организаций стоимости товаров, приобретенных и оплаченных не ранее чем, за 3 года предшествующих году перехода с единого сельскохозяйственного налога или упрощенной системы налогообложения, но реализованных после перехода на общую систему налогообложения.</w:t>
      </w:r>
    </w:p>
    <w:p>
      <w:pPr>
        <w:pStyle w:val="0"/>
        <w:spacing w:before="200" w:line-rule="auto"/>
        <w:ind w:firstLine="540"/>
        <w:jc w:val="both"/>
      </w:pPr>
      <w:r>
        <w:rPr>
          <w:sz w:val="20"/>
        </w:rPr>
        <w:t xml:space="preserve">2. С учетом сложившейся судебной практики и в целях исключения двоякого толкования предлагается уточнить положения о возможности применения упрощенной системы налогообложения (далее - УСН) нотариусами, занимающимися частной практикой, адвокатами, учредившими адвокатские кабинеты, а также иные формы адвокатских образований, в случае осуществления иных видов деятельности, не связанных с нотариальной (адвокатской) деятельностью.</w:t>
      </w:r>
    </w:p>
    <w:p>
      <w:pPr>
        <w:pStyle w:val="0"/>
        <w:spacing w:before="200" w:line-rule="auto"/>
        <w:ind w:firstLine="540"/>
        <w:jc w:val="both"/>
      </w:pPr>
      <w:r>
        <w:rPr>
          <w:sz w:val="20"/>
        </w:rPr>
        <w:t xml:space="preserve">3. Установление возможности индивидуальным предпринимателям представлять уточненное заявление на получение патента в связи с изменением количества физических показателей в целях перерасчета суммы налога по патенту.</w:t>
      </w:r>
    </w:p>
    <w:p>
      <w:pPr>
        <w:pStyle w:val="0"/>
        <w:spacing w:before="200" w:line-rule="auto"/>
        <w:ind w:firstLine="540"/>
        <w:jc w:val="both"/>
      </w:pPr>
      <w:r>
        <w:rPr>
          <w:sz w:val="20"/>
        </w:rPr>
        <w:t xml:space="preserve">4. Для снижения административной нагрузки на налогоплательщиков предлагается предоставить возможность физическому лицу самостоятельно определять дату постановки на учет (снятия с учета) в качестве налогоплательщика налога на профессиональный доход (далее - НПД) посредством проставления в заявлении о постановке на учет (снятии с учета) даты, с которой физическое лицо начинает применять режим НПД или завершает его применение, в частности, в связи с переходом на иной специальный налоговый режим.</w:t>
      </w:r>
    </w:p>
    <w:p>
      <w:pPr>
        <w:pStyle w:val="0"/>
        <w:spacing w:before="200" w:line-rule="auto"/>
        <w:ind w:firstLine="540"/>
        <w:jc w:val="both"/>
      </w:pPr>
      <w:r>
        <w:rPr>
          <w:sz w:val="20"/>
        </w:rPr>
        <w:t xml:space="preserve">5. Исключение привлечения налогоплательщиков НПД к ответственности в случае самостоятельного выявления и устранения ими нарушения порядка и (или) сроков передачи сведений о произведенных расчетах или непредставления таких сведений.</w:t>
      </w:r>
    </w:p>
    <w:p>
      <w:pPr>
        <w:pStyle w:val="0"/>
        <w:spacing w:before="200" w:line-rule="auto"/>
        <w:ind w:firstLine="540"/>
        <w:jc w:val="both"/>
      </w:pPr>
      <w:r>
        <w:rPr>
          <w:sz w:val="20"/>
        </w:rPr>
        <w:t xml:space="preserve">6. В целях расширения числа операторов, участвующих в постановке на налоговый учет (снятия с учета) плательщиков НПД и осуществляющих информационный обмен с налоговыми органами предлагается предоставить возможность применения к Евразийскому банку развития положений норм Федерального </w:t>
      </w:r>
      <w:hyperlink w:history="0" r:id="rId37" w:tooltip="Федеральный закон от 27.11.2018 N 422-ФЗ (ред. от 08.08.2024) &quot;О проведении эксперимента по установлению специального налогового режима &quot;Налог на профессиональный доход&quot; {КонсультантПлюс}">
        <w:r>
          <w:rPr>
            <w:sz w:val="20"/>
            <w:color w:val="0000ff"/>
          </w:rPr>
          <w:t xml:space="preserve">закона</w:t>
        </w:r>
      </w:hyperlink>
      <w:r>
        <w:rPr>
          <w:sz w:val="20"/>
        </w:rPr>
        <w:t xml:space="preserve"> от 27.11.2018 N 422-ФЗ "О проведении эксперимента по установлению специального налогового режима "Налог на профессиональный доход" (далее - Закон N 422-ФЗ) как для кредитной организации, в том числе возможности осуществления информационного обмена для целей применения </w:t>
      </w:r>
      <w:hyperlink w:history="0" r:id="rId38" w:tooltip="Федеральный закон от 27.11.2018 N 422-ФЗ (ред. от 08.08.2024) &quot;О проведении эксперимента по установлению специального налогового режима &quot;Налог на профессиональный доход&quot; {КонсультантПлюс}">
        <w:r>
          <w:rPr>
            <w:sz w:val="20"/>
            <w:color w:val="0000ff"/>
          </w:rPr>
          <w:t xml:space="preserve">Закона</w:t>
        </w:r>
      </w:hyperlink>
      <w:r>
        <w:rPr>
          <w:sz w:val="20"/>
        </w:rPr>
        <w:t xml:space="preserve"> N 422-ФЗ.</w:t>
      </w:r>
    </w:p>
    <w:p>
      <w:pPr>
        <w:pStyle w:val="0"/>
        <w:jc w:val="both"/>
      </w:pPr>
      <w:r>
        <w:rPr>
          <w:sz w:val="20"/>
        </w:rPr>
      </w:r>
    </w:p>
    <w:p>
      <w:pPr>
        <w:pStyle w:val="2"/>
        <w:outlineLvl w:val="1"/>
        <w:ind w:firstLine="540"/>
        <w:jc w:val="both"/>
      </w:pPr>
      <w:r>
        <w:rPr>
          <w:sz w:val="20"/>
        </w:rPr>
        <w:t xml:space="preserve">Налог на имущество</w:t>
      </w:r>
    </w:p>
    <w:p>
      <w:pPr>
        <w:pStyle w:val="0"/>
        <w:spacing w:before="200" w:line-rule="auto"/>
        <w:ind w:firstLine="540"/>
        <w:jc w:val="both"/>
      </w:pPr>
      <w:r>
        <w:rPr>
          <w:sz w:val="20"/>
        </w:rPr>
        <w:t xml:space="preserve">Уточнение определения понятия объекта бытового обслуживания в целях применения положений </w:t>
      </w:r>
      <w:hyperlink w:history="0" r:id="rId39"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статьи 378.2</w:t>
        </w:r>
      </w:hyperlink>
      <w:r>
        <w:rPr>
          <w:sz w:val="20"/>
        </w:rPr>
        <w:t xml:space="preserve"> Налогового кодекса Российской Федерации как объекта недвижимости, используемого для оказания бытовых услуг физическим и (или) юридическим лицам по перечню кодов </w:t>
      </w:r>
      <w:hyperlink w:history="0" r:id="rId4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и </w:t>
      </w:r>
      <w:hyperlink w:history="0" r:id="rId41" w:tooltip="&quot;ОК 034-2014 (КПЕС 2008). Общероссийский классификатор продукции по видам экономической деятельности&quot; (утв. Приказом Росстандарта от 31.01.2014 N 14-ст) (ред. от 28.06.2024) (с изм. и доп., вступ. в силу с 01.07.2024) {КонсультантПлюс}">
        <w:r>
          <w:rPr>
            <w:sz w:val="20"/>
            <w:color w:val="0000ff"/>
          </w:rPr>
          <w:t xml:space="preserve">ОКПД</w:t>
        </w:r>
      </w:hyperlink>
      <w:r>
        <w:rPr>
          <w:sz w:val="20"/>
        </w:rPr>
        <w:t xml:space="preserve">, что позволит уйти от сложившейся в настоящее время неоднозначной правоприменительной практики в определении объектов бытового обслуживания.</w:t>
      </w:r>
    </w:p>
    <w:p>
      <w:pPr>
        <w:pStyle w:val="0"/>
        <w:jc w:val="both"/>
      </w:pPr>
      <w:r>
        <w:rPr>
          <w:sz w:val="20"/>
        </w:rPr>
      </w:r>
    </w:p>
    <w:p>
      <w:pPr>
        <w:pStyle w:val="2"/>
        <w:outlineLvl w:val="1"/>
        <w:ind w:firstLine="540"/>
        <w:jc w:val="both"/>
      </w:pPr>
      <w:r>
        <w:rPr>
          <w:sz w:val="20"/>
        </w:rPr>
        <w:t xml:space="preserve">Страховые взносы</w:t>
      </w:r>
    </w:p>
    <w:p>
      <w:pPr>
        <w:pStyle w:val="0"/>
        <w:spacing w:before="200" w:line-rule="auto"/>
        <w:ind w:firstLine="540"/>
        <w:jc w:val="both"/>
      </w:pPr>
      <w:r>
        <w:rPr>
          <w:sz w:val="20"/>
        </w:rPr>
        <w:t xml:space="preserve">1. Уточнение порядка определения размера дохода для целей уплаты страховых взносов индивидуальными предпринимателями, адвокатами, нотариусами и иными лицами, занимающимися частной практикой, уплачивающими налог на доходы физических лиц.</w:t>
      </w:r>
    </w:p>
    <w:p>
      <w:pPr>
        <w:pStyle w:val="0"/>
        <w:spacing w:before="200" w:line-rule="auto"/>
        <w:ind w:firstLine="540"/>
        <w:jc w:val="both"/>
      </w:pPr>
      <w:r>
        <w:rPr>
          <w:sz w:val="20"/>
        </w:rPr>
        <w:t xml:space="preserve">2. Уточнение порядка, формы и сроков направления в налоговые органы информации, подтверждающей право на освобождение плательщиков страховых взносов от уплаты страховых взносов в совокупном фиксированном размере за периоды, в которых ими не осуществлялась деятельность.</w:t>
      </w:r>
    </w:p>
    <w:p>
      <w:pPr>
        <w:pStyle w:val="0"/>
        <w:spacing w:before="200" w:line-rule="auto"/>
        <w:ind w:firstLine="540"/>
        <w:jc w:val="both"/>
      </w:pPr>
      <w:r>
        <w:rPr>
          <w:sz w:val="20"/>
        </w:rPr>
        <w:t xml:space="preserve">3. Установление для индивидуальных предпринимателей, адвокатов, нотариусов и иных лиц, занимающихся частной практикой, совокупных фиксированных размеров страховых взносов на обязательное пенсионное страхование, обязательное медицинское страхование на 2025 год и последующие годы.</w:t>
      </w:r>
    </w:p>
    <w:p>
      <w:pPr>
        <w:pStyle w:val="0"/>
        <w:jc w:val="both"/>
      </w:pPr>
      <w:r>
        <w:rPr>
          <w:sz w:val="20"/>
        </w:rPr>
      </w:r>
    </w:p>
    <w:p>
      <w:pPr>
        <w:pStyle w:val="2"/>
        <w:outlineLvl w:val="1"/>
        <w:ind w:firstLine="540"/>
        <w:jc w:val="both"/>
      </w:pPr>
      <w:r>
        <w:rPr>
          <w:sz w:val="20"/>
        </w:rPr>
        <w:t xml:space="preserve">Трансфертное ценообразование</w:t>
      </w:r>
    </w:p>
    <w:p>
      <w:pPr>
        <w:pStyle w:val="0"/>
        <w:spacing w:before="200" w:line-rule="auto"/>
        <w:ind w:firstLine="540"/>
        <w:jc w:val="both"/>
      </w:pPr>
      <w:r>
        <w:rPr>
          <w:sz w:val="20"/>
        </w:rPr>
        <w:t xml:space="preserve">1. Предлагается предусмотреть возможность использования медианного значения интервала рыночных цен (интервала рентабельности) при определении для целей налогообложения доходов (прибыли, выручки) в сделках между взаимозависимыми лицами. Введение такой возможности обеспечит справедливое определение цен в сделках между взаимозависимыми лицами для целей налогообложения, а также расширит возможности для достижения взаимного соглашения между федеральным органом исполнительной власти, уполномоченным по контролю и надзору в области налогов и сборов, и уполномоченным органом исполнительной власти иностранного государства, при заключении соглашения о ценообразовании для целей налогообложения.</w:t>
      </w:r>
    </w:p>
    <w:p>
      <w:pPr>
        <w:pStyle w:val="0"/>
        <w:spacing w:before="200" w:line-rule="auto"/>
        <w:ind w:firstLine="540"/>
        <w:jc w:val="both"/>
      </w:pPr>
      <w:r>
        <w:rPr>
          <w:sz w:val="20"/>
        </w:rPr>
        <w:t xml:space="preserve">2. Предлагается распространить внесудебный порядок взыскания налога на случаи, когда обязанность по уплате налога возникла в результате проверки полноты исчисления и уплаты налогов в связи с совершением сделок между взаимозависимыми лицами. Применяемый в настоящее время в указанных случаях судебный порядок взыскания налога введен в 2012 году одновременно с дополнением Налогового кодекса Российской Федерации </w:t>
      </w:r>
      <w:hyperlink w:history="0" r:id="rId42"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разделом V.1</w:t>
        </w:r>
      </w:hyperlink>
      <w:r>
        <w:rPr>
          <w:sz w:val="20"/>
        </w:rPr>
        <w:t xml:space="preserve"> в связи с новизной и сложностью положений этого раздела. Однако с учетом результатов анализа правоприменительной практики, которые свидетельствуют об успешной адаптации налогоплательщиков и налоговых органов к положениям </w:t>
      </w:r>
      <w:hyperlink w:history="0" r:id="rId43"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раздела V.1</w:t>
        </w:r>
      </w:hyperlink>
      <w:r>
        <w:rPr>
          <w:sz w:val="20"/>
        </w:rPr>
        <w:t xml:space="preserve"> Налогового кодекса Российской Федерации, дальнейшее применение в указанных случаях судебного порядка взыскания налога нецелесообразно.</w:t>
      </w:r>
    </w:p>
    <w:p>
      <w:pPr>
        <w:pStyle w:val="0"/>
        <w:jc w:val="both"/>
      </w:pPr>
      <w:r>
        <w:rPr>
          <w:sz w:val="20"/>
        </w:rPr>
      </w:r>
    </w:p>
    <w:p>
      <w:pPr>
        <w:pStyle w:val="2"/>
        <w:outlineLvl w:val="1"/>
        <w:ind w:firstLine="540"/>
        <w:jc w:val="both"/>
      </w:pPr>
      <w:r>
        <w:rPr>
          <w:sz w:val="20"/>
        </w:rPr>
        <w:t xml:space="preserve">Прочее</w:t>
      </w:r>
    </w:p>
    <w:p>
      <w:pPr>
        <w:pStyle w:val="0"/>
        <w:spacing w:before="200" w:line-rule="auto"/>
        <w:ind w:firstLine="540"/>
        <w:jc w:val="both"/>
      </w:pPr>
      <w:r>
        <w:rPr>
          <w:sz w:val="20"/>
        </w:rPr>
        <w:t xml:space="preserve">Кроме того, в законодательство Российской Федерации о налогах и сборах будут вноситься отдельные технические правки, а также поправки, связанные с уточнением терминологии, в целях устранения противоречий с учетом правоприменительной практики и изменений законодательства Российской Федерации.</w:t>
      </w:r>
    </w:p>
    <w:p>
      <w:pPr>
        <w:pStyle w:val="0"/>
        <w:jc w:val="both"/>
      </w:pPr>
      <w:r>
        <w:rPr>
          <w:sz w:val="20"/>
        </w:rPr>
      </w:r>
    </w:p>
    <w:p>
      <w:pPr>
        <w:pStyle w:val="2"/>
        <w:outlineLvl w:val="1"/>
        <w:ind w:firstLine="540"/>
        <w:jc w:val="both"/>
      </w:pPr>
      <w:r>
        <w:rPr>
          <w:sz w:val="20"/>
        </w:rPr>
        <w:t xml:space="preserve">Повышение эффективности налоговых расходов Российской Федерации</w:t>
      </w:r>
    </w:p>
    <w:p>
      <w:pPr>
        <w:pStyle w:val="0"/>
        <w:spacing w:before="200" w:line-rule="auto"/>
        <w:ind w:firstLine="540"/>
        <w:jc w:val="both"/>
      </w:pPr>
      <w:r>
        <w:rPr>
          <w:sz w:val="20"/>
        </w:rPr>
        <w:t xml:space="preserve">В рамках ежегодной работы по повышению эффективности налоговых расходов Российской Федерации будут подготовлены предложения об уточнении (отмене) налоговых льгот, обуславливающих налоговые расходы Российской Федерации, не соответствующих критериям целесообразности и результативности по итогам оценки, проведенной кураторами налоговых расходов. При необходимости будут вырабатываться предложения по выработке альтернативных мер поддержки в отношении налоговых расходов с отрицательными показателями бюджетной эффективности (недостаточно эффективно работающими налоговыми льготами).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3</w:t>
      </w:r>
    </w:p>
    <w:p>
      <w:pPr>
        <w:pStyle w:val="0"/>
        <w:jc w:val="both"/>
      </w:pPr>
      <w:r>
        <w:rPr>
          <w:sz w:val="20"/>
        </w:rPr>
      </w:r>
    </w:p>
    <w:p>
      <w:pPr>
        <w:pStyle w:val="2"/>
        <w:jc w:val="center"/>
      </w:pPr>
      <w:r>
        <w:rPr>
          <w:sz w:val="20"/>
        </w:rPr>
        <w:t xml:space="preserve">ИТОГИ</w:t>
      </w:r>
    </w:p>
    <w:p>
      <w:pPr>
        <w:pStyle w:val="2"/>
        <w:jc w:val="center"/>
      </w:pPr>
      <w:r>
        <w:rPr>
          <w:sz w:val="20"/>
        </w:rPr>
        <w:t xml:space="preserve">РАССМОТРЕНИЯ АКТУАЛЬНЫХ ВОПРОСОВ НАЛОГООБЛОЖЕНИЯ</w:t>
      </w:r>
    </w:p>
    <w:p>
      <w:pPr>
        <w:pStyle w:val="2"/>
        <w:jc w:val="center"/>
      </w:pPr>
      <w:r>
        <w:rPr>
          <w:sz w:val="20"/>
        </w:rPr>
        <w:t xml:space="preserve">НА ПЕРСПЕКТИВУ В ОСНОВНЫХ НАПРАВЛЕНИЯХ НАЛОГОВОЙ ПОЛИТИКИ</w:t>
      </w:r>
    </w:p>
    <w:p>
      <w:pPr>
        <w:pStyle w:val="2"/>
        <w:jc w:val="center"/>
      </w:pPr>
      <w:r>
        <w:rPr>
          <w:sz w:val="20"/>
        </w:rPr>
        <w:t xml:space="preserve">НА 2023 ГОД И НА ПЛАНОВЫЙ ПЕРИОД 2024 И 2025 ГОДОВ</w:t>
      </w:r>
    </w:p>
    <w:p>
      <w:pPr>
        <w:pStyle w:val="0"/>
        <w:jc w:val="both"/>
      </w:pPr>
      <w:r>
        <w:rPr>
          <w:sz w:val="20"/>
        </w:rPr>
      </w:r>
    </w:p>
    <w:p>
      <w:pPr>
        <w:pStyle w:val="2"/>
        <w:outlineLvl w:val="1"/>
        <w:ind w:firstLine="540"/>
        <w:jc w:val="both"/>
      </w:pPr>
      <w:r>
        <w:rPr>
          <w:sz w:val="20"/>
        </w:rPr>
        <w:t xml:space="preserve">Налог на прибыль организаций</w:t>
      </w:r>
    </w:p>
    <w:p>
      <w:pPr>
        <w:pStyle w:val="0"/>
        <w:spacing w:before="200" w:line-rule="auto"/>
        <w:ind w:firstLine="540"/>
        <w:jc w:val="both"/>
      </w:pPr>
      <w:r>
        <w:rPr>
          <w:sz w:val="20"/>
        </w:rPr>
        <w:t xml:space="preserve">Для приведения в соответствие с текущим уровнем цен затрат сотрудников, использующих личный транспорт в служебных целях, предлагается оценить необходимость пересмотра норм расходов организаций на выплату компенсации за использование для служебных поездок личных легковых автомобилей и мотоциклов, учитываемых для целей налогообложения.</w:t>
      </w:r>
    </w:p>
    <w:p>
      <w:pPr>
        <w:pStyle w:val="0"/>
        <w:spacing w:before="200" w:line-rule="auto"/>
        <w:ind w:firstLine="540"/>
        <w:jc w:val="both"/>
      </w:pPr>
      <w:r>
        <w:rPr>
          <w:sz w:val="20"/>
        </w:rPr>
        <w:t xml:space="preserve">Итог рассмотрения:</w:t>
      </w:r>
    </w:p>
    <w:p>
      <w:pPr>
        <w:pStyle w:val="0"/>
        <w:spacing w:before="200" w:line-rule="auto"/>
        <w:ind w:firstLine="540"/>
        <w:jc w:val="both"/>
      </w:pPr>
      <w:r>
        <w:rPr>
          <w:sz w:val="20"/>
        </w:rPr>
        <w:t xml:space="preserve">Учитывая инфляционные процессы, признано целесообразным привести действующие нормы расходов организаций на выплату компенсации за использование для служебных поездок личных легковых автомобилей и мотоциклов для целей налога на прибыль организаций к предельным размерам компенсации за использование личного транспорта в служебных целях, установленных для федеральных государственных гражданских служащих (</w:t>
      </w:r>
      <w:hyperlink w:history="0" r:id="rId44" w:tooltip="Постановление Правительства РФ от 02.07.2013 N 563 &quot;О порядке выплаты компенсации за использование федеральными государственными гражданскими служащими личного транспорта (легковые автомобили и мотоциклы) в служебных целях и возмещения расходов, связанных с его использованием&quot; (вместе с &quot;Правилами выплаты компенсации за использование федеральными государственными гражданскими служащими личного транспорта (легковые автомобили и мотоциклы) в служебных целях и возмещения расходов, связанных с его использование {КонсультантПлюс}">
        <w:r>
          <w:rPr>
            <w:sz w:val="20"/>
            <w:color w:val="0000ff"/>
          </w:rPr>
          <w:t xml:space="preserve">постановление</w:t>
        </w:r>
      </w:hyperlink>
      <w:r>
        <w:rPr>
          <w:sz w:val="20"/>
        </w:rPr>
        <w:t xml:space="preserve"> Правительства Российской Федерации от 02.07.2013 N 563).</w:t>
      </w:r>
    </w:p>
    <w:p>
      <w:pPr>
        <w:pStyle w:val="0"/>
        <w:jc w:val="both"/>
      </w:pPr>
      <w:r>
        <w:rPr>
          <w:sz w:val="20"/>
        </w:rPr>
      </w:r>
    </w:p>
    <w:p>
      <w:pPr>
        <w:pStyle w:val="2"/>
        <w:outlineLvl w:val="1"/>
        <w:ind w:firstLine="540"/>
        <w:jc w:val="both"/>
      </w:pPr>
      <w:r>
        <w:rPr>
          <w:sz w:val="20"/>
        </w:rPr>
        <w:t xml:space="preserve">Налог на добавленную стоимость</w:t>
      </w:r>
    </w:p>
    <w:p>
      <w:pPr>
        <w:pStyle w:val="0"/>
        <w:spacing w:before="200" w:line-rule="auto"/>
        <w:ind w:firstLine="540"/>
        <w:jc w:val="both"/>
      </w:pPr>
      <w:r>
        <w:rPr>
          <w:sz w:val="20"/>
        </w:rPr>
        <w:t xml:space="preserve">1. Проработка в рамках Евразийской экономической комиссии проекта Протокола о внесении изменений в </w:t>
      </w:r>
      <w:hyperlink w:history="0" r:id="rId45"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w:t>
        </w:r>
      </w:hyperlink>
      <w:r>
        <w:rPr>
          <w:sz w:val="20"/>
        </w:rPr>
        <w:t xml:space="preserve"> о Евразийском экономическом союзе от 29 мая 2014 года в части порядка взимания косвенных налогов при электронной торговле товарами, реализуемыми физическим лицам, в целях урегулирования спорных вопросов, связанных с двойным налогообложением налогом на добавленную стоимость.</w:t>
      </w:r>
    </w:p>
    <w:p>
      <w:pPr>
        <w:pStyle w:val="0"/>
        <w:spacing w:before="200" w:line-rule="auto"/>
        <w:ind w:firstLine="540"/>
        <w:jc w:val="both"/>
      </w:pPr>
      <w:r>
        <w:rPr>
          <w:sz w:val="20"/>
        </w:rPr>
        <w:t xml:space="preserve">Итог рассмотрения:</w:t>
      </w:r>
    </w:p>
    <w:p>
      <w:pPr>
        <w:pStyle w:val="0"/>
        <w:spacing w:before="200" w:line-rule="auto"/>
        <w:ind w:firstLine="540"/>
        <w:jc w:val="both"/>
      </w:pPr>
      <w:r>
        <w:rPr>
          <w:sz w:val="20"/>
        </w:rPr>
        <w:t xml:space="preserve">Данное предложение требует дополнительной проработки и его рассмотрение будет осуществляться также и в 2023 году.</w:t>
      </w:r>
    </w:p>
    <w:p>
      <w:pPr>
        <w:pStyle w:val="0"/>
        <w:spacing w:before="200" w:line-rule="auto"/>
        <w:ind w:firstLine="540"/>
        <w:jc w:val="both"/>
      </w:pPr>
      <w:r>
        <w:rPr>
          <w:sz w:val="20"/>
        </w:rPr>
        <w:t xml:space="preserve">2. Мониторинг мер поддержки налогоплательщиков, оказывающих услуги общественного питания, в случае их перехода на общую систему налогообложения в связи с ростом объема доходов, и "обеление" данной отрасли.</w:t>
      </w:r>
    </w:p>
    <w:p>
      <w:pPr>
        <w:pStyle w:val="0"/>
        <w:spacing w:before="200" w:line-rule="auto"/>
        <w:ind w:firstLine="540"/>
        <w:jc w:val="both"/>
      </w:pPr>
      <w:r>
        <w:rPr>
          <w:sz w:val="20"/>
        </w:rPr>
        <w:t xml:space="preserve">Итог рассмотрения:</w:t>
      </w:r>
    </w:p>
    <w:p>
      <w:pPr>
        <w:pStyle w:val="0"/>
        <w:spacing w:before="200" w:line-rule="auto"/>
        <w:ind w:firstLine="540"/>
        <w:jc w:val="both"/>
      </w:pPr>
      <w:r>
        <w:rPr>
          <w:sz w:val="20"/>
        </w:rPr>
        <w:t xml:space="preserve">В соответствии с Федеральным </w:t>
      </w:r>
      <w:hyperlink w:history="0" r:id="rId46"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02.07.2021 N 305-ФЗ с 2022 года налогоплательщики, оказывающие услуги общественного питания (далее - общепит) освобождаются от НДС. Кроме того, указанным федеральным </w:t>
      </w:r>
      <w:hyperlink w:history="0" r:id="rId47"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в целях отнесения к субъектам малого и среднего предпринимательства для отрасли общепита увеличено предельное значение среднесписочной численности работников с 250 человек до 1500 человек и предоставлена возможность применения ими пониженных тарифов страховых взносов (15%) (далее - льготы для общепита).</w:t>
      </w:r>
    </w:p>
    <w:p>
      <w:pPr>
        <w:pStyle w:val="0"/>
        <w:spacing w:before="200" w:line-rule="auto"/>
        <w:ind w:firstLine="540"/>
        <w:jc w:val="both"/>
      </w:pPr>
      <w:r>
        <w:rPr>
          <w:sz w:val="20"/>
        </w:rPr>
        <w:t xml:space="preserve">Минфином России совместно с ФНС России проводится мониторинг влияния льгот отдельно для общепита на ключевые показатели отрасли с использованием данных ФНС России и Росстата.</w:t>
      </w:r>
    </w:p>
    <w:p>
      <w:pPr>
        <w:pStyle w:val="0"/>
        <w:spacing w:before="200" w:line-rule="auto"/>
        <w:ind w:firstLine="540"/>
        <w:jc w:val="both"/>
      </w:pPr>
      <w:r>
        <w:rPr>
          <w:sz w:val="20"/>
        </w:rPr>
        <w:t xml:space="preserve">По данным Росстата в 2022 году в отрасли общепита осуществляли деятельность 180,7 тыс. организаций и ИП (к уровню 2021 года прирост на 4,6 тыс. единиц), общая среднесписочная численность работников составила 955,7 тыс. человек (к уровню 2021 года прирост на 13,1 тыс. человек), оборот общественного питания - 2,35 трлн рублей (к уровню 2021 года прирост на 418,7 млн рублей).</w:t>
      </w:r>
    </w:p>
    <w:p>
      <w:pPr>
        <w:pStyle w:val="0"/>
        <w:spacing w:before="200" w:line-rule="auto"/>
        <w:ind w:firstLine="540"/>
        <w:jc w:val="both"/>
      </w:pPr>
      <w:r>
        <w:rPr>
          <w:sz w:val="20"/>
        </w:rPr>
        <w:t xml:space="preserve">По данным ФНС России по 1 099 налогоплательщикам, применившим льготы для общепита, среднесписочная численность работников в 2022 году составила 88,7 тыс. человек (к уровню 2021 года прирост на 23,7 тыс. человек), фонд оплаты труда - 45,1 млрд рублей (к уровню 2021 года прирост на 17,5 млрд рублей), выручка - 204,2 млрд рублей (к уровню 2021 года прирост на 80,5 млрд рублей).</w:t>
      </w:r>
    </w:p>
    <w:p>
      <w:pPr>
        <w:pStyle w:val="0"/>
        <w:spacing w:before="200" w:line-rule="auto"/>
        <w:ind w:firstLine="540"/>
        <w:jc w:val="both"/>
      </w:pPr>
      <w:r>
        <w:rPr>
          <w:sz w:val="20"/>
        </w:rPr>
        <w:t xml:space="preserve">Темпы прироста среднесписочной численности, фонда оплаты труда и выручки по налогоплательщикам, применившим льготы для общепита, выше аналогичных показателей по отрасли общепита в целом (Таблица 7).</w:t>
      </w:r>
    </w:p>
    <w:p>
      <w:pPr>
        <w:pStyle w:val="0"/>
        <w:jc w:val="both"/>
      </w:pPr>
      <w:r>
        <w:rPr>
          <w:sz w:val="20"/>
        </w:rPr>
      </w:r>
    </w:p>
    <w:p>
      <w:pPr>
        <w:pStyle w:val="0"/>
        <w:ind w:firstLine="540"/>
        <w:jc w:val="both"/>
      </w:pPr>
      <w:r>
        <w:rPr>
          <w:sz w:val="20"/>
        </w:rPr>
        <w:t xml:space="preserve">Таблица 7. Информация по группе налогоплательщиков, применяющих освобождение по НДС по услугам общественного питания в сравнении с отраслью общепита в целом</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3288"/>
        <w:gridCol w:w="2909"/>
        <w:gridCol w:w="1587"/>
        <w:gridCol w:w="1247"/>
      </w:tblGrid>
      <w:tr>
        <w:tblPrEx>
          <w:tblBorders>
            <w:insideH w:val="single" w:sz="4"/>
          </w:tblBorders>
        </w:tblPrEx>
        <w:tc>
          <w:tcPr>
            <w:tcW w:w="3288" w:type="dxa"/>
            <w:tcBorders>
              <w:top w:val="single" w:sz="4"/>
              <w:left w:val="nil"/>
              <w:bottom w:val="single" w:sz="4"/>
              <w:right w:val="nil"/>
            </w:tcBorders>
          </w:tcPr>
          <w:p>
            <w:pPr>
              <w:pStyle w:val="0"/>
              <w:jc w:val="center"/>
            </w:pPr>
            <w:r>
              <w:rPr>
                <w:sz w:val="20"/>
              </w:rPr>
              <w:t xml:space="preserve">Темпы роста в 2022 году к уровню 2021 года, в %</w:t>
            </w:r>
          </w:p>
        </w:tc>
        <w:tc>
          <w:tcPr>
            <w:tcW w:w="2909" w:type="dxa"/>
            <w:tcBorders>
              <w:top w:val="single" w:sz="4"/>
              <w:left w:val="nil"/>
              <w:bottom w:val="single" w:sz="4"/>
              <w:right w:val="nil"/>
            </w:tcBorders>
          </w:tcPr>
          <w:p>
            <w:pPr>
              <w:pStyle w:val="0"/>
              <w:jc w:val="center"/>
            </w:pPr>
            <w:r>
              <w:rPr>
                <w:sz w:val="20"/>
              </w:rPr>
              <w:t xml:space="preserve">Среднесписочная численность работников</w:t>
            </w:r>
          </w:p>
        </w:tc>
        <w:tc>
          <w:tcPr>
            <w:tcW w:w="1587" w:type="dxa"/>
            <w:tcBorders>
              <w:top w:val="single" w:sz="4"/>
              <w:left w:val="nil"/>
              <w:bottom w:val="single" w:sz="4"/>
              <w:right w:val="nil"/>
            </w:tcBorders>
          </w:tcPr>
          <w:p>
            <w:pPr>
              <w:pStyle w:val="0"/>
              <w:jc w:val="center"/>
            </w:pPr>
            <w:r>
              <w:rPr>
                <w:sz w:val="20"/>
              </w:rPr>
              <w:t xml:space="preserve">Фонд оплаты труда</w:t>
            </w:r>
          </w:p>
        </w:tc>
        <w:tc>
          <w:tcPr>
            <w:tcW w:w="1247" w:type="dxa"/>
            <w:tcBorders>
              <w:top w:val="single" w:sz="4"/>
              <w:left w:val="nil"/>
              <w:bottom w:val="single" w:sz="4"/>
              <w:right w:val="nil"/>
            </w:tcBorders>
          </w:tcPr>
          <w:p>
            <w:pPr>
              <w:pStyle w:val="0"/>
              <w:jc w:val="center"/>
            </w:pPr>
            <w:r>
              <w:rPr>
                <w:sz w:val="20"/>
              </w:rPr>
              <w:t xml:space="preserve">Выручка</w:t>
            </w:r>
          </w:p>
        </w:tc>
      </w:tr>
      <w:tr>
        <w:tc>
          <w:tcPr>
            <w:tcW w:w="3288" w:type="dxa"/>
            <w:tcBorders>
              <w:top w:val="single" w:sz="4"/>
              <w:left w:val="nil"/>
              <w:bottom w:val="nil"/>
              <w:right w:val="nil"/>
            </w:tcBorders>
          </w:tcPr>
          <w:p>
            <w:pPr>
              <w:pStyle w:val="0"/>
            </w:pPr>
            <w:r>
              <w:rPr>
                <w:sz w:val="20"/>
              </w:rPr>
              <w:t xml:space="preserve">Налогоплательщики, применившие льготы для общепита</w:t>
            </w:r>
          </w:p>
        </w:tc>
        <w:tc>
          <w:tcPr>
            <w:tcW w:w="2909" w:type="dxa"/>
            <w:vAlign w:val="center"/>
            <w:tcBorders>
              <w:top w:val="single" w:sz="4"/>
              <w:left w:val="nil"/>
              <w:bottom w:val="nil"/>
              <w:right w:val="nil"/>
            </w:tcBorders>
          </w:tcPr>
          <w:p>
            <w:pPr>
              <w:pStyle w:val="0"/>
              <w:jc w:val="center"/>
            </w:pPr>
            <w:r>
              <w:rPr>
                <w:sz w:val="20"/>
              </w:rPr>
              <w:t xml:space="preserve">36%</w:t>
            </w:r>
          </w:p>
        </w:tc>
        <w:tc>
          <w:tcPr>
            <w:tcW w:w="1587" w:type="dxa"/>
            <w:vAlign w:val="center"/>
            <w:tcBorders>
              <w:top w:val="single" w:sz="4"/>
              <w:left w:val="nil"/>
              <w:bottom w:val="nil"/>
              <w:right w:val="nil"/>
            </w:tcBorders>
          </w:tcPr>
          <w:p>
            <w:pPr>
              <w:pStyle w:val="0"/>
              <w:jc w:val="center"/>
            </w:pPr>
            <w:r>
              <w:rPr>
                <w:sz w:val="20"/>
              </w:rPr>
              <w:t xml:space="preserve">63%</w:t>
            </w:r>
          </w:p>
        </w:tc>
        <w:tc>
          <w:tcPr>
            <w:tcW w:w="1247" w:type="dxa"/>
            <w:vAlign w:val="center"/>
            <w:tcBorders>
              <w:top w:val="single" w:sz="4"/>
              <w:left w:val="nil"/>
              <w:bottom w:val="nil"/>
              <w:right w:val="nil"/>
            </w:tcBorders>
          </w:tcPr>
          <w:p>
            <w:pPr>
              <w:pStyle w:val="0"/>
              <w:jc w:val="center"/>
            </w:pPr>
            <w:r>
              <w:rPr>
                <w:sz w:val="20"/>
              </w:rPr>
              <w:t xml:space="preserve">65%</w:t>
            </w:r>
          </w:p>
        </w:tc>
      </w:tr>
      <w:tr>
        <w:tc>
          <w:tcPr>
            <w:tcW w:w="3288" w:type="dxa"/>
            <w:tcBorders>
              <w:top w:val="nil"/>
              <w:left w:val="nil"/>
              <w:bottom w:val="single" w:sz="4"/>
              <w:right w:val="nil"/>
            </w:tcBorders>
          </w:tcPr>
          <w:p>
            <w:pPr>
              <w:pStyle w:val="0"/>
            </w:pPr>
            <w:r>
              <w:rPr>
                <w:sz w:val="20"/>
              </w:rPr>
              <w:t xml:space="preserve">Отрасль общепита в целом</w:t>
            </w:r>
          </w:p>
        </w:tc>
        <w:tc>
          <w:tcPr>
            <w:tcW w:w="2909" w:type="dxa"/>
            <w:vAlign w:val="center"/>
            <w:tcBorders>
              <w:top w:val="nil"/>
              <w:left w:val="nil"/>
              <w:bottom w:val="single" w:sz="4"/>
              <w:right w:val="nil"/>
            </w:tcBorders>
          </w:tcPr>
          <w:p>
            <w:pPr>
              <w:pStyle w:val="0"/>
              <w:jc w:val="center"/>
            </w:pPr>
            <w:r>
              <w:rPr>
                <w:sz w:val="20"/>
              </w:rPr>
              <w:t xml:space="preserve">1%</w:t>
            </w:r>
          </w:p>
        </w:tc>
        <w:tc>
          <w:tcPr>
            <w:tcW w:w="1587" w:type="dxa"/>
            <w:vAlign w:val="center"/>
            <w:tcBorders>
              <w:top w:val="nil"/>
              <w:left w:val="nil"/>
              <w:bottom w:val="single" w:sz="4"/>
              <w:right w:val="nil"/>
            </w:tcBorders>
          </w:tcPr>
          <w:p>
            <w:pPr>
              <w:pStyle w:val="0"/>
              <w:jc w:val="center"/>
            </w:pPr>
            <w:r>
              <w:rPr>
                <w:sz w:val="20"/>
              </w:rPr>
              <w:t xml:space="preserve">14%</w:t>
            </w:r>
          </w:p>
        </w:tc>
        <w:tc>
          <w:tcPr>
            <w:tcW w:w="1247" w:type="dxa"/>
            <w:vAlign w:val="center"/>
            <w:tcBorders>
              <w:top w:val="nil"/>
              <w:left w:val="nil"/>
              <w:bottom w:val="single" w:sz="4"/>
              <w:right w:val="nil"/>
            </w:tcBorders>
          </w:tcPr>
          <w:p>
            <w:pPr>
              <w:pStyle w:val="0"/>
              <w:jc w:val="center"/>
            </w:pPr>
            <w:r>
              <w:rPr>
                <w:sz w:val="20"/>
              </w:rPr>
              <w:t xml:space="preserve">22%</w:t>
            </w:r>
          </w:p>
        </w:tc>
      </w:tr>
    </w:tbl>
    <w:p>
      <w:pPr>
        <w:pStyle w:val="0"/>
        <w:jc w:val="both"/>
      </w:pPr>
      <w:r>
        <w:rPr>
          <w:sz w:val="20"/>
        </w:rPr>
      </w:r>
    </w:p>
    <w:p>
      <w:pPr>
        <w:pStyle w:val="0"/>
        <w:ind w:firstLine="540"/>
        <w:jc w:val="both"/>
      </w:pPr>
      <w:r>
        <w:rPr>
          <w:sz w:val="20"/>
        </w:rPr>
        <w:t xml:space="preserve">По данным ФНС России платежи в бюджетную систему Российской Федерации налогоплательщиков, применивших льготы для общепита в 2022 году, составили 22,9 млрд рублей (к уровню 2021 года прирост на 3,2 млрд рублей), по отрасли общепита в целом - 223,2 млрд рублей (к уровню 2021 года прирост на 8,0 млрд рублей).</w:t>
      </w:r>
    </w:p>
    <w:p>
      <w:pPr>
        <w:pStyle w:val="0"/>
        <w:spacing w:before="200" w:line-rule="auto"/>
        <w:ind w:firstLine="540"/>
        <w:jc w:val="both"/>
      </w:pPr>
      <w:r>
        <w:rPr>
          <w:sz w:val="20"/>
        </w:rPr>
        <w:t xml:space="preserve">По налогоплательщикам, применившим льготы для общепита, основная часть платежей приходится на страховые взносы (40%), НДФЛ (30%) и налог на прибыль организаций (18%) </w:t>
      </w:r>
      <w:hyperlink w:history="0" w:anchor="P3981" w:tooltip="Таблица 8. Структура платежей в бюджетную систему по группе налогоплательщиков, применяющих освобождение по НДС по услугам общественного питания в сравнении с отраслью общепита в целом">
        <w:r>
          <w:rPr>
            <w:sz w:val="20"/>
            <w:color w:val="0000ff"/>
          </w:rPr>
          <w:t xml:space="preserve">(Таблица 8)</w:t>
        </w:r>
      </w:hyperlink>
      <w:r>
        <w:rPr>
          <w:sz w:val="20"/>
        </w:rPr>
        <w:t xml:space="preserve">.</w:t>
      </w:r>
    </w:p>
    <w:p>
      <w:pPr>
        <w:pStyle w:val="0"/>
        <w:spacing w:before="200" w:line-rule="auto"/>
        <w:ind w:firstLine="540"/>
        <w:jc w:val="both"/>
      </w:pPr>
      <w:r>
        <w:rPr>
          <w:sz w:val="20"/>
        </w:rPr>
        <w:t xml:space="preserve">По отрасли общепита в целом страховые взносы также являются наиболее крупным платежом (34%). При этом, по отрасли в целом платежи по НДФЛ и по налогу на прибыль организаций замещаются платежами по НДС и налогам по специальным режимам.</w:t>
      </w:r>
    </w:p>
    <w:p>
      <w:pPr>
        <w:pStyle w:val="0"/>
        <w:spacing w:before="200" w:line-rule="auto"/>
        <w:ind w:firstLine="540"/>
        <w:jc w:val="both"/>
      </w:pPr>
      <w:r>
        <w:rPr>
          <w:sz w:val="20"/>
        </w:rPr>
        <w:t xml:space="preserve">Вышеуказанные особенности структуры платежей в основном объясняется соотношением режимов общей системы налогообложения (ОСНО) и упрощенной системы налогообложения (УСН) по налогоплательщикам, применившим льготы для общепита (98% в ОСНО) и по отрасли общепита в целом (основная часть налогоплательщиков в УСН).</w:t>
      </w:r>
    </w:p>
    <w:p>
      <w:pPr>
        <w:pStyle w:val="0"/>
        <w:jc w:val="both"/>
      </w:pPr>
      <w:r>
        <w:rPr>
          <w:sz w:val="20"/>
        </w:rPr>
      </w:r>
    </w:p>
    <w:bookmarkStart w:id="3981" w:name="P3981"/>
    <w:bookmarkEnd w:id="3981"/>
    <w:p>
      <w:pPr>
        <w:pStyle w:val="0"/>
        <w:ind w:firstLine="540"/>
        <w:jc w:val="both"/>
      </w:pPr>
      <w:r>
        <w:rPr>
          <w:sz w:val="20"/>
        </w:rPr>
        <w:t xml:space="preserve">Таблица 8. Структура платежей в бюджетную систему по группе налогоплательщиков, применяющих освобождение по НДС по услугам общественного питания в сравнении с отраслью общепита в целом</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4706"/>
        <w:gridCol w:w="2608"/>
        <w:gridCol w:w="1757"/>
      </w:tblGrid>
      <w:tr>
        <w:tblPrEx>
          <w:tblBorders>
            <w:insideH w:val="single" w:sz="4"/>
          </w:tblBorders>
        </w:tblPrEx>
        <w:tc>
          <w:tcPr>
            <w:tcW w:w="4706" w:type="dxa"/>
            <w:tcBorders>
              <w:top w:val="single" w:sz="4"/>
              <w:left w:val="nil"/>
              <w:bottom w:val="single" w:sz="4"/>
              <w:right w:val="nil"/>
            </w:tcBorders>
          </w:tcPr>
          <w:p>
            <w:pPr>
              <w:pStyle w:val="0"/>
              <w:jc w:val="center"/>
            </w:pPr>
            <w:r>
              <w:rPr>
                <w:sz w:val="20"/>
              </w:rPr>
              <w:t xml:space="preserve">Структура платежей в бюджетную систему РФ в 2022 году, в %</w:t>
            </w:r>
          </w:p>
        </w:tc>
        <w:tc>
          <w:tcPr>
            <w:tcW w:w="2608" w:type="dxa"/>
            <w:tcBorders>
              <w:top w:val="single" w:sz="4"/>
              <w:left w:val="nil"/>
              <w:bottom w:val="single" w:sz="4"/>
              <w:right w:val="nil"/>
            </w:tcBorders>
          </w:tcPr>
          <w:p>
            <w:pPr>
              <w:pStyle w:val="0"/>
              <w:jc w:val="center"/>
            </w:pPr>
            <w:r>
              <w:rPr>
                <w:sz w:val="20"/>
              </w:rPr>
              <w:t xml:space="preserve">Налогоплательщики, применившие льготы для общепита</w:t>
            </w:r>
          </w:p>
        </w:tc>
        <w:tc>
          <w:tcPr>
            <w:tcW w:w="1757" w:type="dxa"/>
            <w:tcBorders>
              <w:top w:val="single" w:sz="4"/>
              <w:left w:val="nil"/>
              <w:bottom w:val="single" w:sz="4"/>
              <w:right w:val="nil"/>
            </w:tcBorders>
          </w:tcPr>
          <w:p>
            <w:pPr>
              <w:pStyle w:val="0"/>
              <w:jc w:val="center"/>
            </w:pPr>
            <w:r>
              <w:rPr>
                <w:sz w:val="20"/>
              </w:rPr>
              <w:t xml:space="preserve">Отрасль общепита в целом</w:t>
            </w:r>
          </w:p>
        </w:tc>
      </w:tr>
      <w:tr>
        <w:tc>
          <w:tcPr>
            <w:tcW w:w="4706" w:type="dxa"/>
            <w:tcBorders>
              <w:top w:val="single" w:sz="4"/>
              <w:left w:val="nil"/>
              <w:bottom w:val="nil"/>
              <w:right w:val="nil"/>
            </w:tcBorders>
          </w:tcPr>
          <w:p>
            <w:pPr>
              <w:pStyle w:val="0"/>
            </w:pPr>
            <w:r>
              <w:rPr>
                <w:sz w:val="20"/>
              </w:rPr>
              <w:t xml:space="preserve">ВСЕГО</w:t>
            </w:r>
          </w:p>
        </w:tc>
        <w:tc>
          <w:tcPr>
            <w:tcW w:w="2608" w:type="dxa"/>
            <w:vAlign w:val="center"/>
            <w:tcBorders>
              <w:top w:val="single" w:sz="4"/>
              <w:left w:val="nil"/>
              <w:bottom w:val="nil"/>
              <w:right w:val="nil"/>
            </w:tcBorders>
          </w:tcPr>
          <w:p>
            <w:pPr>
              <w:pStyle w:val="0"/>
              <w:jc w:val="center"/>
            </w:pPr>
            <w:r>
              <w:rPr>
                <w:sz w:val="20"/>
              </w:rPr>
              <w:t xml:space="preserve">100%</w:t>
            </w:r>
          </w:p>
        </w:tc>
        <w:tc>
          <w:tcPr>
            <w:tcW w:w="1757" w:type="dxa"/>
            <w:vAlign w:val="center"/>
            <w:tcBorders>
              <w:top w:val="single" w:sz="4"/>
              <w:left w:val="nil"/>
              <w:bottom w:val="nil"/>
              <w:right w:val="nil"/>
            </w:tcBorders>
          </w:tcPr>
          <w:p>
            <w:pPr>
              <w:pStyle w:val="0"/>
              <w:jc w:val="center"/>
            </w:pPr>
            <w:r>
              <w:rPr>
                <w:sz w:val="20"/>
              </w:rPr>
              <w:t xml:space="preserve">100%</w:t>
            </w:r>
          </w:p>
        </w:tc>
      </w:tr>
      <w:tr>
        <w:tc>
          <w:tcPr>
            <w:tcW w:w="4706" w:type="dxa"/>
            <w:tcBorders>
              <w:top w:val="nil"/>
              <w:left w:val="nil"/>
              <w:bottom w:val="nil"/>
              <w:right w:val="nil"/>
            </w:tcBorders>
          </w:tcPr>
          <w:p>
            <w:pPr>
              <w:pStyle w:val="0"/>
            </w:pPr>
            <w:r>
              <w:rPr>
                <w:sz w:val="20"/>
              </w:rPr>
              <w:t xml:space="preserve">в т.ч. НДС (уплачено минус возмещено)</w:t>
            </w:r>
          </w:p>
        </w:tc>
        <w:tc>
          <w:tcPr>
            <w:tcW w:w="2608" w:type="dxa"/>
            <w:vAlign w:val="center"/>
            <w:tcBorders>
              <w:top w:val="nil"/>
              <w:left w:val="nil"/>
              <w:bottom w:val="nil"/>
              <w:right w:val="nil"/>
            </w:tcBorders>
          </w:tcPr>
          <w:p>
            <w:pPr>
              <w:pStyle w:val="0"/>
              <w:jc w:val="center"/>
            </w:pPr>
            <w:r>
              <w:rPr>
                <w:sz w:val="20"/>
              </w:rPr>
              <w:t xml:space="preserve">7%</w:t>
            </w:r>
          </w:p>
        </w:tc>
        <w:tc>
          <w:tcPr>
            <w:tcW w:w="1757" w:type="dxa"/>
            <w:vAlign w:val="center"/>
            <w:tcBorders>
              <w:top w:val="nil"/>
              <w:left w:val="nil"/>
              <w:bottom w:val="nil"/>
              <w:right w:val="nil"/>
            </w:tcBorders>
          </w:tcPr>
          <w:p>
            <w:pPr>
              <w:pStyle w:val="0"/>
              <w:jc w:val="center"/>
            </w:pPr>
            <w:r>
              <w:rPr>
                <w:sz w:val="20"/>
              </w:rPr>
              <w:t xml:space="preserve">19%</w:t>
            </w:r>
          </w:p>
        </w:tc>
      </w:tr>
      <w:tr>
        <w:tc>
          <w:tcPr>
            <w:tcW w:w="4706" w:type="dxa"/>
            <w:tcBorders>
              <w:top w:val="nil"/>
              <w:left w:val="nil"/>
              <w:bottom w:val="nil"/>
              <w:right w:val="nil"/>
            </w:tcBorders>
          </w:tcPr>
          <w:p>
            <w:pPr>
              <w:pStyle w:val="0"/>
              <w:ind w:left="283"/>
            </w:pPr>
            <w:r>
              <w:rPr>
                <w:sz w:val="20"/>
              </w:rPr>
              <w:t xml:space="preserve">НДФЛ</w:t>
            </w:r>
          </w:p>
        </w:tc>
        <w:tc>
          <w:tcPr>
            <w:tcW w:w="2608" w:type="dxa"/>
            <w:vAlign w:val="center"/>
            <w:tcBorders>
              <w:top w:val="nil"/>
              <w:left w:val="nil"/>
              <w:bottom w:val="nil"/>
              <w:right w:val="nil"/>
            </w:tcBorders>
          </w:tcPr>
          <w:p>
            <w:pPr>
              <w:pStyle w:val="0"/>
              <w:jc w:val="center"/>
            </w:pPr>
            <w:r>
              <w:rPr>
                <w:sz w:val="20"/>
              </w:rPr>
              <w:t xml:space="preserve">30%</w:t>
            </w:r>
          </w:p>
        </w:tc>
        <w:tc>
          <w:tcPr>
            <w:tcW w:w="1757" w:type="dxa"/>
            <w:vAlign w:val="center"/>
            <w:tcBorders>
              <w:top w:val="nil"/>
              <w:left w:val="nil"/>
              <w:bottom w:val="nil"/>
              <w:right w:val="nil"/>
            </w:tcBorders>
          </w:tcPr>
          <w:p>
            <w:pPr>
              <w:pStyle w:val="0"/>
              <w:jc w:val="center"/>
            </w:pPr>
            <w:r>
              <w:rPr>
                <w:sz w:val="20"/>
              </w:rPr>
              <w:t xml:space="preserve">22%</w:t>
            </w:r>
          </w:p>
        </w:tc>
      </w:tr>
      <w:tr>
        <w:tc>
          <w:tcPr>
            <w:tcW w:w="4706" w:type="dxa"/>
            <w:tcBorders>
              <w:top w:val="nil"/>
              <w:left w:val="nil"/>
              <w:bottom w:val="nil"/>
              <w:right w:val="nil"/>
            </w:tcBorders>
          </w:tcPr>
          <w:p>
            <w:pPr>
              <w:pStyle w:val="0"/>
              <w:ind w:left="283"/>
            </w:pPr>
            <w:r>
              <w:rPr>
                <w:sz w:val="20"/>
              </w:rPr>
              <w:t xml:space="preserve">Налог на прибыль организаций</w:t>
            </w:r>
          </w:p>
        </w:tc>
        <w:tc>
          <w:tcPr>
            <w:tcW w:w="2608" w:type="dxa"/>
            <w:vAlign w:val="center"/>
            <w:tcBorders>
              <w:top w:val="nil"/>
              <w:left w:val="nil"/>
              <w:bottom w:val="nil"/>
              <w:right w:val="nil"/>
            </w:tcBorders>
          </w:tcPr>
          <w:p>
            <w:pPr>
              <w:pStyle w:val="0"/>
              <w:jc w:val="center"/>
            </w:pPr>
            <w:r>
              <w:rPr>
                <w:sz w:val="20"/>
              </w:rPr>
              <w:t xml:space="preserve">18%</w:t>
            </w:r>
          </w:p>
        </w:tc>
        <w:tc>
          <w:tcPr>
            <w:tcW w:w="1757" w:type="dxa"/>
            <w:vAlign w:val="center"/>
            <w:tcBorders>
              <w:top w:val="nil"/>
              <w:left w:val="nil"/>
              <w:bottom w:val="nil"/>
              <w:right w:val="nil"/>
            </w:tcBorders>
          </w:tcPr>
          <w:p>
            <w:pPr>
              <w:pStyle w:val="0"/>
              <w:jc w:val="center"/>
            </w:pPr>
            <w:r>
              <w:rPr>
                <w:sz w:val="20"/>
              </w:rPr>
              <w:t xml:space="preserve">5%</w:t>
            </w:r>
          </w:p>
        </w:tc>
      </w:tr>
      <w:tr>
        <w:tc>
          <w:tcPr>
            <w:tcW w:w="4706" w:type="dxa"/>
            <w:tcBorders>
              <w:top w:val="nil"/>
              <w:left w:val="nil"/>
              <w:bottom w:val="nil"/>
              <w:right w:val="nil"/>
            </w:tcBorders>
          </w:tcPr>
          <w:p>
            <w:pPr>
              <w:pStyle w:val="0"/>
              <w:ind w:left="283"/>
            </w:pPr>
            <w:r>
              <w:rPr>
                <w:sz w:val="20"/>
              </w:rPr>
              <w:t xml:space="preserve">Имущественные налоги</w:t>
            </w:r>
          </w:p>
        </w:tc>
        <w:tc>
          <w:tcPr>
            <w:tcW w:w="2608" w:type="dxa"/>
            <w:vAlign w:val="center"/>
            <w:tcBorders>
              <w:top w:val="nil"/>
              <w:left w:val="nil"/>
              <w:bottom w:val="nil"/>
              <w:right w:val="nil"/>
            </w:tcBorders>
          </w:tcPr>
          <w:p>
            <w:pPr>
              <w:pStyle w:val="0"/>
              <w:jc w:val="center"/>
            </w:pPr>
            <w:r>
              <w:rPr>
                <w:sz w:val="20"/>
              </w:rPr>
              <w:t xml:space="preserve">2%</w:t>
            </w:r>
          </w:p>
        </w:tc>
        <w:tc>
          <w:tcPr>
            <w:tcW w:w="1757" w:type="dxa"/>
            <w:vAlign w:val="center"/>
            <w:tcBorders>
              <w:top w:val="nil"/>
              <w:left w:val="nil"/>
              <w:bottom w:val="nil"/>
              <w:right w:val="nil"/>
            </w:tcBorders>
          </w:tcPr>
          <w:p>
            <w:pPr>
              <w:pStyle w:val="0"/>
              <w:jc w:val="center"/>
            </w:pPr>
            <w:r>
              <w:rPr>
                <w:sz w:val="20"/>
              </w:rPr>
              <w:t xml:space="preserve">2%</w:t>
            </w:r>
          </w:p>
        </w:tc>
      </w:tr>
      <w:tr>
        <w:tc>
          <w:tcPr>
            <w:tcW w:w="4706" w:type="dxa"/>
            <w:tcBorders>
              <w:top w:val="nil"/>
              <w:left w:val="nil"/>
              <w:bottom w:val="nil"/>
              <w:right w:val="nil"/>
            </w:tcBorders>
          </w:tcPr>
          <w:p>
            <w:pPr>
              <w:pStyle w:val="0"/>
              <w:ind w:left="283"/>
            </w:pPr>
            <w:r>
              <w:rPr>
                <w:sz w:val="20"/>
              </w:rPr>
              <w:t xml:space="preserve">Налоги по спецрежимам</w:t>
            </w:r>
          </w:p>
        </w:tc>
        <w:tc>
          <w:tcPr>
            <w:tcW w:w="2608" w:type="dxa"/>
            <w:vAlign w:val="center"/>
            <w:tcBorders>
              <w:top w:val="nil"/>
              <w:left w:val="nil"/>
              <w:bottom w:val="nil"/>
              <w:right w:val="nil"/>
            </w:tcBorders>
          </w:tcPr>
          <w:p>
            <w:pPr>
              <w:pStyle w:val="0"/>
              <w:jc w:val="center"/>
            </w:pPr>
            <w:r>
              <w:rPr>
                <w:sz w:val="20"/>
              </w:rPr>
              <w:t xml:space="preserve">3%</w:t>
            </w:r>
          </w:p>
        </w:tc>
        <w:tc>
          <w:tcPr>
            <w:tcW w:w="1757" w:type="dxa"/>
            <w:vAlign w:val="center"/>
            <w:tcBorders>
              <w:top w:val="nil"/>
              <w:left w:val="nil"/>
              <w:bottom w:val="nil"/>
              <w:right w:val="nil"/>
            </w:tcBorders>
          </w:tcPr>
          <w:p>
            <w:pPr>
              <w:pStyle w:val="0"/>
              <w:jc w:val="center"/>
            </w:pPr>
            <w:r>
              <w:rPr>
                <w:sz w:val="20"/>
              </w:rPr>
              <w:t xml:space="preserve">18%</w:t>
            </w:r>
          </w:p>
        </w:tc>
      </w:tr>
      <w:tr>
        <w:tc>
          <w:tcPr>
            <w:tcW w:w="4706" w:type="dxa"/>
            <w:tcBorders>
              <w:top w:val="nil"/>
              <w:left w:val="nil"/>
              <w:bottom w:val="single" w:sz="4"/>
              <w:right w:val="nil"/>
            </w:tcBorders>
          </w:tcPr>
          <w:p>
            <w:pPr>
              <w:pStyle w:val="0"/>
              <w:ind w:left="283"/>
            </w:pPr>
            <w:r>
              <w:rPr>
                <w:sz w:val="20"/>
              </w:rPr>
              <w:t xml:space="preserve">Страховые взносы</w:t>
            </w:r>
          </w:p>
        </w:tc>
        <w:tc>
          <w:tcPr>
            <w:tcW w:w="2608" w:type="dxa"/>
            <w:vAlign w:val="center"/>
            <w:tcBorders>
              <w:top w:val="nil"/>
              <w:left w:val="nil"/>
              <w:bottom w:val="single" w:sz="4"/>
              <w:right w:val="nil"/>
            </w:tcBorders>
          </w:tcPr>
          <w:p>
            <w:pPr>
              <w:pStyle w:val="0"/>
              <w:jc w:val="center"/>
            </w:pPr>
            <w:r>
              <w:rPr>
                <w:sz w:val="20"/>
              </w:rPr>
              <w:t xml:space="preserve">40%</w:t>
            </w:r>
          </w:p>
        </w:tc>
        <w:tc>
          <w:tcPr>
            <w:tcW w:w="1757" w:type="dxa"/>
            <w:vAlign w:val="center"/>
            <w:tcBorders>
              <w:top w:val="nil"/>
              <w:left w:val="nil"/>
              <w:bottom w:val="single" w:sz="4"/>
              <w:right w:val="nil"/>
            </w:tcBorders>
          </w:tcPr>
          <w:p>
            <w:pPr>
              <w:pStyle w:val="0"/>
              <w:jc w:val="center"/>
            </w:pPr>
            <w:r>
              <w:rPr>
                <w:sz w:val="20"/>
              </w:rPr>
              <w:t xml:space="preserve">34%</w:t>
            </w:r>
          </w:p>
        </w:tc>
      </w:tr>
    </w:tbl>
    <w:p>
      <w:pPr>
        <w:pStyle w:val="0"/>
        <w:jc w:val="both"/>
      </w:pPr>
      <w:r>
        <w:rPr>
          <w:sz w:val="20"/>
        </w:rPr>
      </w:r>
    </w:p>
    <w:p>
      <w:pPr>
        <w:pStyle w:val="0"/>
        <w:ind w:firstLine="540"/>
        <w:jc w:val="both"/>
      </w:pPr>
      <w:r>
        <w:rPr>
          <w:sz w:val="20"/>
        </w:rPr>
        <w:t xml:space="preserve">Темп роста платежей в бюджетную систему Российской Федерации по налогоплательщикам, применившим льготы для общепита (16%), значительно превышает аналогичный показатель по отрасли общепита в целом (4%) (Таблица 9).</w:t>
      </w:r>
    </w:p>
    <w:p>
      <w:pPr>
        <w:pStyle w:val="0"/>
        <w:jc w:val="both"/>
      </w:pPr>
      <w:r>
        <w:rPr>
          <w:sz w:val="20"/>
        </w:rPr>
      </w:r>
    </w:p>
    <w:p>
      <w:pPr>
        <w:pStyle w:val="0"/>
        <w:ind w:firstLine="540"/>
        <w:jc w:val="both"/>
      </w:pPr>
      <w:r>
        <w:rPr>
          <w:sz w:val="20"/>
        </w:rPr>
        <w:t xml:space="preserve">Таблица 9. Сравнение темпов роста платежей в бюджетную систему по группе налогоплательщиков, применяющих освобождение по НДС по услугам общественного питания в сравнении с отраслью общепита в целом</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5329"/>
        <w:gridCol w:w="964"/>
        <w:gridCol w:w="964"/>
        <w:gridCol w:w="1066"/>
        <w:gridCol w:w="744"/>
      </w:tblGrid>
      <w:tr>
        <w:tc>
          <w:tcPr>
            <w:tcW w:w="5329" w:type="dxa"/>
            <w:tcBorders>
              <w:top w:val="single" w:sz="4"/>
              <w:left w:val="nil"/>
              <w:bottom w:val="single" w:sz="4"/>
              <w:right w:val="nil"/>
            </w:tcBorders>
            <w:vMerge w:val="restart"/>
          </w:tcPr>
          <w:p>
            <w:pPr>
              <w:pStyle w:val="0"/>
              <w:jc w:val="center"/>
            </w:pPr>
            <w:r>
              <w:rPr>
                <w:sz w:val="20"/>
              </w:rPr>
              <w:t xml:space="preserve">Платежи в бюджетную систему РФ, млрд руб.</w:t>
            </w:r>
          </w:p>
        </w:tc>
        <w:tc>
          <w:tcPr>
            <w:tcW w:w="964" w:type="dxa"/>
            <w:tcBorders>
              <w:top w:val="single" w:sz="4"/>
              <w:left w:val="nil"/>
              <w:bottom w:val="single" w:sz="4"/>
              <w:right w:val="nil"/>
            </w:tcBorders>
            <w:vMerge w:val="restart"/>
          </w:tcPr>
          <w:p>
            <w:pPr>
              <w:pStyle w:val="0"/>
              <w:jc w:val="center"/>
            </w:pPr>
            <w:r>
              <w:rPr>
                <w:sz w:val="20"/>
              </w:rPr>
              <w:t xml:space="preserve">2021</w:t>
            </w:r>
          </w:p>
        </w:tc>
        <w:tc>
          <w:tcPr>
            <w:tcW w:w="964" w:type="dxa"/>
            <w:tcBorders>
              <w:top w:val="single" w:sz="4"/>
              <w:left w:val="nil"/>
              <w:bottom w:val="single" w:sz="4"/>
              <w:right w:val="nil"/>
            </w:tcBorders>
            <w:vMerge w:val="restart"/>
          </w:tcPr>
          <w:p>
            <w:pPr>
              <w:pStyle w:val="0"/>
              <w:jc w:val="center"/>
            </w:pPr>
            <w:r>
              <w:rPr>
                <w:sz w:val="20"/>
              </w:rPr>
              <w:t xml:space="preserve">2022</w:t>
            </w:r>
          </w:p>
        </w:tc>
        <w:tc>
          <w:tcPr>
            <w:gridSpan w:val="2"/>
            <w:tcW w:w="1810" w:type="dxa"/>
            <w:tcBorders>
              <w:top w:val="single" w:sz="4"/>
              <w:left w:val="nil"/>
              <w:bottom w:val="nil"/>
              <w:right w:val="nil"/>
            </w:tcBorders>
          </w:tcPr>
          <w:p>
            <w:pPr>
              <w:pStyle w:val="0"/>
              <w:jc w:val="center"/>
            </w:pPr>
            <w:r>
              <w:rPr>
                <w:sz w:val="20"/>
              </w:rPr>
              <w:t xml:space="preserve">Изменения</w:t>
            </w:r>
          </w:p>
        </w:tc>
      </w:tr>
      <w:tr>
        <w:tblPrEx>
          <w:tblBorders>
            <w:insideH w:val="single" w:sz="4"/>
          </w:tblBorders>
        </w:tblPrEx>
        <w:tc>
          <w:tcPr>
            <w:tcBorders>
              <w:top w:val="single" w:sz="4"/>
              <w:left w:val="nil"/>
              <w:bottom w:val="single" w:sz="4"/>
              <w:right w:val="nil"/>
            </w:tcBorders>
            <w:vMerge w:val="continue"/>
          </w:tcPr>
          <w:p/>
        </w:tc>
        <w:tc>
          <w:tcPr>
            <w:tcBorders>
              <w:top w:val="single" w:sz="4"/>
              <w:left w:val="nil"/>
              <w:bottom w:val="single" w:sz="4"/>
              <w:right w:val="nil"/>
            </w:tcBorders>
            <w:vMerge w:val="continue"/>
          </w:tcPr>
          <w:p/>
        </w:tc>
        <w:tc>
          <w:tcPr>
            <w:tcBorders>
              <w:top w:val="single" w:sz="4"/>
              <w:left w:val="nil"/>
              <w:bottom w:val="single" w:sz="4"/>
              <w:right w:val="nil"/>
            </w:tcBorders>
            <w:vMerge w:val="continue"/>
          </w:tcPr>
          <w:p/>
        </w:tc>
        <w:tc>
          <w:tcPr>
            <w:tcW w:w="1066" w:type="dxa"/>
            <w:tcBorders>
              <w:top w:val="nil"/>
              <w:left w:val="nil"/>
              <w:bottom w:val="single" w:sz="4"/>
              <w:right w:val="nil"/>
            </w:tcBorders>
          </w:tcPr>
          <w:p>
            <w:pPr>
              <w:pStyle w:val="0"/>
              <w:jc w:val="center"/>
            </w:pPr>
            <w:r>
              <w:rPr>
                <w:sz w:val="20"/>
              </w:rPr>
              <w:t xml:space="preserve">"+", "-"</w:t>
            </w:r>
          </w:p>
        </w:tc>
        <w:tc>
          <w:tcPr>
            <w:tcW w:w="744" w:type="dxa"/>
            <w:tcBorders>
              <w:top w:val="nil"/>
              <w:left w:val="nil"/>
              <w:bottom w:val="single" w:sz="4"/>
              <w:right w:val="nil"/>
            </w:tcBorders>
          </w:tcPr>
          <w:p>
            <w:pPr>
              <w:pStyle w:val="0"/>
              <w:jc w:val="center"/>
            </w:pPr>
            <w:r>
              <w:rPr>
                <w:sz w:val="20"/>
              </w:rPr>
              <w:t xml:space="preserve">в %</w:t>
            </w:r>
          </w:p>
        </w:tc>
      </w:tr>
      <w:tr>
        <w:tc>
          <w:tcPr>
            <w:tcW w:w="5329" w:type="dxa"/>
            <w:tcBorders>
              <w:top w:val="single" w:sz="4"/>
              <w:left w:val="nil"/>
              <w:bottom w:val="nil"/>
              <w:right w:val="nil"/>
            </w:tcBorders>
          </w:tcPr>
          <w:p>
            <w:pPr>
              <w:pStyle w:val="0"/>
            </w:pPr>
            <w:r>
              <w:rPr>
                <w:sz w:val="20"/>
              </w:rPr>
              <w:t xml:space="preserve">Налогоплательщики, применившие льготы для общепита</w:t>
            </w:r>
          </w:p>
        </w:tc>
        <w:tc>
          <w:tcPr>
            <w:tcW w:w="964" w:type="dxa"/>
            <w:vAlign w:val="center"/>
            <w:tcBorders>
              <w:top w:val="single" w:sz="4"/>
              <w:left w:val="nil"/>
              <w:bottom w:val="nil"/>
              <w:right w:val="nil"/>
            </w:tcBorders>
          </w:tcPr>
          <w:p>
            <w:pPr>
              <w:pStyle w:val="0"/>
              <w:jc w:val="center"/>
            </w:pPr>
            <w:r>
              <w:rPr>
                <w:sz w:val="20"/>
              </w:rPr>
              <w:t xml:space="preserve">19,8</w:t>
            </w:r>
          </w:p>
        </w:tc>
        <w:tc>
          <w:tcPr>
            <w:tcW w:w="964" w:type="dxa"/>
            <w:vAlign w:val="center"/>
            <w:tcBorders>
              <w:top w:val="single" w:sz="4"/>
              <w:left w:val="nil"/>
              <w:bottom w:val="nil"/>
              <w:right w:val="nil"/>
            </w:tcBorders>
          </w:tcPr>
          <w:p>
            <w:pPr>
              <w:pStyle w:val="0"/>
              <w:jc w:val="center"/>
            </w:pPr>
            <w:r>
              <w:rPr>
                <w:sz w:val="20"/>
              </w:rPr>
              <w:t xml:space="preserve">22,9</w:t>
            </w:r>
          </w:p>
        </w:tc>
        <w:tc>
          <w:tcPr>
            <w:tcW w:w="1066" w:type="dxa"/>
            <w:vAlign w:val="center"/>
            <w:tcBorders>
              <w:top w:val="single" w:sz="4"/>
              <w:left w:val="nil"/>
              <w:bottom w:val="nil"/>
              <w:right w:val="nil"/>
            </w:tcBorders>
          </w:tcPr>
          <w:p>
            <w:pPr>
              <w:pStyle w:val="0"/>
              <w:jc w:val="center"/>
            </w:pPr>
            <w:r>
              <w:rPr>
                <w:sz w:val="20"/>
              </w:rPr>
              <w:t xml:space="preserve">3,2</w:t>
            </w:r>
          </w:p>
        </w:tc>
        <w:tc>
          <w:tcPr>
            <w:tcW w:w="744" w:type="dxa"/>
            <w:vAlign w:val="center"/>
            <w:tcBorders>
              <w:top w:val="single" w:sz="4"/>
              <w:left w:val="nil"/>
              <w:bottom w:val="nil"/>
              <w:right w:val="nil"/>
            </w:tcBorders>
          </w:tcPr>
          <w:p>
            <w:pPr>
              <w:pStyle w:val="0"/>
              <w:jc w:val="center"/>
            </w:pPr>
            <w:r>
              <w:rPr>
                <w:sz w:val="20"/>
              </w:rPr>
              <w:t xml:space="preserve">16%</w:t>
            </w:r>
          </w:p>
        </w:tc>
      </w:tr>
      <w:tr>
        <w:tc>
          <w:tcPr>
            <w:tcW w:w="5329" w:type="dxa"/>
            <w:tcBorders>
              <w:top w:val="nil"/>
              <w:left w:val="nil"/>
              <w:bottom w:val="single" w:sz="4"/>
              <w:right w:val="nil"/>
            </w:tcBorders>
          </w:tcPr>
          <w:p>
            <w:pPr>
              <w:pStyle w:val="0"/>
            </w:pPr>
            <w:r>
              <w:rPr>
                <w:sz w:val="20"/>
              </w:rPr>
              <w:t xml:space="preserve">Отрасль общепита в целом</w:t>
            </w:r>
          </w:p>
        </w:tc>
        <w:tc>
          <w:tcPr>
            <w:tcW w:w="964" w:type="dxa"/>
            <w:vAlign w:val="center"/>
            <w:tcBorders>
              <w:top w:val="nil"/>
              <w:left w:val="nil"/>
              <w:bottom w:val="single" w:sz="4"/>
              <w:right w:val="nil"/>
            </w:tcBorders>
          </w:tcPr>
          <w:p>
            <w:pPr>
              <w:pStyle w:val="0"/>
              <w:jc w:val="center"/>
            </w:pPr>
            <w:r>
              <w:rPr>
                <w:sz w:val="20"/>
              </w:rPr>
              <w:t xml:space="preserve">215,2</w:t>
            </w:r>
          </w:p>
        </w:tc>
        <w:tc>
          <w:tcPr>
            <w:tcW w:w="964" w:type="dxa"/>
            <w:vAlign w:val="center"/>
            <w:tcBorders>
              <w:top w:val="nil"/>
              <w:left w:val="nil"/>
              <w:bottom w:val="single" w:sz="4"/>
              <w:right w:val="nil"/>
            </w:tcBorders>
          </w:tcPr>
          <w:p>
            <w:pPr>
              <w:pStyle w:val="0"/>
              <w:jc w:val="center"/>
            </w:pPr>
            <w:r>
              <w:rPr>
                <w:sz w:val="20"/>
              </w:rPr>
              <w:t xml:space="preserve">223,2</w:t>
            </w:r>
          </w:p>
        </w:tc>
        <w:tc>
          <w:tcPr>
            <w:tcW w:w="1066" w:type="dxa"/>
            <w:vAlign w:val="center"/>
            <w:tcBorders>
              <w:top w:val="nil"/>
              <w:left w:val="nil"/>
              <w:bottom w:val="single" w:sz="4"/>
              <w:right w:val="nil"/>
            </w:tcBorders>
          </w:tcPr>
          <w:p>
            <w:pPr>
              <w:pStyle w:val="0"/>
              <w:jc w:val="center"/>
            </w:pPr>
            <w:r>
              <w:rPr>
                <w:sz w:val="20"/>
              </w:rPr>
              <w:t xml:space="preserve">8,0</w:t>
            </w:r>
          </w:p>
        </w:tc>
        <w:tc>
          <w:tcPr>
            <w:tcW w:w="744" w:type="dxa"/>
            <w:vAlign w:val="center"/>
            <w:tcBorders>
              <w:top w:val="nil"/>
              <w:left w:val="nil"/>
              <w:bottom w:val="single" w:sz="4"/>
              <w:right w:val="nil"/>
            </w:tcBorders>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По налогоплательщикам, применившим льготы для общепита, прирост платежей к уровню 2021 года в сумме 3,2 млрд рублей в основном обеспечен по налогу на прибыль организаций, страховым взносам и НДФЛ при одновременном снижении платежей по НДС и налогов по спецрежимам, что соответствует логике введенных изменений в налоговое законодательство (освобождение от НДС, постепенный переход налогоплательщиков из режима УСН в режим ОСНО) </w:t>
      </w:r>
      <w:hyperlink w:history="0" w:anchor="P4032" w:tooltip="Таблица 10. Структура изменения платежей в бюджетную систему по группе налогоплательщиков, применяющих освобождение по НДС по услугам общественного питания в сравнении с отраслью общепита в целом">
        <w:r>
          <w:rPr>
            <w:sz w:val="20"/>
            <w:color w:val="0000ff"/>
          </w:rPr>
          <w:t xml:space="preserve">(Таблица 10)</w:t>
        </w:r>
      </w:hyperlink>
      <w:r>
        <w:rPr>
          <w:sz w:val="20"/>
        </w:rPr>
        <w:t xml:space="preserve">.</w:t>
      </w:r>
    </w:p>
    <w:p>
      <w:pPr>
        <w:pStyle w:val="0"/>
        <w:spacing w:before="200" w:line-rule="auto"/>
        <w:ind w:firstLine="540"/>
        <w:jc w:val="both"/>
      </w:pPr>
      <w:r>
        <w:rPr>
          <w:sz w:val="20"/>
        </w:rPr>
        <w:t xml:space="preserve">По отрасли общепита в целом прирост платежей к уровню 2021 года в сумме 8,0 млрд рублей получен за счет налогов по спецрежимам и НДФЛ при снижении платежей по НДС и страховым взносам.</w:t>
      </w:r>
    </w:p>
    <w:p>
      <w:pPr>
        <w:pStyle w:val="0"/>
        <w:jc w:val="both"/>
      </w:pPr>
      <w:r>
        <w:rPr>
          <w:sz w:val="20"/>
        </w:rPr>
      </w:r>
    </w:p>
    <w:bookmarkStart w:id="4032" w:name="P4032"/>
    <w:bookmarkEnd w:id="4032"/>
    <w:p>
      <w:pPr>
        <w:pStyle w:val="0"/>
        <w:ind w:firstLine="540"/>
        <w:jc w:val="both"/>
      </w:pPr>
      <w:r>
        <w:rPr>
          <w:sz w:val="20"/>
        </w:rPr>
        <w:t xml:space="preserve">Таблица 10. Структура изменения платежей в бюджетную систему по группе налогоплательщиков, применяющих освобождение по НДС по услугам общественного питания в сравнении с отраслью общепита в целом</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4706"/>
        <w:gridCol w:w="2608"/>
        <w:gridCol w:w="1757"/>
      </w:tblGrid>
      <w:tr>
        <w:tblPrEx>
          <w:tblBorders>
            <w:insideH w:val="single" w:sz="4"/>
          </w:tblBorders>
        </w:tblPrEx>
        <w:tc>
          <w:tcPr>
            <w:tcW w:w="4706" w:type="dxa"/>
            <w:tcBorders>
              <w:top w:val="single" w:sz="4"/>
              <w:left w:val="nil"/>
              <w:bottom w:val="single" w:sz="4"/>
              <w:right w:val="nil"/>
            </w:tcBorders>
          </w:tcPr>
          <w:p>
            <w:pPr>
              <w:pStyle w:val="0"/>
              <w:jc w:val="center"/>
            </w:pPr>
            <w:r>
              <w:rPr>
                <w:sz w:val="20"/>
              </w:rPr>
              <w:t xml:space="preserve">Изменение платежей в бюджетную систему РФ (2022 к 2021), в млрд руб.</w:t>
            </w:r>
          </w:p>
        </w:tc>
        <w:tc>
          <w:tcPr>
            <w:tcW w:w="2608" w:type="dxa"/>
            <w:tcBorders>
              <w:top w:val="single" w:sz="4"/>
              <w:left w:val="nil"/>
              <w:bottom w:val="single" w:sz="4"/>
              <w:right w:val="nil"/>
            </w:tcBorders>
          </w:tcPr>
          <w:p>
            <w:pPr>
              <w:pStyle w:val="0"/>
              <w:jc w:val="center"/>
            </w:pPr>
            <w:r>
              <w:rPr>
                <w:sz w:val="20"/>
              </w:rPr>
              <w:t xml:space="preserve">Налогоплательщики, применившие льготы для общепита</w:t>
            </w:r>
          </w:p>
        </w:tc>
        <w:tc>
          <w:tcPr>
            <w:tcW w:w="1757" w:type="dxa"/>
            <w:tcBorders>
              <w:top w:val="single" w:sz="4"/>
              <w:left w:val="nil"/>
              <w:bottom w:val="single" w:sz="4"/>
              <w:right w:val="nil"/>
            </w:tcBorders>
          </w:tcPr>
          <w:p>
            <w:pPr>
              <w:pStyle w:val="0"/>
              <w:jc w:val="center"/>
            </w:pPr>
            <w:r>
              <w:rPr>
                <w:sz w:val="20"/>
              </w:rPr>
              <w:t xml:space="preserve">Отрасль общепита в целом</w:t>
            </w:r>
          </w:p>
        </w:tc>
      </w:tr>
      <w:tr>
        <w:tc>
          <w:tcPr>
            <w:tcW w:w="4706" w:type="dxa"/>
            <w:tcBorders>
              <w:top w:val="single" w:sz="4"/>
              <w:left w:val="nil"/>
              <w:bottom w:val="nil"/>
              <w:right w:val="nil"/>
            </w:tcBorders>
          </w:tcPr>
          <w:p>
            <w:pPr>
              <w:pStyle w:val="0"/>
            </w:pPr>
            <w:r>
              <w:rPr>
                <w:sz w:val="20"/>
              </w:rPr>
              <w:t xml:space="preserve">ВСЕГО</w:t>
            </w:r>
          </w:p>
        </w:tc>
        <w:tc>
          <w:tcPr>
            <w:tcW w:w="2608" w:type="dxa"/>
            <w:vAlign w:val="center"/>
            <w:tcBorders>
              <w:top w:val="single" w:sz="4"/>
              <w:left w:val="nil"/>
              <w:bottom w:val="nil"/>
              <w:right w:val="nil"/>
            </w:tcBorders>
          </w:tcPr>
          <w:p>
            <w:pPr>
              <w:pStyle w:val="0"/>
              <w:jc w:val="center"/>
            </w:pPr>
            <w:r>
              <w:rPr>
                <w:sz w:val="20"/>
              </w:rPr>
              <w:t xml:space="preserve">3,2</w:t>
            </w:r>
          </w:p>
        </w:tc>
        <w:tc>
          <w:tcPr>
            <w:tcW w:w="1757" w:type="dxa"/>
            <w:vAlign w:val="center"/>
            <w:tcBorders>
              <w:top w:val="single" w:sz="4"/>
              <w:left w:val="nil"/>
              <w:bottom w:val="nil"/>
              <w:right w:val="nil"/>
            </w:tcBorders>
          </w:tcPr>
          <w:p>
            <w:pPr>
              <w:pStyle w:val="0"/>
              <w:jc w:val="center"/>
            </w:pPr>
            <w:r>
              <w:rPr>
                <w:sz w:val="20"/>
              </w:rPr>
              <w:t xml:space="preserve">8,0</w:t>
            </w:r>
          </w:p>
        </w:tc>
      </w:tr>
      <w:tr>
        <w:tc>
          <w:tcPr>
            <w:tcW w:w="4706" w:type="dxa"/>
            <w:tcBorders>
              <w:top w:val="nil"/>
              <w:left w:val="nil"/>
              <w:bottom w:val="nil"/>
              <w:right w:val="nil"/>
            </w:tcBorders>
          </w:tcPr>
          <w:p>
            <w:pPr>
              <w:pStyle w:val="0"/>
            </w:pPr>
            <w:r>
              <w:rPr>
                <w:sz w:val="20"/>
              </w:rPr>
              <w:t xml:space="preserve">в т.ч. НДС (уплачено минус возмещено)</w:t>
            </w:r>
          </w:p>
        </w:tc>
        <w:tc>
          <w:tcPr>
            <w:tcW w:w="2608" w:type="dxa"/>
            <w:vAlign w:val="center"/>
            <w:tcBorders>
              <w:top w:val="nil"/>
              <w:left w:val="nil"/>
              <w:bottom w:val="nil"/>
              <w:right w:val="nil"/>
            </w:tcBorders>
          </w:tcPr>
          <w:p>
            <w:pPr>
              <w:pStyle w:val="0"/>
              <w:jc w:val="center"/>
            </w:pPr>
            <w:r>
              <w:rPr>
                <w:sz w:val="20"/>
              </w:rPr>
              <w:t xml:space="preserve">-4,5</w:t>
            </w:r>
          </w:p>
        </w:tc>
        <w:tc>
          <w:tcPr>
            <w:tcW w:w="1757" w:type="dxa"/>
            <w:vAlign w:val="center"/>
            <w:tcBorders>
              <w:top w:val="nil"/>
              <w:left w:val="nil"/>
              <w:bottom w:val="nil"/>
              <w:right w:val="nil"/>
            </w:tcBorders>
          </w:tcPr>
          <w:p>
            <w:pPr>
              <w:pStyle w:val="0"/>
              <w:jc w:val="center"/>
            </w:pPr>
            <w:r>
              <w:rPr>
                <w:sz w:val="20"/>
              </w:rPr>
              <w:t xml:space="preserve">-6,1</w:t>
            </w:r>
          </w:p>
        </w:tc>
      </w:tr>
      <w:tr>
        <w:tc>
          <w:tcPr>
            <w:tcW w:w="4706" w:type="dxa"/>
            <w:tcBorders>
              <w:top w:val="nil"/>
              <w:left w:val="nil"/>
              <w:bottom w:val="nil"/>
              <w:right w:val="nil"/>
            </w:tcBorders>
          </w:tcPr>
          <w:p>
            <w:pPr>
              <w:pStyle w:val="0"/>
              <w:ind w:left="283"/>
            </w:pPr>
            <w:r>
              <w:rPr>
                <w:sz w:val="20"/>
              </w:rPr>
              <w:t xml:space="preserve">НДФЛ</w:t>
            </w:r>
          </w:p>
        </w:tc>
        <w:tc>
          <w:tcPr>
            <w:tcW w:w="2608" w:type="dxa"/>
            <w:vAlign w:val="center"/>
            <w:tcBorders>
              <w:top w:val="nil"/>
              <w:left w:val="nil"/>
              <w:bottom w:val="nil"/>
              <w:right w:val="nil"/>
            </w:tcBorders>
          </w:tcPr>
          <w:p>
            <w:pPr>
              <w:pStyle w:val="0"/>
              <w:jc w:val="center"/>
            </w:pPr>
            <w:r>
              <w:rPr>
                <w:sz w:val="20"/>
              </w:rPr>
              <w:t xml:space="preserve">2,9</w:t>
            </w:r>
          </w:p>
        </w:tc>
        <w:tc>
          <w:tcPr>
            <w:tcW w:w="1757" w:type="dxa"/>
            <w:vAlign w:val="center"/>
            <w:tcBorders>
              <w:top w:val="nil"/>
              <w:left w:val="nil"/>
              <w:bottom w:val="nil"/>
              <w:right w:val="nil"/>
            </w:tcBorders>
          </w:tcPr>
          <w:p>
            <w:pPr>
              <w:pStyle w:val="0"/>
              <w:jc w:val="center"/>
            </w:pPr>
            <w:r>
              <w:rPr>
                <w:sz w:val="20"/>
              </w:rPr>
              <w:t xml:space="preserve">8,2</w:t>
            </w:r>
          </w:p>
        </w:tc>
      </w:tr>
      <w:tr>
        <w:tc>
          <w:tcPr>
            <w:tcW w:w="4706" w:type="dxa"/>
            <w:tcBorders>
              <w:top w:val="nil"/>
              <w:left w:val="nil"/>
              <w:bottom w:val="nil"/>
              <w:right w:val="nil"/>
            </w:tcBorders>
          </w:tcPr>
          <w:p>
            <w:pPr>
              <w:pStyle w:val="0"/>
              <w:ind w:left="283"/>
            </w:pPr>
            <w:r>
              <w:rPr>
                <w:sz w:val="20"/>
              </w:rPr>
              <w:t xml:space="preserve">Налог на прибыль организаций</w:t>
            </w:r>
          </w:p>
        </w:tc>
        <w:tc>
          <w:tcPr>
            <w:tcW w:w="2608" w:type="dxa"/>
            <w:vAlign w:val="center"/>
            <w:tcBorders>
              <w:top w:val="nil"/>
              <w:left w:val="nil"/>
              <w:bottom w:val="nil"/>
              <w:right w:val="nil"/>
            </w:tcBorders>
          </w:tcPr>
          <w:p>
            <w:pPr>
              <w:pStyle w:val="0"/>
              <w:jc w:val="center"/>
            </w:pPr>
            <w:r>
              <w:rPr>
                <w:sz w:val="20"/>
              </w:rPr>
              <w:t xml:space="preserve">3,0</w:t>
            </w:r>
          </w:p>
        </w:tc>
        <w:tc>
          <w:tcPr>
            <w:tcW w:w="1757" w:type="dxa"/>
            <w:vAlign w:val="center"/>
            <w:tcBorders>
              <w:top w:val="nil"/>
              <w:left w:val="nil"/>
              <w:bottom w:val="nil"/>
              <w:right w:val="nil"/>
            </w:tcBorders>
          </w:tcPr>
          <w:p>
            <w:pPr>
              <w:pStyle w:val="0"/>
              <w:jc w:val="center"/>
            </w:pPr>
            <w:r>
              <w:rPr>
                <w:sz w:val="20"/>
              </w:rPr>
              <w:t xml:space="preserve">1,3</w:t>
            </w:r>
          </w:p>
        </w:tc>
      </w:tr>
      <w:tr>
        <w:tc>
          <w:tcPr>
            <w:tcW w:w="4706" w:type="dxa"/>
            <w:tcBorders>
              <w:top w:val="nil"/>
              <w:left w:val="nil"/>
              <w:bottom w:val="nil"/>
              <w:right w:val="nil"/>
            </w:tcBorders>
          </w:tcPr>
          <w:p>
            <w:pPr>
              <w:pStyle w:val="0"/>
              <w:ind w:left="283"/>
            </w:pPr>
            <w:r>
              <w:rPr>
                <w:sz w:val="20"/>
              </w:rPr>
              <w:t xml:space="preserve">Имущественные налоги</w:t>
            </w:r>
          </w:p>
        </w:tc>
        <w:tc>
          <w:tcPr>
            <w:tcW w:w="2608" w:type="dxa"/>
            <w:vAlign w:val="center"/>
            <w:tcBorders>
              <w:top w:val="nil"/>
              <w:left w:val="nil"/>
              <w:bottom w:val="nil"/>
              <w:right w:val="nil"/>
            </w:tcBorders>
          </w:tcPr>
          <w:p>
            <w:pPr>
              <w:pStyle w:val="0"/>
              <w:jc w:val="center"/>
            </w:pPr>
            <w:r>
              <w:rPr>
                <w:sz w:val="20"/>
              </w:rPr>
              <w:t xml:space="preserve">0,0</w:t>
            </w:r>
          </w:p>
        </w:tc>
        <w:tc>
          <w:tcPr>
            <w:tcW w:w="1757" w:type="dxa"/>
            <w:vAlign w:val="center"/>
            <w:tcBorders>
              <w:top w:val="nil"/>
              <w:left w:val="nil"/>
              <w:bottom w:val="nil"/>
              <w:right w:val="nil"/>
            </w:tcBorders>
          </w:tcPr>
          <w:p>
            <w:pPr>
              <w:pStyle w:val="0"/>
              <w:jc w:val="center"/>
            </w:pPr>
            <w:r>
              <w:rPr>
                <w:sz w:val="20"/>
              </w:rPr>
              <w:t xml:space="preserve">0,4</w:t>
            </w:r>
          </w:p>
        </w:tc>
      </w:tr>
      <w:tr>
        <w:tc>
          <w:tcPr>
            <w:tcW w:w="4706" w:type="dxa"/>
            <w:tcBorders>
              <w:top w:val="nil"/>
              <w:left w:val="nil"/>
              <w:bottom w:val="nil"/>
              <w:right w:val="nil"/>
            </w:tcBorders>
          </w:tcPr>
          <w:p>
            <w:pPr>
              <w:pStyle w:val="0"/>
              <w:ind w:left="283"/>
            </w:pPr>
            <w:r>
              <w:rPr>
                <w:sz w:val="20"/>
              </w:rPr>
              <w:t xml:space="preserve">Налоги по спецрежимам</w:t>
            </w:r>
          </w:p>
        </w:tc>
        <w:tc>
          <w:tcPr>
            <w:tcW w:w="2608" w:type="dxa"/>
            <w:vAlign w:val="center"/>
            <w:tcBorders>
              <w:top w:val="nil"/>
              <w:left w:val="nil"/>
              <w:bottom w:val="nil"/>
              <w:right w:val="nil"/>
            </w:tcBorders>
          </w:tcPr>
          <w:p>
            <w:pPr>
              <w:pStyle w:val="0"/>
              <w:jc w:val="center"/>
            </w:pPr>
            <w:r>
              <w:rPr>
                <w:sz w:val="20"/>
              </w:rPr>
              <w:t xml:space="preserve">-1,2</w:t>
            </w:r>
          </w:p>
        </w:tc>
        <w:tc>
          <w:tcPr>
            <w:tcW w:w="1757" w:type="dxa"/>
            <w:vAlign w:val="center"/>
            <w:tcBorders>
              <w:top w:val="nil"/>
              <w:left w:val="nil"/>
              <w:bottom w:val="nil"/>
              <w:right w:val="nil"/>
            </w:tcBorders>
          </w:tcPr>
          <w:p>
            <w:pPr>
              <w:pStyle w:val="0"/>
              <w:jc w:val="center"/>
            </w:pPr>
            <w:r>
              <w:rPr>
                <w:sz w:val="20"/>
              </w:rPr>
              <w:t xml:space="preserve">8,3</w:t>
            </w:r>
          </w:p>
        </w:tc>
      </w:tr>
      <w:tr>
        <w:tc>
          <w:tcPr>
            <w:tcW w:w="4706" w:type="dxa"/>
            <w:tcBorders>
              <w:top w:val="nil"/>
              <w:left w:val="nil"/>
              <w:bottom w:val="single" w:sz="4"/>
              <w:right w:val="nil"/>
            </w:tcBorders>
          </w:tcPr>
          <w:p>
            <w:pPr>
              <w:pStyle w:val="0"/>
              <w:ind w:left="283"/>
            </w:pPr>
            <w:r>
              <w:rPr>
                <w:sz w:val="20"/>
              </w:rPr>
              <w:t xml:space="preserve">Страховые взносы</w:t>
            </w:r>
          </w:p>
        </w:tc>
        <w:tc>
          <w:tcPr>
            <w:tcW w:w="2608" w:type="dxa"/>
            <w:vAlign w:val="center"/>
            <w:tcBorders>
              <w:top w:val="nil"/>
              <w:left w:val="nil"/>
              <w:bottom w:val="single" w:sz="4"/>
              <w:right w:val="nil"/>
            </w:tcBorders>
          </w:tcPr>
          <w:p>
            <w:pPr>
              <w:pStyle w:val="0"/>
              <w:jc w:val="center"/>
            </w:pPr>
            <w:r>
              <w:rPr>
                <w:sz w:val="20"/>
              </w:rPr>
              <w:t xml:space="preserve">2,9</w:t>
            </w:r>
          </w:p>
        </w:tc>
        <w:tc>
          <w:tcPr>
            <w:tcW w:w="1757" w:type="dxa"/>
            <w:vAlign w:val="center"/>
            <w:tcBorders>
              <w:top w:val="nil"/>
              <w:left w:val="nil"/>
              <w:bottom w:val="single" w:sz="4"/>
              <w:right w:val="nil"/>
            </w:tcBorders>
          </w:tcPr>
          <w:p>
            <w:pPr>
              <w:pStyle w:val="0"/>
              <w:jc w:val="center"/>
            </w:pPr>
            <w:r>
              <w:rPr>
                <w:sz w:val="20"/>
              </w:rPr>
              <w:t xml:space="preserve">-4,0</w:t>
            </w:r>
          </w:p>
        </w:tc>
      </w:tr>
    </w:tbl>
    <w:p>
      <w:pPr>
        <w:pStyle w:val="0"/>
        <w:jc w:val="both"/>
      </w:pPr>
      <w:r>
        <w:rPr>
          <w:sz w:val="20"/>
        </w:rPr>
      </w:r>
    </w:p>
    <w:p>
      <w:pPr>
        <w:pStyle w:val="0"/>
        <w:ind w:firstLine="540"/>
        <w:jc w:val="both"/>
      </w:pPr>
      <w:r>
        <w:rPr>
          <w:sz w:val="20"/>
        </w:rPr>
        <w:t xml:space="preserve">Положительный бюджетный эффект от введения налоговых льгот для общепита в 2022 году оценивается в сумме 3,0 млрд рублей (определен с учетом темпа роста платежей в бюджетную систему Российской Федерации от налогоплательщиков, не применивших льготы для общепита).</w:t>
      </w:r>
    </w:p>
    <w:p>
      <w:pPr>
        <w:pStyle w:val="0"/>
        <w:spacing w:before="200" w:line-rule="auto"/>
        <w:ind w:firstLine="540"/>
        <w:jc w:val="both"/>
      </w:pPr>
      <w:r>
        <w:rPr>
          <w:sz w:val="20"/>
        </w:rPr>
        <w:t xml:space="preserve">Вывод: В связи с тем, что темпы роста среднесписочной численности, фонда оплаты труда, выручки, платежей в бюджетную систему Российской Федерации по налогоплательщикам, применившим льготы для общепита выше аналогичных показателей по отрасли общепита в целом влияние изменения налогообложения общепита вышеуказанным показателям отрасли по итогам 2022 года, оценивается положительным.</w:t>
      </w:r>
    </w:p>
    <w:p>
      <w:pPr>
        <w:pStyle w:val="0"/>
        <w:jc w:val="both"/>
      </w:pPr>
      <w:r>
        <w:rPr>
          <w:sz w:val="20"/>
        </w:rPr>
      </w:r>
    </w:p>
    <w:p>
      <w:pPr>
        <w:pStyle w:val="2"/>
        <w:outlineLvl w:val="1"/>
        <w:ind w:firstLine="540"/>
        <w:jc w:val="both"/>
      </w:pPr>
      <w:r>
        <w:rPr>
          <w:sz w:val="20"/>
        </w:rPr>
        <w:t xml:space="preserve">Акциз</w:t>
      </w:r>
    </w:p>
    <w:p>
      <w:pPr>
        <w:pStyle w:val="0"/>
        <w:spacing w:before="200" w:line-rule="auto"/>
        <w:ind w:firstLine="540"/>
        <w:jc w:val="both"/>
      </w:pPr>
      <w:r>
        <w:rPr>
          <w:sz w:val="20"/>
        </w:rPr>
        <w:t xml:space="preserve">Проработка вопроса о внесении в законодательство Российской Федерации о налогах и сборах изменений, направленных на совершенствование подходов налогообложения акцизом на сталь жидкую. В рамках проработки планируется оценить практику применения налога, его влияния на финансовые результаты плательщиков налога, и, при необходимости, корректировка данного механизма в целях повышения эффективности его применения с точки зрения баланса интересов государства и бизнеса.</w:t>
      </w:r>
    </w:p>
    <w:p>
      <w:pPr>
        <w:pStyle w:val="0"/>
        <w:spacing w:before="200" w:line-rule="auto"/>
        <w:ind w:firstLine="540"/>
        <w:jc w:val="both"/>
      </w:pPr>
      <w:r>
        <w:rPr>
          <w:sz w:val="20"/>
        </w:rPr>
        <w:t xml:space="preserve">Поступления от акцизов на сталь, выплавленную в конвертерных печах, в 2022 году составили 42,4 млрд рублей, от акцизов на сталь, выплавленную в электропечах - около 6 млрд рублей. Основываясь на итогах мониторинга рентабельности металлургического сегмента в III квартале 2022 года, скорректирована цена на сляб, при которой ставка акциза на сталь жидкую будет приниматься равной нулю. Так, с 1 августа 2022 года ставка акциза на жидкую сталь обнуляется при цене на сляб менее 30 тыс. рублей за 1 тонну.</w:t>
      </w:r>
    </w:p>
    <w:p>
      <w:pPr>
        <w:pStyle w:val="0"/>
        <w:spacing w:before="200" w:line-rule="auto"/>
        <w:ind w:firstLine="540"/>
        <w:jc w:val="both"/>
      </w:pPr>
      <w:r>
        <w:rPr>
          <w:sz w:val="20"/>
        </w:rPr>
        <w:t xml:space="preserve">По оценкам Минфина России, рентабельность экспортных поставок стальных полуфабрикатов металлургических компаний в 1 полугодии 2023 года составляет 37%, что значительно выше уровня 2 полугодия 2022 года (12%). Достижению указанного показателя способствует рост цен на стальные полуфабрикаты: средняя цена сляба за 2 полугодие 2022 года составляла 442 долл. США/т, а за 1 полугодие 2023 оценивается на уровне 562 долл. США/т, а аналогичные показатели в отношении стальной заготовки составили 507 и 564 долл. США/т, соответственно. Кроме того, рентабельность поставок стального проката на внутренний рынок в 1 полугодии 2023 года сохранилась на уровне 2 полугодия 2022 года и составила 27%. При этом, следует отметить, что налоговая нагрузка по акцизу на сталь жидкую за 1 полугодие 2023 года оценивается на уровне не более 2% от выручки металлургических предприятий.</w:t>
      </w:r>
    </w:p>
    <w:p>
      <w:pPr>
        <w:pStyle w:val="0"/>
        <w:jc w:val="both"/>
      </w:pPr>
      <w:r>
        <w:rPr>
          <w:sz w:val="20"/>
        </w:rPr>
      </w:r>
    </w:p>
    <w:p>
      <w:pPr>
        <w:pStyle w:val="2"/>
        <w:outlineLvl w:val="1"/>
        <w:ind w:firstLine="540"/>
        <w:jc w:val="both"/>
      </w:pPr>
      <w:r>
        <w:rPr>
          <w:sz w:val="20"/>
        </w:rPr>
        <w:t xml:space="preserve">Трансфертное ценообразование</w:t>
      </w:r>
    </w:p>
    <w:p>
      <w:pPr>
        <w:pStyle w:val="0"/>
        <w:spacing w:before="200" w:line-rule="auto"/>
        <w:ind w:firstLine="540"/>
        <w:jc w:val="both"/>
      </w:pPr>
      <w:r>
        <w:rPr>
          <w:sz w:val="20"/>
        </w:rPr>
        <w:t xml:space="preserve">В результате проработки вопроса о введении механизма налогообложения у источника в Российской Федерации доходов лиц, не являющихся налоговыми резидентами Российской Федерации (если они были получены в результате манипулирования ценами в сделках между взаимозависимыми лицами), принято решение о целесообразности введения такого механизма, поскольку его применение будет способствовать сокращению вывода капитала из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4</w:t>
      </w:r>
    </w:p>
    <w:p>
      <w:pPr>
        <w:pStyle w:val="0"/>
        <w:jc w:val="both"/>
      </w:pPr>
      <w:r>
        <w:rPr>
          <w:sz w:val="20"/>
        </w:rPr>
      </w:r>
    </w:p>
    <w:p>
      <w:pPr>
        <w:pStyle w:val="2"/>
        <w:jc w:val="center"/>
      </w:pPr>
      <w:r>
        <w:rPr>
          <w:sz w:val="20"/>
        </w:rPr>
        <w:t xml:space="preserve">АКТУАЛЬНЫЕ ВОПРОСЫ НАЛОГООБЛОЖЕНИЯ НА ПЕРСПЕКТИВУ</w:t>
      </w:r>
    </w:p>
    <w:p>
      <w:pPr>
        <w:pStyle w:val="0"/>
        <w:jc w:val="both"/>
      </w:pPr>
      <w:r>
        <w:rPr>
          <w:sz w:val="20"/>
        </w:rPr>
      </w:r>
    </w:p>
    <w:p>
      <w:pPr>
        <w:pStyle w:val="2"/>
        <w:outlineLvl w:val="1"/>
        <w:ind w:firstLine="540"/>
        <w:jc w:val="both"/>
      </w:pPr>
      <w:r>
        <w:rPr>
          <w:sz w:val="20"/>
        </w:rPr>
        <w:t xml:space="preserve">Совершенствование налогового администрирования</w:t>
      </w:r>
    </w:p>
    <w:p>
      <w:pPr>
        <w:pStyle w:val="0"/>
        <w:spacing w:before="200" w:line-rule="auto"/>
        <w:ind w:firstLine="540"/>
        <w:jc w:val="both"/>
      </w:pPr>
      <w:r>
        <w:rPr>
          <w:sz w:val="20"/>
        </w:rPr>
        <w:t xml:space="preserve">1. Не утратил актуальности вопрос внедрения отношений по применению контрольно-кассовой техники в сферу регулирования налогового законодательства, а также объединение проводимых налоговыми органами мероприятий в отношении контрольно-кассовой техники и полноты учета выручки в рамках оперативного контроля.</w:t>
      </w:r>
    </w:p>
    <w:p>
      <w:pPr>
        <w:pStyle w:val="0"/>
        <w:spacing w:before="200" w:line-rule="auto"/>
        <w:ind w:firstLine="540"/>
        <w:jc w:val="both"/>
      </w:pPr>
      <w:r>
        <w:rPr>
          <w:sz w:val="20"/>
        </w:rPr>
        <w:t xml:space="preserve">В этой связи в 2023 и 2024 годах методология интеграции законодательства Российской Федерации о применении контрольно-кассовой техники в законодательство Российской Федерации о налогах и сборах будет дополнительно проанализирована, в том числе с целью четкой увязки оперативных проверок с налоговыми проверками и защиты прав субъектов предпринимательской деятельности в связи с проведением оперативного контроля.</w:t>
      </w:r>
    </w:p>
    <w:p>
      <w:pPr>
        <w:pStyle w:val="0"/>
        <w:spacing w:before="200" w:line-rule="auto"/>
        <w:ind w:firstLine="540"/>
        <w:jc w:val="both"/>
      </w:pPr>
      <w:r>
        <w:rPr>
          <w:sz w:val="20"/>
        </w:rPr>
        <w:t xml:space="preserve">За указанный период предлагается выйти на нормотворческие решения, которые обеспечат реализацию задачи по интеграции законодательства Российской Федерации о применении контрольно-кассовой техники в законодательство Российской Федерации о налогах и сборах.</w:t>
      </w:r>
    </w:p>
    <w:p>
      <w:pPr>
        <w:pStyle w:val="0"/>
        <w:spacing w:before="200" w:line-rule="auto"/>
        <w:ind w:firstLine="540"/>
        <w:jc w:val="both"/>
      </w:pPr>
      <w:r>
        <w:rPr>
          <w:sz w:val="20"/>
        </w:rPr>
        <w:t xml:space="preserve">2. Планируется проработать вопрос предоставления права налоговым органам применять предварительные обеспечительные меры для борьбы со схемами сокрытия недобросовестными плательщиками своего имущества и вывода активов.</w:t>
      </w:r>
    </w:p>
    <w:p>
      <w:pPr>
        <w:pStyle w:val="0"/>
        <w:spacing w:before="200" w:line-rule="auto"/>
        <w:ind w:firstLine="540"/>
        <w:jc w:val="both"/>
      </w:pPr>
      <w:r>
        <w:rPr>
          <w:sz w:val="20"/>
        </w:rPr>
        <w:t xml:space="preserve">В связи с тем, что с момента начала налоговой проверки (окончания проведения камеральной налоговой проверки) до вынесения по ее итогам решения проходит достаточно долгий период времени, недобросовестные плательщики успевают скрыть свое имущество, уклоняясь тем самым от уплаты обязательных платежей.</w:t>
      </w:r>
    </w:p>
    <w:p>
      <w:pPr>
        <w:pStyle w:val="0"/>
        <w:spacing w:before="200" w:line-rule="auto"/>
        <w:ind w:firstLine="540"/>
        <w:jc w:val="both"/>
      </w:pPr>
      <w:r>
        <w:rPr>
          <w:sz w:val="20"/>
        </w:rPr>
        <w:t xml:space="preserve">Чтобы пресечь использование подобных схем уже разработан и широко обсуждается механизм обеспечения залогом неуплаченных обязательных платежей, регулируемых Налоговым </w:t>
      </w:r>
      <w:hyperlink w:history="0" r:id="rId48"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кодексом</w:t>
        </w:r>
      </w:hyperlink>
      <w:r>
        <w:rPr>
          <w:sz w:val="20"/>
        </w:rPr>
        <w:t xml:space="preserve"> Российской Федерации, с момента принятия решения о проведении выездной налоговой проверки (по итогам проведенной камеральной налоговой проверки).</w:t>
      </w:r>
    </w:p>
    <w:p>
      <w:pPr>
        <w:pStyle w:val="0"/>
        <w:spacing w:before="200" w:line-rule="auto"/>
        <w:ind w:firstLine="540"/>
        <w:jc w:val="both"/>
      </w:pPr>
      <w:r>
        <w:rPr>
          <w:sz w:val="20"/>
        </w:rPr>
        <w:t xml:space="preserve">При этом подобное решение, как и планировалось изначально, будет ограничено суммой, рассчитанной как разница между совокупной суммой налогов, сборов, страховых взносов, рассчитанных исходя из среднеотраслевой налоговой нагрузки и совокупной суммой налогов, сборов, страховых взносов, уплаченных плательщиком за период, проверяемый в рамках налоговой проверки.</w:t>
      </w:r>
    </w:p>
    <w:p>
      <w:pPr>
        <w:pStyle w:val="0"/>
        <w:jc w:val="both"/>
      </w:pPr>
      <w:r>
        <w:rPr>
          <w:sz w:val="20"/>
        </w:rPr>
      </w:r>
    </w:p>
    <w:p>
      <w:pPr>
        <w:pStyle w:val="2"/>
        <w:outlineLvl w:val="1"/>
        <w:ind w:firstLine="540"/>
        <w:jc w:val="both"/>
      </w:pPr>
      <w:r>
        <w:rPr>
          <w:sz w:val="20"/>
        </w:rPr>
        <w:t xml:space="preserve">Налог на прибыль организаций</w:t>
      </w:r>
    </w:p>
    <w:p>
      <w:pPr>
        <w:pStyle w:val="0"/>
        <w:spacing w:before="200" w:line-rule="auto"/>
        <w:ind w:firstLine="540"/>
        <w:jc w:val="both"/>
      </w:pPr>
      <w:r>
        <w:rPr>
          <w:sz w:val="20"/>
        </w:rPr>
        <w:t xml:space="preserve">1. В предстоящий период будет рассмотрен вопрос необходимости специального регулирования учета для целей налогообложения налогом на прибыль организаций изменения стоимости облигаций федерального займа с индексируемым номиналом, в том числе в случае, когда на дату реализации этой ценной бумаги отрицательная разница от изменения стоимости превышает процентный доход по такой ценной бумаге.</w:t>
      </w:r>
    </w:p>
    <w:p>
      <w:pPr>
        <w:pStyle w:val="0"/>
        <w:spacing w:before="200" w:line-rule="auto"/>
        <w:ind w:firstLine="540"/>
        <w:jc w:val="both"/>
      </w:pPr>
      <w:r>
        <w:rPr>
          <w:sz w:val="20"/>
        </w:rPr>
        <w:t xml:space="preserve">2. Также предлагается оценить необходимость расширения перечня сомнительных долгов за счет задолженности, возникшей на основании решения суда, вступившего в законную силу.</w:t>
      </w:r>
    </w:p>
    <w:p>
      <w:pPr>
        <w:pStyle w:val="0"/>
        <w:spacing w:before="200" w:line-rule="auto"/>
        <w:ind w:firstLine="540"/>
        <w:jc w:val="both"/>
      </w:pPr>
      <w:r>
        <w:rPr>
          <w:sz w:val="20"/>
        </w:rPr>
        <w:t xml:space="preserve">3. При формировании бюджета за счет налоговых доходов от уплаты налога на прибыль организаций планируется оценить эффект, полученный в результате отказа с 1 января 2023 года от института консолидированных групп налогоплательщиков.</w:t>
      </w:r>
    </w:p>
    <w:p>
      <w:pPr>
        <w:pStyle w:val="0"/>
        <w:jc w:val="both"/>
      </w:pPr>
      <w:r>
        <w:rPr>
          <w:sz w:val="20"/>
        </w:rPr>
      </w:r>
    </w:p>
    <w:p>
      <w:pPr>
        <w:pStyle w:val="2"/>
        <w:outlineLvl w:val="1"/>
        <w:ind w:firstLine="540"/>
        <w:jc w:val="both"/>
      </w:pPr>
      <w:r>
        <w:rPr>
          <w:sz w:val="20"/>
        </w:rPr>
        <w:t xml:space="preserve">Налог на добавленную стоимость</w:t>
      </w:r>
    </w:p>
    <w:p>
      <w:pPr>
        <w:pStyle w:val="0"/>
        <w:spacing w:before="200" w:line-rule="auto"/>
        <w:ind w:firstLine="540"/>
        <w:jc w:val="both"/>
      </w:pPr>
      <w:r>
        <w:rPr>
          <w:sz w:val="20"/>
        </w:rPr>
        <w:t xml:space="preserve">Будет проведен мониторинг применения нулевой ставки НДС на услуги по предоставлению мест для временного проживания в гостиницах и иных средствах размещения по итогам 2023 и 2024 года.</w:t>
      </w:r>
    </w:p>
    <w:p>
      <w:pPr>
        <w:pStyle w:val="0"/>
        <w:spacing w:before="200" w:line-rule="auto"/>
        <w:ind w:firstLine="540"/>
        <w:jc w:val="both"/>
      </w:pPr>
      <w:r>
        <w:rPr>
          <w:sz w:val="20"/>
        </w:rPr>
        <w:t xml:space="preserve">Данная мера была введена в целях поддержки отрасли гостеприимства. По итогам указанного периода будет дана оценка изменения размера инвестиций в отрасль, изменения количества мест размещения, изменения количества рабочих мест в данном сегменте экономической деятельности, а также иных параметров, на которые были направлены налоговые меры поддержки. С учетом параметров, которые будут достигнуты будет приниматься решение о востребованности и эффективности предоставленных мер поддержки.</w:t>
      </w:r>
    </w:p>
    <w:p>
      <w:pPr>
        <w:pStyle w:val="0"/>
        <w:jc w:val="both"/>
      </w:pPr>
      <w:r>
        <w:rPr>
          <w:sz w:val="20"/>
        </w:rPr>
      </w:r>
    </w:p>
    <w:p>
      <w:pPr>
        <w:pStyle w:val="2"/>
        <w:outlineLvl w:val="1"/>
        <w:ind w:firstLine="540"/>
        <w:jc w:val="both"/>
      </w:pPr>
      <w:r>
        <w:rPr>
          <w:sz w:val="20"/>
        </w:rPr>
        <w:t xml:space="preserve">Акцизы</w:t>
      </w:r>
    </w:p>
    <w:p>
      <w:pPr>
        <w:pStyle w:val="0"/>
        <w:spacing w:before="200" w:line-rule="auto"/>
        <w:ind w:firstLine="540"/>
        <w:jc w:val="both"/>
      </w:pPr>
      <w:r>
        <w:rPr>
          <w:sz w:val="20"/>
        </w:rPr>
        <w:t xml:space="preserve">1. Будет проведена оценка возможности перехода на уплату акциза в отношении табачной и никотинсодержащей продукции, производимой и реализуемой на территории Российской Федерации, на основе использования в этих целях данных государственной информационной системы маркировки.</w:t>
      </w:r>
    </w:p>
    <w:p>
      <w:pPr>
        <w:pStyle w:val="0"/>
        <w:spacing w:before="200" w:line-rule="auto"/>
        <w:ind w:firstLine="540"/>
        <w:jc w:val="both"/>
      </w:pPr>
      <w:r>
        <w:rPr>
          <w:sz w:val="20"/>
        </w:rPr>
        <w:t xml:space="preserve">2. В рамках анализа практики применения акциза на сахаросодержащие напитки планируется оценить динамику поступлений в федеральный бюджет сумм налога, изменения структуры и баланса производства безалкогольных напитков, в том числе сахаросодержащих, в целях подготовки предложений по совершенствованию такого налогообложения.</w:t>
      </w:r>
    </w:p>
    <w:p>
      <w:pPr>
        <w:pStyle w:val="0"/>
        <w:jc w:val="both"/>
      </w:pPr>
      <w:r>
        <w:rPr>
          <w:sz w:val="20"/>
        </w:rPr>
      </w:r>
    </w:p>
    <w:p>
      <w:pPr>
        <w:pStyle w:val="2"/>
        <w:outlineLvl w:val="1"/>
        <w:ind w:firstLine="540"/>
        <w:jc w:val="both"/>
      </w:pPr>
      <w:r>
        <w:rPr>
          <w:sz w:val="20"/>
        </w:rPr>
        <w:t xml:space="preserve">Налог на имущество организаций</w:t>
      </w:r>
    </w:p>
    <w:p>
      <w:pPr>
        <w:pStyle w:val="0"/>
        <w:spacing w:before="200" w:line-rule="auto"/>
        <w:ind w:firstLine="540"/>
        <w:jc w:val="both"/>
      </w:pPr>
      <w:r>
        <w:rPr>
          <w:sz w:val="20"/>
        </w:rPr>
        <w:t xml:space="preserve">Будет осуществлена проработка перехода к налогообложению недвижимости организаций исходя из кадастровой стоимости в отношении всех объектов недвижимости (за исключением объектов отдельных видов: линейные, технически сложные сооружения, воздушные и морские суда и т.п.).</w:t>
      </w:r>
    </w:p>
    <w:p>
      <w:pPr>
        <w:pStyle w:val="0"/>
        <w:jc w:val="both"/>
      </w:pPr>
      <w:r>
        <w:rPr>
          <w:sz w:val="20"/>
        </w:rPr>
      </w:r>
    </w:p>
    <w:p>
      <w:pPr>
        <w:pStyle w:val="2"/>
        <w:outlineLvl w:val="1"/>
        <w:ind w:firstLine="540"/>
        <w:jc w:val="both"/>
      </w:pPr>
      <w:r>
        <w:rPr>
          <w:sz w:val="20"/>
        </w:rPr>
        <w:t xml:space="preserve">Специальные налоговые режимы</w:t>
      </w:r>
    </w:p>
    <w:p>
      <w:pPr>
        <w:pStyle w:val="0"/>
        <w:spacing w:before="200" w:line-rule="auto"/>
        <w:ind w:firstLine="540"/>
        <w:jc w:val="both"/>
      </w:pPr>
      <w:r>
        <w:rPr>
          <w:sz w:val="20"/>
        </w:rPr>
        <w:t xml:space="preserve">1. Будет рассмотрен вопрос увеличение предельного значения остаточной стоимости основных средств со 150 млн рублей до 200 млн рублей в целях применения упрощенной системы налогообложения.</w:t>
      </w:r>
    </w:p>
    <w:p>
      <w:pPr>
        <w:pStyle w:val="0"/>
        <w:spacing w:before="200" w:line-rule="auto"/>
        <w:ind w:firstLine="540"/>
        <w:jc w:val="both"/>
      </w:pPr>
      <w:r>
        <w:rPr>
          <w:sz w:val="20"/>
        </w:rPr>
        <w:t xml:space="preserve">2. Будет проведен анализ и дана оценка текущих итогов эксперимента по установлению в четырех российских регионах специального налогового режима "Автоматическая упрощенная система налогообложения" (далее - АУСН), в том числе в части его востребованности, удобности для предпринимателей, количества субъектов предпринимательской деятельности, перешедших на данный налоговый режим, а также в части факторов, затрудняющих предпринимателям переход на АУСН и его применение. На основе анализа будут выработаны предложения по корректировке АУСН с целью сделать его более привлекательным и удобным для предпринимательского сообщества.</w:t>
      </w:r>
    </w:p>
    <w:p>
      <w:pPr>
        <w:pStyle w:val="0"/>
        <w:jc w:val="both"/>
      </w:pPr>
      <w:r>
        <w:rPr>
          <w:sz w:val="20"/>
        </w:rPr>
      </w:r>
    </w:p>
    <w:p>
      <w:pPr>
        <w:pStyle w:val="2"/>
        <w:outlineLvl w:val="1"/>
        <w:ind w:firstLine="540"/>
        <w:jc w:val="both"/>
      </w:pPr>
      <w:r>
        <w:rPr>
          <w:sz w:val="20"/>
        </w:rPr>
        <w:t xml:space="preserve">Международное налогообложение</w:t>
      </w:r>
    </w:p>
    <w:p>
      <w:pPr>
        <w:pStyle w:val="0"/>
        <w:spacing w:before="200" w:line-rule="auto"/>
        <w:ind w:firstLine="540"/>
        <w:jc w:val="both"/>
      </w:pPr>
      <w:r>
        <w:rPr>
          <w:sz w:val="20"/>
        </w:rPr>
        <w:t xml:space="preserve">1. Планируется ратификация подписанного 8 июня 2023 года </w:t>
      </w:r>
      <w:hyperlink w:history="0" r:id="rId49" w:tooltip="&quot;Соглашение между Правительством Российской Федерации и Правительством Султаната Оман об устранении двойного налогообложения в отношении налогов на доходы и предотвращении избежания и уклонения от налогообложения&quot; (Заключено в г. Маскате 08.06.2023) (вместе с &quot;Протоколом между Правительством Российской Федерации и Правительством Султаната Оман&quot;) {КонсультантПлюс}">
        <w:r>
          <w:rPr>
            <w:sz w:val="20"/>
            <w:color w:val="0000ff"/>
          </w:rPr>
          <w:t xml:space="preserve">Соглашение</w:t>
        </w:r>
      </w:hyperlink>
      <w:r>
        <w:rPr>
          <w:sz w:val="20"/>
        </w:rPr>
        <w:t xml:space="preserve"> между Правительством Российской Федерации и Правительством Султаната Оман об устранении двойного налогообложения в отношении налогов на доходы и о предотвращении избежания и уклонения от налогообложения.</w:t>
      </w:r>
    </w:p>
    <w:p>
      <w:pPr>
        <w:pStyle w:val="0"/>
        <w:spacing w:before="200" w:line-rule="auto"/>
        <w:ind w:firstLine="540"/>
        <w:jc w:val="both"/>
      </w:pPr>
      <w:r>
        <w:rPr>
          <w:sz w:val="20"/>
        </w:rPr>
        <w:t xml:space="preserve">2. Состоятся переговоры с Объединенными Арабскими Эмиратами по заключению Соглашения между Правительством Российской Федерации и Правительством Объединенных Арабских Эмиратов об устранении двойного налогообложения в отношении налогов на доходы и имущество и о предотвращении избежания и уклонения от налогообложения.</w:t>
      </w:r>
    </w:p>
    <w:p>
      <w:pPr>
        <w:pStyle w:val="0"/>
        <w:spacing w:before="200" w:line-rule="auto"/>
        <w:ind w:firstLine="540"/>
        <w:jc w:val="both"/>
      </w:pPr>
      <w:r>
        <w:rPr>
          <w:sz w:val="20"/>
        </w:rPr>
        <w:t xml:space="preserve">3. Будет проведена оценка необходимости внесения в законодательство Российской Федерации о налогах и сборах изменений, обеспечивающих установление в Российской Федерации уровня налогообложения российских холдингов, подпадающих под действие новых правил международного налогообложения, не ниже минимально принятого на глобальном уровне, в связи с планируемым внедрением новых правил налогообложения прибыли МГК, устанавливающих глобальный минимальный налог на прибыль на уровне 15% (GloBE Rules), иностранными государствами в свои национальные законодательства.</w:t>
      </w:r>
    </w:p>
    <w:p>
      <w:pPr>
        <w:pStyle w:val="0"/>
        <w:jc w:val="both"/>
      </w:pPr>
      <w:r>
        <w:rPr>
          <w:sz w:val="20"/>
        </w:rPr>
      </w:r>
    </w:p>
    <w:p>
      <w:pPr>
        <w:pStyle w:val="2"/>
        <w:outlineLvl w:val="1"/>
        <w:ind w:firstLine="540"/>
        <w:jc w:val="both"/>
      </w:pPr>
      <w:r>
        <w:rPr>
          <w:sz w:val="20"/>
        </w:rPr>
        <w:t xml:space="preserve">Туристический сбор</w:t>
      </w:r>
    </w:p>
    <w:p>
      <w:pPr>
        <w:pStyle w:val="0"/>
        <w:spacing w:before="200" w:line-rule="auto"/>
        <w:ind w:firstLine="540"/>
        <w:jc w:val="both"/>
      </w:pPr>
      <w:r>
        <w:rPr>
          <w:sz w:val="20"/>
        </w:rPr>
        <w:t xml:space="preserve">Планируется оценить целесообразность предоставления субъектам Российской Федерации права введения туристического сбора.</w:t>
      </w:r>
    </w:p>
    <w:p>
      <w:pPr>
        <w:pStyle w:val="0"/>
        <w:spacing w:before="200" w:line-rule="auto"/>
        <w:ind w:firstLine="540"/>
        <w:jc w:val="both"/>
      </w:pPr>
      <w:r>
        <w:rPr>
          <w:sz w:val="20"/>
        </w:rPr>
        <w:t xml:space="preserve">Введение данного сбора позволит привлечь дополнительные средства в бюджеты субъектов Российской Федерации, вместе с тем, уже сейчас очевиден отказ от целевого характера данных платежей, что не позволит напрямую направлять средства, полученные путем введения данного сбора на улучшение инфраструктуры гостеприимства.</w:t>
      </w:r>
    </w:p>
    <w:p>
      <w:pPr>
        <w:pStyle w:val="0"/>
        <w:spacing w:before="200" w:line-rule="auto"/>
        <w:ind w:firstLine="540"/>
        <w:jc w:val="both"/>
      </w:pPr>
      <w:r>
        <w:rPr>
          <w:sz w:val="20"/>
        </w:rPr>
        <w:t xml:space="preserve">Кроме того, заслуживает внимания тот факт, что введение туристического сбора приведет к удорожанию услуг. Вместе с тем, с учетом итогов эксперимента по обнулению НДС на услуги по предоставлению мест для временного проживания в гостиницах и иных средствах размещения, данное удорожание может быть нивелировано.</w:t>
      </w:r>
    </w:p>
    <w:p>
      <w:pPr>
        <w:pStyle w:val="0"/>
        <w:spacing w:before="200" w:line-rule="auto"/>
        <w:ind w:firstLine="540"/>
        <w:jc w:val="both"/>
      </w:pPr>
      <w:r>
        <w:rPr>
          <w:sz w:val="20"/>
        </w:rPr>
        <w:t xml:space="preserve">Таким образом, в течение 2023 и 2024 годов Минфином России будет анализироваться возможность введения туристического сбора, в том числе с учетом итогов анализа эксперимента по установлению и взиманию курортного сбора.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5</w:t>
      </w:r>
    </w:p>
    <w:p>
      <w:pPr>
        <w:pStyle w:val="0"/>
        <w:jc w:val="both"/>
      </w:pPr>
      <w:r>
        <w:rPr>
          <w:sz w:val="20"/>
        </w:rPr>
      </w:r>
    </w:p>
    <w:p>
      <w:pPr>
        <w:pStyle w:val="2"/>
        <w:jc w:val="center"/>
      </w:pPr>
      <w:r>
        <w:rPr>
          <w:sz w:val="20"/>
        </w:rPr>
        <w:t xml:space="preserve">ОЦЕНКА</w:t>
      </w:r>
    </w:p>
    <w:p>
      <w:pPr>
        <w:pStyle w:val="2"/>
        <w:jc w:val="center"/>
      </w:pPr>
      <w:r>
        <w:rPr>
          <w:sz w:val="20"/>
        </w:rPr>
        <w:t xml:space="preserve">ЭФФЕКТИВНОСТИ ИНВЕСТИЦИОННЫХ НАЛОГОВЫХ ЛЬГОТ</w:t>
      </w:r>
    </w:p>
    <w:p>
      <w:pPr>
        <w:pStyle w:val="2"/>
        <w:jc w:val="center"/>
      </w:pPr>
      <w:r>
        <w:rPr>
          <w:sz w:val="20"/>
        </w:rPr>
        <w:t xml:space="preserve">И ПРЕФЕРЕНЦИАЛЬНЫХ НАЛОГОВЫХ РЕЖИМОВ</w:t>
      </w:r>
    </w:p>
    <w:p>
      <w:pPr>
        <w:pStyle w:val="0"/>
        <w:jc w:val="both"/>
      </w:pPr>
      <w:r>
        <w:rPr>
          <w:sz w:val="20"/>
        </w:rPr>
      </w:r>
    </w:p>
    <w:p>
      <w:pPr>
        <w:pStyle w:val="0"/>
        <w:ind w:firstLine="540"/>
        <w:jc w:val="both"/>
      </w:pPr>
      <w:r>
        <w:rPr>
          <w:sz w:val="20"/>
        </w:rPr>
        <w:t xml:space="preserve">В настоящее время на территории Российской Федерации применяется порядка 35 инвестиционных налоговых льгот и преференциальных налоговых режимов. За последние 6 лет величина выпадающих доходов бюджетов бюджетной системы Российской Федерации &lt;2&gt; в связи с действием инвестиционных налоговых льгот и преференциальных налоговых режимов увеличилась с 0,7 трлн рублей в 2017 году до 2,8 трлн рублей в 2022 году (порядка 34% от ожидаемой величины общих налоговых расходов бюджета), в том числе по налоговым льготам с 0,6 трлн руб. до 2,7 трлн руб.</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Без учета льгот по НДС.</w:t>
      </w:r>
    </w:p>
    <w:p>
      <w:pPr>
        <w:pStyle w:val="0"/>
        <w:jc w:val="both"/>
      </w:pPr>
      <w:r>
        <w:rPr>
          <w:sz w:val="20"/>
        </w:rPr>
      </w:r>
    </w:p>
    <w:p>
      <w:pPr>
        <w:pStyle w:val="0"/>
        <w:ind w:firstLine="540"/>
        <w:jc w:val="both"/>
      </w:pPr>
      <w:r>
        <w:rPr>
          <w:sz w:val="20"/>
        </w:rPr>
        <w:t xml:space="preserve">Принимая во внимание важное значение инвестиционных налоговых льгот и преференциальных налоговых режимов для достижения целей налоговой политики по поддержке и стимулированию инвестиций, в 2022 году запущена в эксплуатацию аналитическая система "Эффективность льгот" для проведения системной автоматизированной оценки эффективности инвестиционных налоговых льгот (ИНЛ), включающих как отдельные инвестиционные налоговые льготы, так и преференциальные налоговые режимы.</w:t>
      </w:r>
    </w:p>
    <w:p>
      <w:pPr>
        <w:pStyle w:val="0"/>
        <w:spacing w:before="200" w:line-rule="auto"/>
        <w:ind w:firstLine="540"/>
        <w:jc w:val="both"/>
      </w:pPr>
      <w:r>
        <w:rPr>
          <w:sz w:val="20"/>
        </w:rPr>
        <w:t xml:space="preserve">В 2023 году была продолжена доработка системы как в части совершенствования подходов к сформированным алгоритмам анализа по налогоплательщикам, так и в части добавления отдельного модуля для автоматизированной оценки эффективности налога на дополнительный доход от добычи углеводородного сырья.</w:t>
      </w:r>
    </w:p>
    <w:p>
      <w:pPr>
        <w:pStyle w:val="0"/>
        <w:jc w:val="both"/>
      </w:pPr>
      <w:r>
        <w:rPr>
          <w:sz w:val="20"/>
        </w:rPr>
      </w:r>
    </w:p>
    <w:p>
      <w:pPr>
        <w:pStyle w:val="2"/>
        <w:outlineLvl w:val="1"/>
        <w:ind w:firstLine="540"/>
        <w:jc w:val="both"/>
      </w:pPr>
      <w:r>
        <w:rPr>
          <w:sz w:val="20"/>
        </w:rPr>
        <w:t xml:space="preserve">Корректировка сформированных алгоритмов анализа в разрезе налогоплательщиков</w:t>
      </w:r>
    </w:p>
    <w:p>
      <w:pPr>
        <w:pStyle w:val="0"/>
        <w:spacing w:before="200" w:line-rule="auto"/>
        <w:ind w:firstLine="540"/>
        <w:jc w:val="both"/>
      </w:pPr>
      <w:r>
        <w:rPr>
          <w:sz w:val="20"/>
        </w:rPr>
        <w:t xml:space="preserve">В анализ были добавлены данные по неналоговым мерам поддержки: субсидии и таможенные льготы и преференции, предоставляемые резидентам и участникам анализируемых ИНЛ. Помимо этого, в анализ была интегрирована имеющаяся в базах данных АИС "Налог-3" информация о результатах мероприятий налогового контроля анализируемых налогоплательщиков, которым по результатам таких мероприятий присвоен высокий налоговый риск (например, выявление фирм-однодневок).</w:t>
      </w:r>
    </w:p>
    <w:p>
      <w:pPr>
        <w:pStyle w:val="0"/>
        <w:spacing w:before="200" w:line-rule="auto"/>
        <w:ind w:firstLine="540"/>
        <w:jc w:val="both"/>
      </w:pPr>
      <w:r>
        <w:rPr>
          <w:sz w:val="20"/>
        </w:rPr>
        <w:t xml:space="preserve">Подход к анализу эффективности льгот, заложенный в систему, базируется на оценке влияния налоговых льгот и неналоговых мер поддержки на финансово-экономические показатели деятельности налогоплательщиков в сопоставлении с установленными уровнями и среднеотраслевыми &lt;3&gt; индикаторами.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Согласно "</w:t>
      </w:r>
      <w:hyperlink w:history="0" r:id="rId5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 029-2014 (КДЕС Ред. 2)</w:t>
        </w:r>
      </w:hyperlink>
      <w:r>
        <w:rPr>
          <w:sz w:val="20"/>
        </w:rPr>
        <w:t xml:space="preserve">. Общероссийский классификатор видов экономической деятельности". (ОКВЭД).</w:t>
      </w:r>
    </w:p>
    <w:p>
      <w:pPr>
        <w:pStyle w:val="0"/>
        <w:jc w:val="both"/>
      </w:pPr>
      <w:r>
        <w:rPr>
          <w:sz w:val="20"/>
        </w:rPr>
      </w:r>
    </w:p>
    <w:p>
      <w:pPr>
        <w:pStyle w:val="0"/>
        <w:ind w:firstLine="540"/>
        <w:jc w:val="both"/>
      </w:pPr>
      <w:r>
        <w:rPr>
          <w:sz w:val="20"/>
        </w:rPr>
        <w:t xml:space="preserve">В рамках заложенного подхода в периметр анализа включаются все налогоплательщики, применяющие ту или иную ИНЛ, за исключением тех, по которым отсутствуют налоговые декларации или бухгалтерская отчетность. Система позволяет проводить анализ по каждому налогоплательщику, однако в связи с установленными ограничениями по разглашению сведений, составляющих налоговую тайну, результаты анализа представлены агрегировано.</w:t>
      </w:r>
    </w:p>
    <w:p>
      <w:pPr>
        <w:pStyle w:val="0"/>
        <w:spacing w:before="200" w:line-rule="auto"/>
        <w:ind w:firstLine="540"/>
        <w:jc w:val="both"/>
      </w:pPr>
      <w:r>
        <w:rPr>
          <w:sz w:val="20"/>
        </w:rPr>
        <w:t xml:space="preserve">По результатам проведения автоматизированной оценки налогоплательщикам присваивается статус в зависимости от эффективности применения ИНЛ:</w:t>
      </w:r>
    </w:p>
    <w:p>
      <w:pPr>
        <w:pStyle w:val="0"/>
        <w:spacing w:before="200" w:line-rule="auto"/>
        <w:ind w:firstLine="540"/>
        <w:jc w:val="both"/>
      </w:pPr>
      <w:r>
        <w:rPr>
          <w:sz w:val="20"/>
        </w:rPr>
        <w:t xml:space="preserve">1. "Зеленый", если применение льгот не приводит к формированию сверхдоходности у налогоплательщика (по показателям доходность активов и операционная рентабельность), либо в случае высокого уровня инвестиционной активности, прироста численности сотрудников и расходов на оплату труда и НИОКР за счет применения ИНЛ при условии отсутствия у налогоплательщика высокого налогового риска в последний год анализируемого периода.</w:t>
      </w:r>
    </w:p>
    <w:p>
      <w:pPr>
        <w:pStyle w:val="0"/>
        <w:spacing w:before="200" w:line-rule="auto"/>
        <w:ind w:firstLine="540"/>
        <w:jc w:val="both"/>
      </w:pPr>
      <w:r>
        <w:rPr>
          <w:sz w:val="20"/>
        </w:rPr>
        <w:t xml:space="preserve">2. "Красный", если применение льгот приводит к формированию сверхдоходности у налогоплательщика, или в случае низкого уровня инвестиционной активности, отсутствия прироста численности сотрудников и расходов на оплату труда и НИОКР за счет применения ИНЛ, а также если в последний год анализируемого периода налогоплательщику присвоен высокий налоговый риск.</w:t>
      </w:r>
    </w:p>
    <w:p>
      <w:pPr>
        <w:pStyle w:val="0"/>
        <w:spacing w:before="200" w:line-rule="auto"/>
        <w:ind w:firstLine="540"/>
        <w:jc w:val="both"/>
      </w:pPr>
      <w:r>
        <w:rPr>
          <w:sz w:val="20"/>
        </w:rPr>
        <w:t xml:space="preserve">По итогам получения налогоплательщиками статуса формируется вывод в целом по ИНЛ в зависимости от ее типа:</w:t>
      </w:r>
    </w:p>
    <w:p>
      <w:pPr>
        <w:pStyle w:val="0"/>
        <w:spacing w:before="200" w:line-rule="auto"/>
        <w:ind w:firstLine="540"/>
        <w:jc w:val="both"/>
      </w:pPr>
      <w:r>
        <w:rPr>
          <w:sz w:val="20"/>
        </w:rPr>
        <w:t xml:space="preserve">1. Если ИНЛ представляет собой преференциальный налоговый режим, применяемый разными отраслями, то вывод об эффективности выносится на основе совокупной доли выручки "красных" налогоплательщиков в общем объеме выручки налогоплательщиков данного режима:</w:t>
      </w:r>
    </w:p>
    <w:p>
      <w:pPr>
        <w:pStyle w:val="0"/>
        <w:spacing w:before="200" w:line-rule="auto"/>
        <w:ind w:firstLine="540"/>
        <w:jc w:val="both"/>
      </w:pPr>
      <w:r>
        <w:rPr>
          <w:sz w:val="20"/>
        </w:rPr>
        <w:t xml:space="preserve">- в случае превышения доли выручки "красных" налогоплательщиков заданного значения (70%) признается, что режим требует "донастройки" в целом и, как следствие, необходимо уточнение периметра применяемых налоговых льгот и неналоговых мер поддержки в режиме,</w:t>
      </w:r>
    </w:p>
    <w:p>
      <w:pPr>
        <w:pStyle w:val="0"/>
        <w:spacing w:before="200" w:line-rule="auto"/>
        <w:ind w:firstLine="540"/>
        <w:jc w:val="both"/>
      </w:pPr>
      <w:r>
        <w:rPr>
          <w:sz w:val="20"/>
        </w:rPr>
        <w:t xml:space="preserve">- в случае, если доля выручки "красных" налогоплательщиков в целом по режиму не превышает заданного значения (70%), однако присутствует превышение по отдельным отраслям, то по ряду направлений режим требует "донастройки",</w:t>
      </w:r>
    </w:p>
    <w:p>
      <w:pPr>
        <w:pStyle w:val="0"/>
        <w:spacing w:before="200" w:line-rule="auto"/>
        <w:ind w:firstLine="540"/>
        <w:jc w:val="both"/>
      </w:pPr>
      <w:r>
        <w:rPr>
          <w:sz w:val="20"/>
        </w:rPr>
        <w:t xml:space="preserve">- в случае отсутствия превышения заданного значения (70%) как по режиму в целом, так и по отдельным отраслям, режим признается эффективным.</w:t>
      </w:r>
    </w:p>
    <w:p>
      <w:pPr>
        <w:pStyle w:val="0"/>
        <w:spacing w:before="200" w:line-rule="auto"/>
        <w:ind w:firstLine="540"/>
        <w:jc w:val="both"/>
      </w:pPr>
      <w:r>
        <w:rPr>
          <w:sz w:val="20"/>
        </w:rPr>
        <w:t xml:space="preserve">2. Если ИНЛ представляет собой отдельную льготу, то вывод об эффективности выносится на основе результатов оценки влияния данной льготы на финансово-экономические показатели деятельности налогоплательщиков без учета эффекта от применения других ИНЛ:</w:t>
      </w:r>
    </w:p>
    <w:p>
      <w:pPr>
        <w:pStyle w:val="0"/>
        <w:spacing w:before="200" w:line-rule="auto"/>
        <w:ind w:firstLine="540"/>
        <w:jc w:val="both"/>
      </w:pPr>
      <w:r>
        <w:rPr>
          <w:sz w:val="20"/>
        </w:rPr>
        <w:t xml:space="preserve">- в случае превышения доли выручки "красных" налогоплательщиков заданного значения (70%) с учетом элиминирования эффекта от других ИНЛ, признается, что льгота требует "донастройки",</w:t>
      </w:r>
    </w:p>
    <w:p>
      <w:pPr>
        <w:pStyle w:val="0"/>
        <w:spacing w:before="200" w:line-rule="auto"/>
        <w:ind w:firstLine="540"/>
        <w:jc w:val="both"/>
      </w:pPr>
      <w:r>
        <w:rPr>
          <w:sz w:val="20"/>
        </w:rPr>
        <w:t xml:space="preserve">- в случае отсутствия превышения доли выручки "красных" налогоплательщиков заданного значения (70%) с учетом элиминирования эффекта от других ИНЛ, льгота признается эффективной.</w:t>
      </w:r>
    </w:p>
    <w:p>
      <w:pPr>
        <w:pStyle w:val="0"/>
        <w:jc w:val="both"/>
      </w:pPr>
      <w:r>
        <w:rPr>
          <w:sz w:val="20"/>
        </w:rPr>
      </w:r>
    </w:p>
    <w:p>
      <w:pPr>
        <w:pStyle w:val="2"/>
        <w:outlineLvl w:val="1"/>
        <w:ind w:firstLine="540"/>
        <w:jc w:val="both"/>
      </w:pPr>
      <w:r>
        <w:rPr>
          <w:sz w:val="20"/>
        </w:rPr>
        <w:t xml:space="preserve">Добавление модуля НДД</w:t>
      </w:r>
    </w:p>
    <w:p>
      <w:pPr>
        <w:pStyle w:val="0"/>
        <w:spacing w:before="200" w:line-rule="auto"/>
        <w:ind w:firstLine="540"/>
        <w:jc w:val="both"/>
      </w:pPr>
      <w:r>
        <w:rPr>
          <w:sz w:val="20"/>
        </w:rPr>
        <w:t xml:space="preserve">В рамках доработки АС "Эффективность льгот" в 2023 году в системе был создан дополнительный модуль НДД с использованием показателей доходности добычи в разрезе участков недр, рассчитываемых на основе затратных и финансовых показателей в рамках предоставляемых налогоплательщиками налоговых деклараций.</w:t>
      </w:r>
    </w:p>
    <w:p>
      <w:pPr>
        <w:pStyle w:val="0"/>
        <w:spacing w:before="200" w:line-rule="auto"/>
        <w:ind w:firstLine="540"/>
        <w:jc w:val="both"/>
      </w:pPr>
      <w:r>
        <w:rPr>
          <w:sz w:val="20"/>
        </w:rPr>
        <w:t xml:space="preserve">Целесообразность совершенствования алгоритмов системы в части автоматизированной оценки эффективности НДД обусловлена устойчивым ростом доли объема добычи нефти, налогообложение которой осуществляется посредством НДД, в общем объеме налогооблагаемой добычи нефти (рост с 9% в 2019 году до 46% в 2022 году) и, соответственно, увеличением величины выпадающих доходов федерального бюджета Российской Федерации в связи с применением НДД (по данным системы, с 283 млрд руб. в 2019 году до порядка 985 млрд руб. в 2022 году).</w:t>
      </w:r>
    </w:p>
    <w:p>
      <w:pPr>
        <w:pStyle w:val="0"/>
        <w:spacing w:before="200" w:line-rule="auto"/>
        <w:ind w:firstLine="540"/>
        <w:jc w:val="both"/>
      </w:pPr>
      <w:r>
        <w:rPr>
          <w:sz w:val="20"/>
        </w:rPr>
        <w:t xml:space="preserve">Подход к анализу эффективности, заложенный в дополнительном модуле НДД, базируется на оценке влияния применения НДД на экономику добычи отдельного участка недр, в качестве индикатора которой была выбрана величина свободного денежного потока. Для целей анализа среднеотраслевой уровень свободного денежного потока за 2019 - 2022 годы был оценен в 4,2 тыс. руб./тн.</w:t>
      </w:r>
    </w:p>
    <w:p>
      <w:pPr>
        <w:pStyle w:val="0"/>
        <w:spacing w:before="200" w:line-rule="auto"/>
        <w:ind w:firstLine="540"/>
        <w:jc w:val="both"/>
      </w:pPr>
      <w:r>
        <w:rPr>
          <w:sz w:val="20"/>
        </w:rPr>
        <w:t xml:space="preserve">В рамках заложенного подхода в периметр анализа включаются все участки недр, налогообложение добычи на которых осуществляется посредством НДД, за исключением тех, по которым отсутствует добыча нефти и газового конденсата или не сданы налоговые декларации.</w:t>
      </w:r>
    </w:p>
    <w:p>
      <w:pPr>
        <w:pStyle w:val="0"/>
        <w:spacing w:before="200" w:line-rule="auto"/>
        <w:ind w:firstLine="540"/>
        <w:jc w:val="both"/>
      </w:pPr>
      <w:r>
        <w:rPr>
          <w:sz w:val="20"/>
        </w:rPr>
        <w:t xml:space="preserve">По результатам проведения автоматизированной оценки участкам недр присваивается статус в зависимости от эффективности применения НДД:</w:t>
      </w:r>
    </w:p>
    <w:p>
      <w:pPr>
        <w:pStyle w:val="0"/>
        <w:spacing w:before="200" w:line-rule="auto"/>
        <w:ind w:firstLine="540"/>
        <w:jc w:val="both"/>
      </w:pPr>
      <w:r>
        <w:rPr>
          <w:sz w:val="20"/>
        </w:rPr>
        <w:t xml:space="preserve">1. "Зеленый", если по участку недр наблюдается низкая доходность (в условиях НДД величина свободного денежного потока равна/ниже среднеотраслевого уровня).</w:t>
      </w:r>
    </w:p>
    <w:p>
      <w:pPr>
        <w:pStyle w:val="0"/>
        <w:spacing w:before="200" w:line-rule="auto"/>
        <w:ind w:firstLine="540"/>
        <w:jc w:val="both"/>
      </w:pPr>
      <w:r>
        <w:rPr>
          <w:sz w:val="20"/>
        </w:rPr>
        <w:t xml:space="preserve">2. "Желтый", если по участку недр наблюдается высокая доходность в условиях НДД, но разработка участка недр нерентабельна в условиях общей системы налогообложения (величина свободного денежного потока в условиях общей системы налогообложения равна/ниже среднеотраслевого уровня).</w:t>
      </w:r>
    </w:p>
    <w:p>
      <w:pPr>
        <w:pStyle w:val="0"/>
        <w:spacing w:before="200" w:line-rule="auto"/>
        <w:ind w:firstLine="540"/>
        <w:jc w:val="both"/>
      </w:pPr>
      <w:r>
        <w:rPr>
          <w:sz w:val="20"/>
        </w:rPr>
        <w:t xml:space="preserve">3. "Красный", если по участку недр наблюдается высокая доходность даже в условиях общей системы налогообложения (величина свободного денежного потока в условиях общей системы налогообложения выше среднеотраслевого уровня).</w:t>
      </w:r>
    </w:p>
    <w:p>
      <w:pPr>
        <w:pStyle w:val="0"/>
        <w:spacing w:before="200" w:line-rule="auto"/>
        <w:ind w:firstLine="540"/>
        <w:jc w:val="both"/>
      </w:pPr>
      <w:r>
        <w:rPr>
          <w:sz w:val="20"/>
        </w:rPr>
        <w:t xml:space="preserve">АС "Эффективность льгот" позволяет проводить анализ по каждому участку недр, при этом в связи с установленными ограничениями по разглашению сведений, составляющих налоговую тайну, результаты анализа представлены агрегировано по группам НДД.</w:t>
      </w:r>
    </w:p>
    <w:p>
      <w:pPr>
        <w:pStyle w:val="0"/>
        <w:spacing w:before="200" w:line-rule="auto"/>
        <w:ind w:firstLine="540"/>
        <w:jc w:val="both"/>
      </w:pPr>
      <w:r>
        <w:rPr>
          <w:sz w:val="20"/>
        </w:rPr>
        <w:t xml:space="preserve">По итогам получения статуса об эффективности применения НДД на отдельных участках недр формируется вывод в целом по группе НДД на основе совокупной доли добычи нефти и газового конденсата на "красных" и "желтых" участках недр в общем объеме добычи анализируемой группы НДД:</w:t>
      </w:r>
    </w:p>
    <w:p>
      <w:pPr>
        <w:pStyle w:val="0"/>
        <w:spacing w:before="200" w:line-rule="auto"/>
        <w:ind w:firstLine="540"/>
        <w:jc w:val="both"/>
      </w:pPr>
      <w:r>
        <w:rPr>
          <w:sz w:val="20"/>
        </w:rPr>
        <w:t xml:space="preserve">- в случае превышения совокупной доли добычи на "красных" и "желтых" участках недр заданного порога (70%) по группе НДД целесообразно обсуждение параметров донастройки,</w:t>
      </w:r>
    </w:p>
    <w:p>
      <w:pPr>
        <w:pStyle w:val="0"/>
        <w:spacing w:before="200" w:line-rule="auto"/>
        <w:ind w:firstLine="540"/>
        <w:jc w:val="both"/>
      </w:pPr>
      <w:r>
        <w:rPr>
          <w:sz w:val="20"/>
        </w:rPr>
        <w:t xml:space="preserve">- в случае отсутствия превышения совокупной доли добычи на "красных" и "желтых" участках недр заданного порога (70%) группа НДД признается эффективной.</w:t>
      </w:r>
    </w:p>
    <w:p>
      <w:pPr>
        <w:pStyle w:val="0"/>
        <w:jc w:val="both"/>
      </w:pPr>
      <w:r>
        <w:rPr>
          <w:sz w:val="20"/>
        </w:rPr>
      </w:r>
    </w:p>
    <w:bookmarkStart w:id="4168" w:name="P4168"/>
    <w:bookmarkEnd w:id="4168"/>
    <w:p>
      <w:pPr>
        <w:pStyle w:val="2"/>
        <w:outlineLvl w:val="1"/>
        <w:ind w:firstLine="540"/>
        <w:jc w:val="both"/>
      </w:pPr>
      <w:r>
        <w:rPr>
          <w:sz w:val="20"/>
        </w:rPr>
        <w:t xml:space="preserve">Результаты анализа эффективности ИНЛ</w:t>
      </w:r>
    </w:p>
    <w:p>
      <w:pPr>
        <w:pStyle w:val="0"/>
        <w:spacing w:before="200" w:line-rule="auto"/>
        <w:ind w:firstLine="540"/>
        <w:jc w:val="both"/>
      </w:pPr>
      <w:r>
        <w:rPr>
          <w:sz w:val="20"/>
        </w:rPr>
        <w:t xml:space="preserve">Результаты анализа эффективности ИНЛ представлены за 6-летний период с 2017 по 2022 год, либо за меньшее количество лет, в случае если начало действия льготы или режима приходится на период после 2017 года. В периметр анализа эффективности вошли налогоплательщики согласно актуальным перечням резидентов преференциальных налоговых режимов, либо, которые хоть раз за период анализа воспользовались отдельными ИНЛ. В случае, если количество пользователей ИНЛ составляет менее 3 налогоплательщиков, то результаты анализа эффективности ИНЛ не публикуются.</w:t>
      </w:r>
    </w:p>
    <w:p>
      <w:pPr>
        <w:pStyle w:val="0"/>
        <w:spacing w:before="200" w:line-rule="auto"/>
        <w:ind w:firstLine="540"/>
        <w:jc w:val="both"/>
      </w:pPr>
      <w:r>
        <w:rPr>
          <w:sz w:val="20"/>
        </w:rPr>
        <w:t xml:space="preserve">Исходные данные для определения финансово-экономических показателей деятельности налогоплательщиков, а также величины выпадающих доходов бюджетов бюджетной системы Российской Федерации в связи с предоставлением ИНЛ в АС "Эффективность льгот" формируются на базе информации из подсистем АИС "Налог-3" ФНС России в части бухгалтерской отчетности по российским стандартам бухгалтерского учета и налоговых деклараций по соответствующим налогам и сборам. В системе использовались актуальные данные по состоянию на 1 июля 2023 года. Расчет величины выпадающих доходов бюджетов бюджетной системы Российской Федерации осуществляется с учетом текущих правил заполнения налоговых деклараций, а также сумм неналоговых мер поддержки, предоставленных ФТС России и Федеральным Казначейством.</w:t>
      </w:r>
    </w:p>
    <w:p>
      <w:pPr>
        <w:pStyle w:val="0"/>
        <w:spacing w:before="200" w:line-rule="auto"/>
        <w:ind w:firstLine="540"/>
        <w:jc w:val="both"/>
      </w:pPr>
      <w:r>
        <w:rPr>
          <w:sz w:val="20"/>
        </w:rPr>
        <w:t xml:space="preserve">В АС "Эффективность льгот" было проанализировано 35 ИНЛ, из которых 12 преференциальных налоговых режимов.</w:t>
      </w:r>
    </w:p>
    <w:p>
      <w:pPr>
        <w:pStyle w:val="0"/>
        <w:spacing w:before="200" w:line-rule="auto"/>
        <w:ind w:firstLine="540"/>
        <w:jc w:val="both"/>
      </w:pPr>
      <w:r>
        <w:rPr>
          <w:sz w:val="20"/>
        </w:rPr>
        <w:t xml:space="preserve">Результаты проведенного в 2023 году анализа показали, что выводы по преференциальным налоговым режимам не изменились по сравнению с результатами анализа 2022 года - 12 режимов требуют "донастройки". При этом по ряду режимов (особые экономические зоны в Калининградской и Магаданской областях, Арктическая зона Российской Федерации) отмечается снижение доли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w:t>
      </w:r>
    </w:p>
    <w:p>
      <w:pPr>
        <w:pStyle w:val="0"/>
        <w:spacing w:before="200" w:line-rule="auto"/>
        <w:ind w:firstLine="540"/>
        <w:jc w:val="both"/>
      </w:pPr>
      <w:r>
        <w:rPr>
          <w:sz w:val="20"/>
        </w:rPr>
        <w:t xml:space="preserve">Подготовлены предложения по внесению изменений в Налоговый </w:t>
      </w:r>
      <w:hyperlink w:history="0" r:id="rId51"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кодекс</w:t>
        </w:r>
      </w:hyperlink>
      <w:r>
        <w:rPr>
          <w:sz w:val="20"/>
        </w:rPr>
        <w:t xml:space="preserve"> Российской Федерации, направленные на совершенствование налогового регулирования ряда преференциальных налоговых режимов для новых резидентов (участников):</w:t>
      </w:r>
    </w:p>
    <w:p>
      <w:pPr>
        <w:pStyle w:val="0"/>
        <w:spacing w:before="200" w:line-rule="auto"/>
        <w:ind w:firstLine="540"/>
        <w:jc w:val="both"/>
      </w:pPr>
      <w:r>
        <w:rPr>
          <w:sz w:val="20"/>
        </w:rPr>
        <w:t xml:space="preserve">- введение ограничения суммы налоговых льгот суммой фактически осуществленных расходов на капитальные вложения и (или) НИОКР;</w:t>
      </w:r>
    </w:p>
    <w:p>
      <w:pPr>
        <w:pStyle w:val="0"/>
        <w:spacing w:before="200" w:line-rule="auto"/>
        <w:ind w:firstLine="540"/>
        <w:jc w:val="both"/>
      </w:pPr>
      <w:r>
        <w:rPr>
          <w:sz w:val="20"/>
        </w:rPr>
        <w:t xml:space="preserve">- установление обязательного требования о формировании и сдаче годовой бухгалтерской (финансовой) отчетности в ФНС России в электронной форме для сохранения возможности применения налоговых льгот;</w:t>
      </w:r>
    </w:p>
    <w:p>
      <w:pPr>
        <w:pStyle w:val="0"/>
        <w:spacing w:before="200" w:line-rule="auto"/>
        <w:ind w:firstLine="540"/>
        <w:jc w:val="both"/>
      </w:pPr>
      <w:r>
        <w:rPr>
          <w:sz w:val="20"/>
        </w:rPr>
        <w:t xml:space="preserve">- установление возможности применения резидентами (участниками) преференциальных налоговых режимов налоговых льгот только при выполнении ими "контролируемых показателей", установленных соглашением об осуществлении деятельности либо договором об условиях деятельности.</w:t>
      </w:r>
    </w:p>
    <w:p>
      <w:pPr>
        <w:pStyle w:val="0"/>
        <w:spacing w:before="200" w:line-rule="auto"/>
        <w:ind w:firstLine="540"/>
        <w:jc w:val="both"/>
      </w:pPr>
      <w:r>
        <w:rPr>
          <w:sz w:val="20"/>
        </w:rPr>
        <w:t xml:space="preserve">Кроме того, целесообразно отметить следующие общие замечания:</w:t>
      </w:r>
    </w:p>
    <w:p>
      <w:pPr>
        <w:pStyle w:val="0"/>
        <w:spacing w:before="200" w:line-rule="auto"/>
        <w:ind w:firstLine="540"/>
        <w:jc w:val="both"/>
      </w:pPr>
      <w:r>
        <w:rPr>
          <w:sz w:val="20"/>
        </w:rPr>
        <w:t xml:space="preserve">- В нормативно-правовом поле присутствует значительное количество отдельных инвестиционных налоговых льгот и пересекающихся по своим целям преференциальных налоговых режимов, что в том числе может приводить к снижению результативности предоставляемых государством мер поддержки и усложнению их администрирования.</w:t>
      </w:r>
    </w:p>
    <w:p>
      <w:pPr>
        <w:pStyle w:val="0"/>
        <w:spacing w:before="200" w:line-rule="auto"/>
        <w:ind w:firstLine="540"/>
        <w:jc w:val="both"/>
      </w:pPr>
      <w:r>
        <w:rPr>
          <w:sz w:val="20"/>
        </w:rPr>
        <w:t xml:space="preserve">- Отсутствует методика определения приоритетных отраслей экономики (например, не представленных в конкретном регионе) для целей привлечения новых резидентов в преференциальные налоговые режимы и диверсификации структуры видов деятельности.</w:t>
      </w:r>
    </w:p>
    <w:p>
      <w:pPr>
        <w:pStyle w:val="0"/>
        <w:spacing w:before="200" w:line-rule="auto"/>
        <w:ind w:firstLine="540"/>
        <w:jc w:val="both"/>
      </w:pPr>
      <w:r>
        <w:rPr>
          <w:sz w:val="20"/>
        </w:rPr>
        <w:t xml:space="preserve">- У ряда налогоплательщиков заявленный основной </w:t>
      </w:r>
      <w:hyperlink w:history="0" r:id="rId52"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не соответствует изначальным целям введения отдельных инвестиционных налоговых льгот или преференциального налогового режима. Например, большинство режимов нацелено на рост обрабатывающих и высокотехнологичных отраслей экономики, но в качестве резидентов присутствуют налогоплательщики, осуществляющие деятельность по аренде, складированию или по добыче полезных ископаемых.</w:t>
      </w:r>
    </w:p>
    <w:p>
      <w:pPr>
        <w:pStyle w:val="0"/>
        <w:spacing w:before="200" w:line-rule="auto"/>
        <w:ind w:firstLine="540"/>
        <w:jc w:val="both"/>
      </w:pPr>
      <w:r>
        <w:rPr>
          <w:sz w:val="20"/>
        </w:rPr>
        <w:t xml:space="preserve">- У большинства налогоплательщиков, применяющих отдельные ИНЛ, отсутствуют закрепленные обязательства (например, в части обеспечения дополнительных объемов добычи полезных ископаемых).</w:t>
      </w:r>
    </w:p>
    <w:p>
      <w:pPr>
        <w:pStyle w:val="0"/>
        <w:spacing w:before="200" w:line-rule="auto"/>
        <w:ind w:firstLine="540"/>
        <w:jc w:val="both"/>
      </w:pPr>
      <w:r>
        <w:rPr>
          <w:sz w:val="20"/>
        </w:rPr>
        <w:t xml:space="preserve">Как следствие, федеральными органами исполнительной власти, ответственными за формирование нормативно-правовых актов по преференциальным налоговым режимам, необходимо проводить системную работу по устранению указанных замечаний.</w:t>
      </w:r>
    </w:p>
    <w:p>
      <w:pPr>
        <w:pStyle w:val="0"/>
        <w:spacing w:before="200" w:line-rule="auto"/>
        <w:ind w:firstLine="540"/>
        <w:jc w:val="both"/>
      </w:pPr>
      <w:r>
        <w:rPr>
          <w:sz w:val="20"/>
        </w:rPr>
        <w:t xml:space="preserve">По результатам проведенного анализа сформированы выводы о целесообразности обсуждения корректировки параметров 1, 2, 3 в части "выработанных" участков недр и 4 групп, поскольку доля "красных" участков недр (то есть по указанным участкам недр в условиях общей системы налогообложения генерировался бы свободный денежный поток выше среднеотраслевого уровня) и "желтых" участков недр (то есть по указанным участкам недр в условиях НДД генерируется свободный денежный поток выше среднеотраслевого уровня, однако в условиях общей системы налогообложения свободный денежный поток ниже или сопоставим со среднеотраслевым уровнем) оценивается от 82% до 94%.</w:t>
      </w:r>
    </w:p>
    <w:p>
      <w:pPr>
        <w:pStyle w:val="0"/>
        <w:jc w:val="both"/>
      </w:pPr>
      <w:r>
        <w:rPr>
          <w:sz w:val="20"/>
        </w:rPr>
      </w:r>
    </w:p>
    <w:p>
      <w:pPr>
        <w:pStyle w:val="2"/>
        <w:outlineLvl w:val="1"/>
        <w:ind w:firstLine="540"/>
        <w:jc w:val="both"/>
      </w:pPr>
      <w:r>
        <w:rPr>
          <w:sz w:val="20"/>
        </w:rPr>
        <w:t xml:space="preserve">Территории опережающего социально-экономического развития, расположенные на территории Дальневосточного федерального округа (ТОР в ДФО)</w:t>
      </w:r>
    </w:p>
    <w:p>
      <w:pPr>
        <w:pStyle w:val="0"/>
        <w:jc w:val="both"/>
      </w:pPr>
      <w:r>
        <w:rPr>
          <w:sz w:val="20"/>
        </w:rPr>
      </w:r>
    </w:p>
    <w:p>
      <w:pPr>
        <w:pStyle w:val="0"/>
        <w:ind w:firstLine="540"/>
        <w:jc w:val="both"/>
      </w:pPr>
      <w:r>
        <w:rPr>
          <w:sz w:val="20"/>
        </w:rPr>
        <w:t xml:space="preserve">Таблица 1.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8"/>
        <w:gridCol w:w="6278"/>
      </w:tblGrid>
      <w:tr>
        <w:tblPrEx>
          <w:tblBorders>
            <w:insideH w:val="single" w:sz="4"/>
          </w:tblBorders>
        </w:tblPrEx>
        <w:tc>
          <w:tcPr>
            <w:tcW w:w="2778" w:type="dxa"/>
            <w:tcBorders>
              <w:top w:val="single" w:sz="4"/>
              <w:left w:val="nil"/>
              <w:bottom w:val="single" w:sz="4"/>
              <w:right w:val="nil"/>
            </w:tcBorders>
          </w:tcPr>
          <w:p>
            <w:pPr>
              <w:pStyle w:val="0"/>
              <w:jc w:val="center"/>
            </w:pPr>
            <w:r>
              <w:rPr>
                <w:sz w:val="20"/>
              </w:rPr>
              <w:t xml:space="preserve">Показатель</w:t>
            </w:r>
          </w:p>
        </w:tc>
        <w:tc>
          <w:tcPr>
            <w:tcW w:w="6278" w:type="dxa"/>
            <w:tcBorders>
              <w:top w:val="single" w:sz="4"/>
              <w:left w:val="nil"/>
              <w:bottom w:val="single" w:sz="4"/>
              <w:right w:val="nil"/>
            </w:tcBorders>
          </w:tcPr>
          <w:p>
            <w:pPr>
              <w:pStyle w:val="0"/>
              <w:jc w:val="center"/>
            </w:pPr>
            <w:r>
              <w:rPr>
                <w:sz w:val="20"/>
              </w:rPr>
              <w:t xml:space="preserve">Описание</w:t>
            </w:r>
          </w:p>
        </w:tc>
      </w:tr>
      <w:tr>
        <w:tc>
          <w:tcPr>
            <w:tcW w:w="2778" w:type="dxa"/>
            <w:tcBorders>
              <w:top w:val="single" w:sz="4"/>
              <w:left w:val="nil"/>
              <w:bottom w:val="nil"/>
              <w:right w:val="nil"/>
            </w:tcBorders>
          </w:tcPr>
          <w:p>
            <w:pPr>
              <w:pStyle w:val="0"/>
              <w:jc w:val="both"/>
            </w:pPr>
            <w:r>
              <w:rPr>
                <w:sz w:val="20"/>
              </w:rPr>
              <w:t xml:space="preserve">Срок действия режима</w:t>
            </w:r>
          </w:p>
        </w:tc>
        <w:tc>
          <w:tcPr>
            <w:tcW w:w="6278" w:type="dxa"/>
            <w:tcBorders>
              <w:top w:val="single" w:sz="4"/>
              <w:left w:val="nil"/>
              <w:bottom w:val="nil"/>
              <w:right w:val="nil"/>
            </w:tcBorders>
          </w:tcPr>
          <w:p>
            <w:pPr>
              <w:pStyle w:val="0"/>
              <w:jc w:val="both"/>
            </w:pPr>
            <w:r>
              <w:rPr>
                <w:sz w:val="20"/>
              </w:rPr>
              <w:t xml:space="preserve">Действует с 30.03.2015. ТОР в ДФО создается на 70 лет.</w:t>
            </w:r>
          </w:p>
        </w:tc>
      </w:tr>
      <w:tr>
        <w:tc>
          <w:tcPr>
            <w:tcW w:w="2778" w:type="dxa"/>
            <w:vAlign w:val="center"/>
            <w:tcBorders>
              <w:top w:val="nil"/>
              <w:left w:val="nil"/>
              <w:bottom w:val="nil"/>
              <w:right w:val="nil"/>
            </w:tcBorders>
          </w:tcPr>
          <w:p>
            <w:pPr>
              <w:pStyle w:val="0"/>
              <w:jc w:val="both"/>
            </w:pPr>
            <w:r>
              <w:rPr>
                <w:sz w:val="20"/>
              </w:rPr>
              <w:t xml:space="preserve">Налоговые льготы режима</w:t>
            </w:r>
          </w:p>
        </w:tc>
        <w:tc>
          <w:tcPr>
            <w:tcW w:w="6278" w:type="dxa"/>
            <w:tcBorders>
              <w:top w:val="nil"/>
              <w:left w:val="nil"/>
              <w:bottom w:val="nil"/>
              <w:right w:val="nil"/>
            </w:tcBorders>
          </w:tcPr>
          <w:p>
            <w:pPr>
              <w:pStyle w:val="0"/>
              <w:jc w:val="both"/>
            </w:pPr>
            <w:r>
              <w:rPr>
                <w:sz w:val="20"/>
              </w:rPr>
              <w:t xml:space="preserve">- пониженные ставки по налогу на прибыль в ФБ и РБ (в соответствии с законами субъектов РФ),</w:t>
            </w:r>
          </w:p>
          <w:p>
            <w:pPr>
              <w:pStyle w:val="0"/>
              <w:jc w:val="both"/>
            </w:pPr>
            <w:r>
              <w:rPr>
                <w:sz w:val="20"/>
              </w:rPr>
              <w:t xml:space="preserve">- льготный коэффициент Ктд по НДПИ (общая сумма льготы не может превышать величину капитальных вложений),</w:t>
            </w:r>
          </w:p>
          <w:p>
            <w:pPr>
              <w:pStyle w:val="0"/>
              <w:jc w:val="both"/>
            </w:pPr>
            <w:r>
              <w:rPr>
                <w:sz w:val="20"/>
              </w:rPr>
              <w:t xml:space="preserve">- пониженная ставка по налогу на имущество,</w:t>
            </w:r>
          </w:p>
          <w:p>
            <w:pPr>
              <w:pStyle w:val="0"/>
              <w:jc w:val="both"/>
            </w:pPr>
            <w:r>
              <w:rPr>
                <w:sz w:val="20"/>
              </w:rPr>
              <w:t xml:space="preserve">- освобождение от уплаты земельного налога,</w:t>
            </w:r>
          </w:p>
          <w:p>
            <w:pPr>
              <w:pStyle w:val="0"/>
              <w:jc w:val="both"/>
            </w:pPr>
            <w:r>
              <w:rPr>
                <w:sz w:val="20"/>
              </w:rPr>
              <w:t xml:space="preserve">- пониженные тарифы страховых взносов.</w:t>
            </w:r>
          </w:p>
        </w:tc>
      </w:tr>
      <w:tr>
        <w:tc>
          <w:tcPr>
            <w:tcW w:w="2778" w:type="dxa"/>
            <w:tcBorders>
              <w:top w:val="nil"/>
              <w:left w:val="nil"/>
              <w:bottom w:val="nil"/>
              <w:right w:val="nil"/>
            </w:tcBorders>
          </w:tcPr>
          <w:p>
            <w:pPr>
              <w:pStyle w:val="0"/>
              <w:jc w:val="both"/>
            </w:pPr>
            <w:r>
              <w:rPr>
                <w:sz w:val="20"/>
              </w:rPr>
              <w:t xml:space="preserve">Количество отраслей в режиме</w:t>
            </w:r>
          </w:p>
        </w:tc>
        <w:tc>
          <w:tcPr>
            <w:tcW w:w="6278" w:type="dxa"/>
            <w:vAlign w:val="center"/>
            <w:tcBorders>
              <w:top w:val="nil"/>
              <w:left w:val="nil"/>
              <w:bottom w:val="nil"/>
              <w:right w:val="nil"/>
            </w:tcBorders>
          </w:tcPr>
          <w:p>
            <w:pPr>
              <w:pStyle w:val="0"/>
              <w:jc w:val="both"/>
            </w:pPr>
            <w:r>
              <w:rPr>
                <w:sz w:val="20"/>
              </w:rPr>
              <w:t xml:space="preserve">159</w:t>
            </w:r>
          </w:p>
        </w:tc>
      </w:tr>
      <w:tr>
        <w:tc>
          <w:tcPr>
            <w:tcW w:w="2778" w:type="dxa"/>
            <w:vAlign w:val="center"/>
            <w:tcBorders>
              <w:top w:val="nil"/>
              <w:left w:val="nil"/>
              <w:bottom w:val="single" w:sz="4"/>
              <w:right w:val="nil"/>
            </w:tcBorders>
          </w:tcPr>
          <w:p>
            <w:pPr>
              <w:pStyle w:val="0"/>
              <w:jc w:val="both"/>
            </w:pPr>
            <w:r>
              <w:rPr>
                <w:sz w:val="20"/>
              </w:rPr>
              <w:t xml:space="preserve">Наличие обязательств</w:t>
            </w:r>
          </w:p>
        </w:tc>
        <w:tc>
          <w:tcPr>
            <w:tcW w:w="6278" w:type="dxa"/>
            <w:tcBorders>
              <w:top w:val="nil"/>
              <w:left w:val="nil"/>
              <w:bottom w:val="single" w:sz="4"/>
              <w:right w:val="nil"/>
            </w:tcBorders>
          </w:tcPr>
          <w:p>
            <w:pPr>
              <w:pStyle w:val="0"/>
              <w:jc w:val="both"/>
            </w:pPr>
            <w:r>
              <w:rPr>
                <w:sz w:val="20"/>
              </w:rPr>
              <w:t xml:space="preserve">Да (инвестиции, в том числе капитальные вложения (не менее 500 тыс. руб.) и количество новых рабочих мест).</w:t>
            </w:r>
          </w:p>
        </w:tc>
      </w:tr>
    </w:tbl>
    <w:p>
      <w:pPr>
        <w:pStyle w:val="0"/>
        <w:jc w:val="both"/>
      </w:pPr>
      <w:r>
        <w:rPr>
          <w:sz w:val="20"/>
        </w:rPr>
      </w:r>
    </w:p>
    <w:p>
      <w:pPr>
        <w:pStyle w:val="0"/>
        <w:ind w:firstLine="540"/>
        <w:jc w:val="both"/>
      </w:pPr>
      <w:r>
        <w:rPr>
          <w:sz w:val="20"/>
        </w:rPr>
        <w:t xml:space="preserve">За период анализа (2017 - 2022 годы) общее количество резидентов &lt;4&gt; ТОР в ДФО составило 743, из которых в периметр анализа на базе АС "Эффективность льгот" вошли 450 &lt;5&gt; резидентов.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Количество резидентов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&lt;5&gt; Прочие резиденты не вошли в анализ по причине отсутствия налоговых деклараций или бухгалтерской отчетности (56 резидентов), или нулевого значения показателя выручки (237 резидентов).</w:t>
      </w:r>
    </w:p>
    <w:p>
      <w:pPr>
        <w:pStyle w:val="0"/>
        <w:jc w:val="both"/>
      </w:pPr>
      <w:r>
        <w:rPr>
          <w:sz w:val="20"/>
        </w:rPr>
      </w:r>
    </w:p>
    <w:p>
      <w:pPr>
        <w:pStyle w:val="0"/>
        <w:jc w:val="center"/>
      </w:pPr>
      <w:r>
        <w:rPr>
          <w:position w:val="-105"/>
        </w:rPr>
        <w:drawing>
          <wp:inline distT="0" distB="0" distL="0" distR="0">
            <wp:extent cx="5047615" cy="1467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047615" cy="1467485"/>
                    </a:xfrm>
                    <a:prstGeom prst="rect">
                      <a:avLst/>
                    </a:prstGeom>
                    <a:noFill/>
                    <a:ln>
                      <a:noFill/>
                    </a:ln>
                  </pic:spPr>
                </pic:pic>
              </a:graphicData>
            </a:graphic>
          </wp:inline>
        </w:drawing>
      </w:r>
    </w:p>
    <w:p>
      <w:pPr>
        <w:pStyle w:val="0"/>
        <w:jc w:val="both"/>
      </w:pPr>
      <w:r>
        <w:rPr>
          <w:sz w:val="20"/>
        </w:rPr>
      </w:r>
    </w:p>
    <w:p>
      <w:pPr>
        <w:pStyle w:val="0"/>
        <w:jc w:val="center"/>
      </w:pPr>
      <w:r>
        <w:rPr>
          <w:position w:val="-115"/>
        </w:rPr>
        <w:drawing>
          <wp:inline distT="0" distB="0" distL="0" distR="0">
            <wp:extent cx="5033645" cy="1595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5033645" cy="159575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выручки резидентов ТОР в ДФО, вошедших в периметр анализа, с 2017 года по 2022 год вырос в 3,1 раза, количество резидентов - в 1,8 раза, величина капитальных вложений - в 4,1 раза, численность сотрудников - в 2,2 раза. При этом в 2022 году несмотря на рост числа резидентов и увеличение численности сотрудников на 11,4% по сравнению с 2021 годом, совокупный объем капитальных вложений за аналогичный период снизился на 15,8%.</w:t>
      </w:r>
    </w:p>
    <w:p>
      <w:pPr>
        <w:pStyle w:val="0"/>
        <w:spacing w:before="200" w:line-rule="auto"/>
        <w:ind w:firstLine="540"/>
        <w:jc w:val="both"/>
      </w:pPr>
      <w:r>
        <w:rPr>
          <w:sz w:val="20"/>
        </w:rPr>
        <w:t xml:space="preserve">С 2017 года по 2022 год общая величина выпадающих доходов бюджетов бюджетной системы Российской Федерации (по резидентам ИНЛ, вошедшим в периметр анализа) увеличилась с 4,4 млрд руб. до 56,4 млрд руб. (в 12,7 раз), в том числе с 2,9 млрд руб. до 23,0 млрд руб. (в 8,0 раз) по налоговым льготам и с 1,5 млрд руб. до 33,4 млрд руб. по неналоговым мерам поддержки (в 21,6 раз). Таким образом, за 2022 год доля налоговых льгот и неналоговых мер поддержки в общей величине выпадающих доходов бюджетов бюджетной системы Российской Федерации для резидентов данной ИНЛ, вошедших в периметр анализа, составляла 40,8% и 59,2% соответственно.</w:t>
      </w:r>
    </w:p>
    <w:p>
      <w:pPr>
        <w:pStyle w:val="0"/>
        <w:spacing w:before="200" w:line-rule="auto"/>
        <w:ind w:firstLine="540"/>
        <w:jc w:val="both"/>
      </w:pPr>
      <w:r>
        <w:rPr>
          <w:sz w:val="20"/>
        </w:rPr>
        <w:t xml:space="preserve">В ТОП-3 отраслей по объему выручки за период анализа вошли отрасли по добыче и обогащению угля и антрацита (12,0%), добыче руд прочих цветных металлов (11,7%), а также по производству автотранспортных средств (10,3%).</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выросла по сравнению с анализом за прошлый год с 22,5% до 36,5%. При дальнейшей отраслевой дифференциации выявлены отрасли (всего 37 </w:t>
      </w:r>
      <w:hyperlink w:history="0" r:id="rId55"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с наиболее прибыльными компаниями, применяющими режим.</w:t>
      </w:r>
    </w:p>
    <w:p>
      <w:pPr>
        <w:pStyle w:val="0"/>
        <w:jc w:val="both"/>
      </w:pPr>
      <w:r>
        <w:rPr>
          <w:sz w:val="20"/>
        </w:rPr>
      </w:r>
    </w:p>
    <w:p>
      <w:pPr>
        <w:pStyle w:val="0"/>
        <w:ind w:firstLine="540"/>
        <w:jc w:val="both"/>
      </w:pPr>
      <w:r>
        <w:rPr>
          <w:sz w:val="20"/>
        </w:rPr>
        <w:t xml:space="preserve">Таблица 2. ТОП-5 по выручке отраслей, в которых выявлена сверхдоходность или низкая инвестиционная активность</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1020"/>
        <w:gridCol w:w="2948"/>
        <w:gridCol w:w="1056"/>
        <w:gridCol w:w="1191"/>
        <w:gridCol w:w="907"/>
        <w:gridCol w:w="1077"/>
        <w:gridCol w:w="850"/>
      </w:tblGrid>
      <w:tr>
        <w:tblPrEx>
          <w:tblBorders>
            <w:insideH w:val="single" w:sz="4"/>
          </w:tblBorders>
        </w:tblPrEx>
        <w:tc>
          <w:tcPr>
            <w:tcW w:w="1020" w:type="dxa"/>
            <w:tcBorders>
              <w:top w:val="single" w:sz="4"/>
              <w:left w:val="nil"/>
              <w:bottom w:val="single" w:sz="4"/>
              <w:right w:val="nil"/>
            </w:tcBorders>
          </w:tcPr>
          <w:p>
            <w:pPr>
              <w:pStyle w:val="0"/>
              <w:jc w:val="center"/>
            </w:pPr>
            <w:hyperlink w:history="0" r:id="rId56"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2948" w:type="dxa"/>
            <w:tcBorders>
              <w:top w:val="single" w:sz="4"/>
              <w:left w:val="nil"/>
              <w:bottom w:val="single" w:sz="4"/>
              <w:right w:val="nil"/>
            </w:tcBorders>
          </w:tcPr>
          <w:p>
            <w:pPr>
              <w:pStyle w:val="0"/>
              <w:jc w:val="center"/>
            </w:pPr>
            <w:r>
              <w:rPr>
                <w:sz w:val="20"/>
              </w:rPr>
              <w:t xml:space="preserve">Наименование отрасли</w:t>
            </w:r>
          </w:p>
        </w:tc>
        <w:tc>
          <w:tcPr>
            <w:tcW w:w="1056" w:type="dxa"/>
            <w:tcBorders>
              <w:top w:val="single" w:sz="4"/>
              <w:left w:val="nil"/>
              <w:bottom w:val="single" w:sz="4"/>
              <w:right w:val="nil"/>
            </w:tcBorders>
          </w:tcPr>
          <w:p>
            <w:pPr>
              <w:pStyle w:val="0"/>
              <w:jc w:val="center"/>
            </w:pPr>
            <w:r>
              <w:rPr>
                <w:sz w:val="20"/>
              </w:rPr>
              <w:t xml:space="preserve">Выручка по отрасли </w:t>
            </w:r>
            <w:hyperlink w:history="0" w:anchor="P4264" w:tooltip="&lt;*&gt; Сумма средних значений выручки в рамках отрасли по всем резидентам за период анализа.">
              <w:r>
                <w:rPr>
                  <w:sz w:val="20"/>
                  <w:color w:val="0000ff"/>
                </w:rPr>
                <w:t xml:space="preserve">&lt;*&gt;</w:t>
              </w:r>
            </w:hyperlink>
            <w:r>
              <w:rPr>
                <w:sz w:val="20"/>
              </w:rPr>
              <w:t xml:space="preserve">, млрд </w:t>
            </w:r>
            <w:r>
              <w:rPr>
                <w:position w:val="-5"/>
              </w:rPr>
              <w:drawing>
                <wp:inline distT="0" distB="0" distL="0" distR="0">
                  <wp:extent cx="12192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121920" cy="194945"/>
                          </a:xfrm>
                          <a:prstGeom prst="rect">
                            <a:avLst/>
                          </a:prstGeom>
                          <a:noFill/>
                          <a:ln>
                            <a:noFill/>
                          </a:ln>
                        </pic:spPr>
                      </pic:pic>
                    </a:graphicData>
                  </a:graphic>
                </wp:inline>
              </w:drawing>
            </w:r>
          </w:p>
        </w:tc>
        <w:tc>
          <w:tcPr>
            <w:tcW w:w="1191"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4265"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90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07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4266" w:tooltip="&lt;***&gt; Средневзвешенная по выручке на основе данных за весь период анализа.">
              <w:r>
                <w:rPr>
                  <w:sz w:val="20"/>
                  <w:color w:val="0000ff"/>
                </w:rPr>
                <w:t xml:space="preserve">&lt;***&gt;</w:t>
              </w:r>
            </w:hyperlink>
          </w:p>
        </w:tc>
        <w:tc>
          <w:tcPr>
            <w:tcW w:w="850"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1020" w:type="dxa"/>
            <w:vAlign w:val="center"/>
            <w:tcBorders>
              <w:top w:val="single" w:sz="4"/>
              <w:left w:val="nil"/>
              <w:bottom w:val="nil"/>
              <w:right w:val="nil"/>
            </w:tcBorders>
          </w:tcPr>
          <w:p>
            <w:pPr>
              <w:pStyle w:val="0"/>
              <w:jc w:val="center"/>
            </w:pPr>
            <w:hyperlink w:history="0" r:id="rId5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05.10</w:t>
              </w:r>
            </w:hyperlink>
          </w:p>
        </w:tc>
        <w:tc>
          <w:tcPr>
            <w:tcW w:w="2948" w:type="dxa"/>
            <w:vAlign w:val="center"/>
            <w:tcBorders>
              <w:top w:val="single" w:sz="4"/>
              <w:left w:val="nil"/>
              <w:bottom w:val="nil"/>
              <w:right w:val="nil"/>
            </w:tcBorders>
          </w:tcPr>
          <w:p>
            <w:pPr>
              <w:pStyle w:val="0"/>
              <w:jc w:val="both"/>
            </w:pPr>
            <w:r>
              <w:rPr>
                <w:sz w:val="20"/>
              </w:rPr>
              <w:t xml:space="preserve">Добыча и обогащение угля и антрацита</w:t>
            </w:r>
          </w:p>
        </w:tc>
        <w:tc>
          <w:tcPr>
            <w:tcW w:w="1056" w:type="dxa"/>
            <w:vAlign w:val="center"/>
            <w:tcBorders>
              <w:top w:val="single" w:sz="4"/>
              <w:left w:val="nil"/>
              <w:bottom w:val="nil"/>
              <w:right w:val="nil"/>
            </w:tcBorders>
          </w:tcPr>
          <w:p>
            <w:pPr>
              <w:pStyle w:val="0"/>
              <w:jc w:val="center"/>
            </w:pPr>
            <w:r>
              <w:rPr>
                <w:sz w:val="20"/>
              </w:rPr>
              <w:t xml:space="preserve">42,8</w:t>
            </w:r>
          </w:p>
        </w:tc>
        <w:tc>
          <w:tcPr>
            <w:tcW w:w="1191" w:type="dxa"/>
            <w:vAlign w:val="center"/>
            <w:tcBorders>
              <w:top w:val="single" w:sz="4"/>
              <w:left w:val="nil"/>
              <w:bottom w:val="nil"/>
              <w:right w:val="nil"/>
            </w:tcBorders>
          </w:tcPr>
          <w:p>
            <w:pPr>
              <w:pStyle w:val="0"/>
              <w:jc w:val="center"/>
            </w:pPr>
            <w:r>
              <w:rPr>
                <w:sz w:val="20"/>
              </w:rPr>
              <w:t xml:space="preserve">34,9%</w:t>
            </w:r>
          </w:p>
        </w:tc>
        <w:tc>
          <w:tcPr>
            <w:tcW w:w="907" w:type="dxa"/>
            <w:vAlign w:val="center"/>
            <w:tcBorders>
              <w:top w:val="single" w:sz="4"/>
              <w:left w:val="nil"/>
              <w:bottom w:val="nil"/>
              <w:right w:val="single" w:sz="4"/>
            </w:tcBorders>
          </w:tcPr>
          <w:p>
            <w:pPr>
              <w:pStyle w:val="0"/>
              <w:jc w:val="center"/>
            </w:pPr>
            <w:r>
              <w:rPr>
                <w:sz w:val="20"/>
              </w:rPr>
              <w:t xml:space="preserve">22,9%</w:t>
            </w:r>
          </w:p>
        </w:tc>
        <w:tc>
          <w:tcPr>
            <w:tcW w:w="1077" w:type="dxa"/>
            <w:vAlign w:val="center"/>
            <w:tcBorders>
              <w:top w:val="single" w:sz="4"/>
              <w:left w:val="single" w:sz="4"/>
              <w:bottom w:val="nil"/>
              <w:right w:val="nil"/>
            </w:tcBorders>
          </w:tcPr>
          <w:p>
            <w:pPr>
              <w:pStyle w:val="0"/>
              <w:jc w:val="center"/>
            </w:pPr>
            <w:r>
              <w:rPr>
                <w:sz w:val="20"/>
              </w:rPr>
              <w:t xml:space="preserve">29,1%</w:t>
            </w:r>
          </w:p>
        </w:tc>
        <w:tc>
          <w:tcPr>
            <w:tcW w:w="850" w:type="dxa"/>
            <w:vAlign w:val="center"/>
            <w:tcBorders>
              <w:top w:val="single" w:sz="4"/>
              <w:left w:val="nil"/>
              <w:bottom w:val="nil"/>
              <w:right w:val="single" w:sz="4"/>
            </w:tcBorders>
          </w:tcPr>
          <w:p>
            <w:pPr>
              <w:pStyle w:val="0"/>
              <w:jc w:val="center"/>
            </w:pPr>
            <w:r>
              <w:rPr>
                <w:sz w:val="20"/>
              </w:rPr>
              <w:t xml:space="preserve">19,5%</w:t>
            </w:r>
          </w:p>
        </w:tc>
      </w:tr>
      <w:tr>
        <w:tc>
          <w:tcPr>
            <w:tcW w:w="1020" w:type="dxa"/>
            <w:vAlign w:val="center"/>
            <w:tcBorders>
              <w:top w:val="nil"/>
              <w:left w:val="nil"/>
              <w:bottom w:val="nil"/>
              <w:right w:val="nil"/>
            </w:tcBorders>
          </w:tcPr>
          <w:p>
            <w:pPr>
              <w:pStyle w:val="0"/>
              <w:jc w:val="center"/>
            </w:pPr>
            <w:hyperlink w:history="0" r:id="rId5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07.29</w:t>
              </w:r>
            </w:hyperlink>
          </w:p>
        </w:tc>
        <w:tc>
          <w:tcPr>
            <w:tcW w:w="2948" w:type="dxa"/>
            <w:vAlign w:val="center"/>
            <w:tcBorders>
              <w:top w:val="nil"/>
              <w:left w:val="nil"/>
              <w:bottom w:val="nil"/>
              <w:right w:val="nil"/>
            </w:tcBorders>
          </w:tcPr>
          <w:p>
            <w:pPr>
              <w:pStyle w:val="0"/>
              <w:jc w:val="both"/>
            </w:pPr>
            <w:r>
              <w:rPr>
                <w:sz w:val="20"/>
              </w:rPr>
              <w:t xml:space="preserve">Добыча руд прочих цветных металлов</w:t>
            </w:r>
          </w:p>
        </w:tc>
        <w:tc>
          <w:tcPr>
            <w:tcW w:w="1056" w:type="dxa"/>
            <w:vAlign w:val="center"/>
            <w:tcBorders>
              <w:top w:val="nil"/>
              <w:left w:val="nil"/>
              <w:bottom w:val="nil"/>
              <w:right w:val="nil"/>
            </w:tcBorders>
          </w:tcPr>
          <w:p>
            <w:pPr>
              <w:pStyle w:val="0"/>
              <w:jc w:val="center"/>
            </w:pPr>
            <w:r>
              <w:rPr>
                <w:sz w:val="20"/>
              </w:rPr>
              <w:t xml:space="preserve">41,9</w:t>
            </w:r>
          </w:p>
        </w:tc>
        <w:tc>
          <w:tcPr>
            <w:tcW w:w="1191" w:type="dxa"/>
            <w:vAlign w:val="center"/>
            <w:tcBorders>
              <w:top w:val="nil"/>
              <w:left w:val="nil"/>
              <w:bottom w:val="nil"/>
              <w:right w:val="nil"/>
            </w:tcBorders>
          </w:tcPr>
          <w:p>
            <w:pPr>
              <w:pStyle w:val="0"/>
              <w:jc w:val="center"/>
            </w:pPr>
            <w:r>
              <w:rPr>
                <w:sz w:val="20"/>
              </w:rPr>
              <w:t xml:space="preserve">24,0%</w:t>
            </w:r>
          </w:p>
        </w:tc>
        <w:tc>
          <w:tcPr>
            <w:tcW w:w="907" w:type="dxa"/>
            <w:vAlign w:val="center"/>
            <w:tcBorders>
              <w:top w:val="nil"/>
              <w:left w:val="nil"/>
              <w:bottom w:val="nil"/>
              <w:right w:val="single" w:sz="4"/>
            </w:tcBorders>
          </w:tcPr>
          <w:p>
            <w:pPr>
              <w:pStyle w:val="0"/>
              <w:jc w:val="center"/>
            </w:pPr>
            <w:r>
              <w:rPr>
                <w:sz w:val="20"/>
              </w:rPr>
              <w:t xml:space="preserve">13,4%</w:t>
            </w:r>
          </w:p>
        </w:tc>
        <w:tc>
          <w:tcPr>
            <w:tcW w:w="1077" w:type="dxa"/>
            <w:vAlign w:val="center"/>
            <w:tcBorders>
              <w:top w:val="nil"/>
              <w:left w:val="single" w:sz="4"/>
              <w:bottom w:val="nil"/>
              <w:right w:val="nil"/>
            </w:tcBorders>
          </w:tcPr>
          <w:p>
            <w:pPr>
              <w:pStyle w:val="0"/>
              <w:jc w:val="center"/>
            </w:pPr>
            <w:r>
              <w:rPr>
                <w:sz w:val="20"/>
              </w:rPr>
              <w:t xml:space="preserve">32,6%</w:t>
            </w:r>
          </w:p>
        </w:tc>
        <w:tc>
          <w:tcPr>
            <w:tcW w:w="850" w:type="dxa"/>
            <w:vAlign w:val="center"/>
            <w:tcBorders>
              <w:top w:val="nil"/>
              <w:left w:val="nil"/>
              <w:bottom w:val="nil"/>
              <w:right w:val="single" w:sz="4"/>
            </w:tcBorders>
          </w:tcPr>
          <w:p>
            <w:pPr>
              <w:pStyle w:val="0"/>
              <w:jc w:val="center"/>
            </w:pPr>
            <w:r>
              <w:rPr>
                <w:sz w:val="20"/>
              </w:rPr>
              <w:t xml:space="preserve">21,6%</w:t>
            </w:r>
          </w:p>
        </w:tc>
      </w:tr>
      <w:tr>
        <w:tc>
          <w:tcPr>
            <w:tcW w:w="1020" w:type="dxa"/>
            <w:vAlign w:val="center"/>
            <w:tcBorders>
              <w:top w:val="nil"/>
              <w:left w:val="nil"/>
              <w:bottom w:val="nil"/>
              <w:right w:val="nil"/>
            </w:tcBorders>
          </w:tcPr>
          <w:p>
            <w:pPr>
              <w:pStyle w:val="0"/>
              <w:jc w:val="center"/>
            </w:pPr>
            <w:hyperlink w:history="0" r:id="rId6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71.12</w:t>
              </w:r>
            </w:hyperlink>
          </w:p>
        </w:tc>
        <w:tc>
          <w:tcPr>
            <w:tcW w:w="2948" w:type="dxa"/>
            <w:tcBorders>
              <w:top w:val="nil"/>
              <w:left w:val="nil"/>
              <w:bottom w:val="nil"/>
              <w:right w:val="nil"/>
            </w:tcBorders>
          </w:tcPr>
          <w:p>
            <w:pPr>
              <w:pStyle w:val="0"/>
              <w:jc w:val="both"/>
            </w:pPr>
            <w:r>
              <w:rPr>
                <w:sz w:val="20"/>
              </w:rPr>
              <w:t xml:space="preserve">Деятельность в области инженерных изысканий, инженерно-технического проект-я, управления проектами строит-ва, выполнения строит. контроля и авторского надзора, предоставление технических консультаций в этих областях</w:t>
            </w:r>
          </w:p>
        </w:tc>
        <w:tc>
          <w:tcPr>
            <w:tcW w:w="1056" w:type="dxa"/>
            <w:vAlign w:val="center"/>
            <w:tcBorders>
              <w:top w:val="nil"/>
              <w:left w:val="nil"/>
              <w:bottom w:val="nil"/>
              <w:right w:val="nil"/>
            </w:tcBorders>
          </w:tcPr>
          <w:p>
            <w:pPr>
              <w:pStyle w:val="0"/>
              <w:jc w:val="center"/>
            </w:pPr>
            <w:r>
              <w:rPr>
                <w:sz w:val="20"/>
              </w:rPr>
              <w:t xml:space="preserve">9,5</w:t>
            </w:r>
          </w:p>
        </w:tc>
        <w:tc>
          <w:tcPr>
            <w:tcW w:w="1191" w:type="dxa"/>
            <w:vAlign w:val="center"/>
            <w:tcBorders>
              <w:top w:val="nil"/>
              <w:left w:val="nil"/>
              <w:bottom w:val="nil"/>
              <w:right w:val="nil"/>
            </w:tcBorders>
          </w:tcPr>
          <w:p>
            <w:pPr>
              <w:pStyle w:val="0"/>
              <w:jc w:val="center"/>
            </w:pPr>
            <w:r>
              <w:rPr>
                <w:sz w:val="20"/>
              </w:rPr>
              <w:t xml:space="preserve">34,7%</w:t>
            </w:r>
          </w:p>
        </w:tc>
        <w:tc>
          <w:tcPr>
            <w:tcW w:w="907" w:type="dxa"/>
            <w:vAlign w:val="center"/>
            <w:tcBorders>
              <w:top w:val="nil"/>
              <w:left w:val="nil"/>
              <w:bottom w:val="nil"/>
              <w:right w:val="single" w:sz="4"/>
            </w:tcBorders>
          </w:tcPr>
          <w:p>
            <w:pPr>
              <w:pStyle w:val="0"/>
              <w:jc w:val="center"/>
            </w:pPr>
            <w:r>
              <w:rPr>
                <w:sz w:val="20"/>
              </w:rPr>
              <w:t xml:space="preserve">22,9%</w:t>
            </w:r>
          </w:p>
        </w:tc>
        <w:tc>
          <w:tcPr>
            <w:tcW w:w="1077" w:type="dxa"/>
            <w:vAlign w:val="center"/>
            <w:tcBorders>
              <w:top w:val="nil"/>
              <w:left w:val="single" w:sz="4"/>
              <w:bottom w:val="nil"/>
              <w:right w:val="nil"/>
            </w:tcBorders>
          </w:tcPr>
          <w:p>
            <w:pPr>
              <w:pStyle w:val="0"/>
              <w:jc w:val="center"/>
            </w:pPr>
            <w:r>
              <w:rPr>
                <w:sz w:val="20"/>
              </w:rPr>
              <w:t xml:space="preserve">40,1%</w:t>
            </w:r>
          </w:p>
        </w:tc>
        <w:tc>
          <w:tcPr>
            <w:tcW w:w="850" w:type="dxa"/>
            <w:vAlign w:val="center"/>
            <w:tcBorders>
              <w:top w:val="nil"/>
              <w:left w:val="nil"/>
              <w:bottom w:val="nil"/>
              <w:right w:val="single" w:sz="4"/>
            </w:tcBorders>
          </w:tcPr>
          <w:p>
            <w:pPr>
              <w:pStyle w:val="0"/>
              <w:jc w:val="center"/>
            </w:pPr>
            <w:r>
              <w:rPr>
                <w:sz w:val="20"/>
              </w:rPr>
              <w:t xml:space="preserve">33,3%</w:t>
            </w:r>
          </w:p>
        </w:tc>
      </w:tr>
      <w:tr>
        <w:tc>
          <w:tcPr>
            <w:tcW w:w="1020" w:type="dxa"/>
            <w:vAlign w:val="center"/>
            <w:tcBorders>
              <w:top w:val="nil"/>
              <w:left w:val="nil"/>
              <w:bottom w:val="nil"/>
              <w:right w:val="nil"/>
            </w:tcBorders>
          </w:tcPr>
          <w:p>
            <w:pPr>
              <w:pStyle w:val="0"/>
              <w:jc w:val="center"/>
            </w:pPr>
            <w:hyperlink w:history="0" r:id="rId6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10.20</w:t>
              </w:r>
            </w:hyperlink>
          </w:p>
        </w:tc>
        <w:tc>
          <w:tcPr>
            <w:tcW w:w="2948" w:type="dxa"/>
            <w:vAlign w:val="center"/>
            <w:tcBorders>
              <w:top w:val="nil"/>
              <w:left w:val="nil"/>
              <w:bottom w:val="nil"/>
              <w:right w:val="nil"/>
            </w:tcBorders>
          </w:tcPr>
          <w:p>
            <w:pPr>
              <w:pStyle w:val="0"/>
              <w:jc w:val="both"/>
            </w:pPr>
            <w:r>
              <w:rPr>
                <w:sz w:val="20"/>
              </w:rPr>
              <w:t xml:space="preserve">Переработка и консервирование рыбы, ракообразных и моллюсков</w:t>
            </w:r>
          </w:p>
        </w:tc>
        <w:tc>
          <w:tcPr>
            <w:tcW w:w="1056" w:type="dxa"/>
            <w:vAlign w:val="center"/>
            <w:tcBorders>
              <w:top w:val="nil"/>
              <w:left w:val="nil"/>
              <w:bottom w:val="nil"/>
              <w:right w:val="nil"/>
            </w:tcBorders>
          </w:tcPr>
          <w:p>
            <w:pPr>
              <w:pStyle w:val="0"/>
              <w:jc w:val="center"/>
            </w:pPr>
            <w:r>
              <w:rPr>
                <w:sz w:val="20"/>
              </w:rPr>
              <w:t xml:space="preserve">5,4</w:t>
            </w:r>
          </w:p>
        </w:tc>
        <w:tc>
          <w:tcPr>
            <w:tcW w:w="1191" w:type="dxa"/>
            <w:vAlign w:val="center"/>
            <w:tcBorders>
              <w:top w:val="nil"/>
              <w:left w:val="nil"/>
              <w:bottom w:val="nil"/>
              <w:right w:val="nil"/>
            </w:tcBorders>
          </w:tcPr>
          <w:p>
            <w:pPr>
              <w:pStyle w:val="0"/>
              <w:jc w:val="center"/>
            </w:pPr>
            <w:r>
              <w:rPr>
                <w:sz w:val="20"/>
              </w:rPr>
              <w:t xml:space="preserve">16,2%</w:t>
            </w:r>
          </w:p>
        </w:tc>
        <w:tc>
          <w:tcPr>
            <w:tcW w:w="907" w:type="dxa"/>
            <w:vAlign w:val="center"/>
            <w:tcBorders>
              <w:top w:val="nil"/>
              <w:left w:val="nil"/>
              <w:bottom w:val="nil"/>
              <w:right w:val="single" w:sz="4"/>
            </w:tcBorders>
          </w:tcPr>
          <w:p>
            <w:pPr>
              <w:pStyle w:val="0"/>
              <w:jc w:val="center"/>
            </w:pPr>
            <w:r>
              <w:rPr>
                <w:sz w:val="20"/>
              </w:rPr>
              <w:t xml:space="preserve">13,8%</w:t>
            </w:r>
          </w:p>
        </w:tc>
        <w:tc>
          <w:tcPr>
            <w:tcW w:w="1077" w:type="dxa"/>
            <w:vAlign w:val="center"/>
            <w:tcBorders>
              <w:top w:val="nil"/>
              <w:left w:val="single" w:sz="4"/>
              <w:bottom w:val="nil"/>
              <w:right w:val="nil"/>
            </w:tcBorders>
          </w:tcPr>
          <w:p>
            <w:pPr>
              <w:pStyle w:val="0"/>
              <w:jc w:val="center"/>
            </w:pPr>
            <w:r>
              <w:rPr>
                <w:sz w:val="20"/>
              </w:rPr>
              <w:t xml:space="preserve">18,5%</w:t>
            </w:r>
          </w:p>
        </w:tc>
        <w:tc>
          <w:tcPr>
            <w:tcW w:w="850" w:type="dxa"/>
            <w:vAlign w:val="center"/>
            <w:tcBorders>
              <w:top w:val="nil"/>
              <w:left w:val="nil"/>
              <w:bottom w:val="nil"/>
              <w:right w:val="single" w:sz="4"/>
            </w:tcBorders>
          </w:tcPr>
          <w:p>
            <w:pPr>
              <w:pStyle w:val="0"/>
              <w:jc w:val="center"/>
            </w:pPr>
            <w:r>
              <w:rPr>
                <w:sz w:val="20"/>
              </w:rPr>
              <w:t xml:space="preserve">16,6%</w:t>
            </w:r>
          </w:p>
        </w:tc>
      </w:tr>
      <w:tr>
        <w:tc>
          <w:tcPr>
            <w:tcW w:w="1020" w:type="dxa"/>
            <w:vAlign w:val="center"/>
            <w:tcBorders>
              <w:top w:val="nil"/>
              <w:left w:val="nil"/>
              <w:bottom w:val="single" w:sz="4"/>
              <w:right w:val="nil"/>
            </w:tcBorders>
          </w:tcPr>
          <w:p>
            <w:pPr>
              <w:pStyle w:val="0"/>
              <w:jc w:val="center"/>
            </w:pPr>
            <w:hyperlink w:history="0" r:id="rId62"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03.12</w:t>
              </w:r>
            </w:hyperlink>
          </w:p>
        </w:tc>
        <w:tc>
          <w:tcPr>
            <w:tcW w:w="2948" w:type="dxa"/>
            <w:vAlign w:val="center"/>
            <w:tcBorders>
              <w:top w:val="nil"/>
              <w:left w:val="nil"/>
              <w:bottom w:val="single" w:sz="4"/>
              <w:right w:val="nil"/>
            </w:tcBorders>
          </w:tcPr>
          <w:p>
            <w:pPr>
              <w:pStyle w:val="0"/>
              <w:jc w:val="both"/>
            </w:pPr>
            <w:r>
              <w:rPr>
                <w:sz w:val="20"/>
              </w:rPr>
              <w:t xml:space="preserve">Рыболовство пресноводное</w:t>
            </w:r>
          </w:p>
        </w:tc>
        <w:tc>
          <w:tcPr>
            <w:tcW w:w="1056" w:type="dxa"/>
            <w:vAlign w:val="center"/>
            <w:tcBorders>
              <w:top w:val="nil"/>
              <w:left w:val="nil"/>
              <w:bottom w:val="single" w:sz="4"/>
              <w:right w:val="nil"/>
            </w:tcBorders>
          </w:tcPr>
          <w:p>
            <w:pPr>
              <w:pStyle w:val="0"/>
              <w:jc w:val="center"/>
            </w:pPr>
            <w:r>
              <w:rPr>
                <w:sz w:val="20"/>
              </w:rPr>
              <w:t xml:space="preserve">4,2</w:t>
            </w:r>
          </w:p>
        </w:tc>
        <w:tc>
          <w:tcPr>
            <w:tcW w:w="1191" w:type="dxa"/>
            <w:vAlign w:val="center"/>
            <w:tcBorders>
              <w:top w:val="nil"/>
              <w:left w:val="nil"/>
              <w:bottom w:val="single" w:sz="4"/>
              <w:right w:val="nil"/>
            </w:tcBorders>
          </w:tcPr>
          <w:p>
            <w:pPr>
              <w:pStyle w:val="0"/>
              <w:jc w:val="center"/>
            </w:pPr>
            <w:r>
              <w:rPr>
                <w:sz w:val="20"/>
              </w:rPr>
              <w:t xml:space="preserve">26,2%</w:t>
            </w:r>
          </w:p>
        </w:tc>
        <w:tc>
          <w:tcPr>
            <w:tcW w:w="907" w:type="dxa"/>
            <w:vAlign w:val="center"/>
            <w:tcBorders>
              <w:top w:val="nil"/>
              <w:left w:val="nil"/>
              <w:bottom w:val="single" w:sz="4"/>
              <w:right w:val="single" w:sz="4"/>
            </w:tcBorders>
          </w:tcPr>
          <w:p>
            <w:pPr>
              <w:pStyle w:val="0"/>
              <w:jc w:val="center"/>
            </w:pPr>
            <w:r>
              <w:rPr>
                <w:sz w:val="20"/>
              </w:rPr>
              <w:t xml:space="preserve">26,2%</w:t>
            </w:r>
          </w:p>
        </w:tc>
        <w:tc>
          <w:tcPr>
            <w:tcW w:w="1077" w:type="dxa"/>
            <w:vAlign w:val="center"/>
            <w:tcBorders>
              <w:top w:val="nil"/>
              <w:left w:val="single" w:sz="4"/>
              <w:bottom w:val="single" w:sz="4"/>
              <w:right w:val="nil"/>
            </w:tcBorders>
          </w:tcPr>
          <w:p>
            <w:pPr>
              <w:pStyle w:val="0"/>
              <w:jc w:val="center"/>
            </w:pPr>
            <w:r>
              <w:rPr>
                <w:sz w:val="20"/>
              </w:rPr>
              <w:t xml:space="preserve">26,4%</w:t>
            </w:r>
          </w:p>
        </w:tc>
        <w:tc>
          <w:tcPr>
            <w:tcW w:w="850" w:type="dxa"/>
            <w:vAlign w:val="center"/>
            <w:tcBorders>
              <w:top w:val="nil"/>
              <w:left w:val="nil"/>
              <w:bottom w:val="single" w:sz="4"/>
              <w:right w:val="single" w:sz="4"/>
            </w:tcBorders>
          </w:tcPr>
          <w:p>
            <w:pPr>
              <w:pStyle w:val="0"/>
              <w:jc w:val="center"/>
            </w:pPr>
            <w:r>
              <w:rPr>
                <w:sz w:val="20"/>
              </w:rPr>
              <w:t xml:space="preserve">36,9%</w:t>
            </w:r>
          </w:p>
        </w:tc>
      </w:tr>
    </w:tbl>
    <w:p>
      <w:pPr>
        <w:pStyle w:val="0"/>
        <w:jc w:val="both"/>
      </w:pPr>
      <w:r>
        <w:rPr>
          <w:sz w:val="20"/>
        </w:rPr>
      </w:r>
    </w:p>
    <w:p>
      <w:pPr>
        <w:pStyle w:val="0"/>
        <w:ind w:firstLine="540"/>
        <w:jc w:val="both"/>
      </w:pPr>
      <w:r>
        <w:rPr>
          <w:sz w:val="20"/>
        </w:rPr>
        <w:t xml:space="preserve">--------------------------------</w:t>
      </w:r>
    </w:p>
    <w:bookmarkStart w:id="4264" w:name="P4264"/>
    <w:bookmarkEnd w:id="4264"/>
    <w:p>
      <w:pPr>
        <w:pStyle w:val="0"/>
        <w:spacing w:before="200" w:line-rule="auto"/>
        <w:ind w:firstLine="540"/>
        <w:jc w:val="both"/>
      </w:pPr>
      <w:r>
        <w:rPr>
          <w:sz w:val="20"/>
        </w:rPr>
        <w:t xml:space="preserve">&lt;*&gt; Сумма средних значений выручки в рамках отрасли по всем резидентам за период анализа.</w:t>
      </w:r>
    </w:p>
    <w:bookmarkStart w:id="4265" w:name="P4265"/>
    <w:bookmarkEnd w:id="4265"/>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4266" w:name="P4266"/>
    <w:bookmarkEnd w:id="4266"/>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Таким образом, режим ТОР в ДФО требует "донастройки", например, для новых резидентов в части ограничения видов деятельности, которые могут пользоваться налоговыми льготами и неналоговыми мерами поддержки.</w:t>
      </w:r>
    </w:p>
    <w:p>
      <w:pPr>
        <w:pStyle w:val="0"/>
        <w:spacing w:before="200" w:line-rule="auto"/>
        <w:ind w:firstLine="540"/>
        <w:jc w:val="both"/>
      </w:pPr>
      <w:r>
        <w:rPr>
          <w:sz w:val="20"/>
        </w:rPr>
        <w:t xml:space="preserve">На основе результатов анализа эффективности ИНЛ подготовлены предложения по внесению изменений в Налоговый </w:t>
      </w:r>
      <w:hyperlink w:history="0" r:id="rId63"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кодекс</w:t>
        </w:r>
      </w:hyperlink>
      <w:r>
        <w:rPr>
          <w:sz w:val="20"/>
        </w:rPr>
        <w:t xml:space="preserve"> Российской Федерации, направленные на совершенствование налогового регулирования режима ТОР в ДФО (более подробно см. "</w:t>
      </w:r>
      <w:hyperlink w:history="0" w:anchor="P4168" w:tooltip="Результаты анализа эффективности ИНЛ">
        <w:r>
          <w:rPr>
            <w:sz w:val="20"/>
            <w:color w:val="0000ff"/>
          </w:rPr>
          <w:t xml:space="preserve">Результаты анализа</w:t>
        </w:r>
      </w:hyperlink>
      <w:r>
        <w:rPr>
          <w:sz w:val="20"/>
        </w:rPr>
        <w:t xml:space="preserve"> эффективности ИНЛ").</w:t>
      </w:r>
    </w:p>
    <w:p>
      <w:pPr>
        <w:pStyle w:val="0"/>
        <w:spacing w:before="200" w:line-rule="auto"/>
        <w:ind w:firstLine="540"/>
        <w:jc w:val="both"/>
      </w:pPr>
      <w:r>
        <w:rPr>
          <w:sz w:val="20"/>
        </w:rPr>
        <w:t xml:space="preserve">Ключевые выводы:</w:t>
      </w:r>
    </w:p>
    <w:p>
      <w:pPr>
        <w:pStyle w:val="0"/>
        <w:spacing w:before="200" w:line-rule="auto"/>
        <w:ind w:firstLine="540"/>
        <w:jc w:val="both"/>
      </w:pPr>
      <w:r>
        <w:rPr>
          <w:sz w:val="20"/>
        </w:rPr>
        <w:t xml:space="preserve">- около 80% заявленных капитальных вложений в ТОР в ДФО приходится на крупные инвестпроекты, с инвестициями свыше 100 млрд руб., применяющих также иные налоговые льготы и неналоговые меры поддержки помимо предусмотренных ТОР (например, вычеты по акцизам для нефтехимии),</w:t>
      </w:r>
    </w:p>
    <w:p>
      <w:pPr>
        <w:pStyle w:val="0"/>
        <w:spacing w:before="200" w:line-rule="auto"/>
        <w:ind w:firstLine="540"/>
        <w:jc w:val="both"/>
      </w:pPr>
      <w:r>
        <w:rPr>
          <w:sz w:val="20"/>
        </w:rPr>
        <w:t xml:space="preserve">- существует низкий уровень взаимодействия региональных органов исполнительной власти и местного самоуправления с бизнесом в части оценки экономической эффективности инвестиционного проекта, планируемого к реализации в статусе резидента ТОР,</w:t>
      </w:r>
    </w:p>
    <w:p>
      <w:pPr>
        <w:pStyle w:val="0"/>
        <w:spacing w:before="200" w:line-rule="auto"/>
        <w:ind w:firstLine="540"/>
        <w:jc w:val="both"/>
      </w:pPr>
      <w:r>
        <w:rPr>
          <w:sz w:val="20"/>
        </w:rPr>
        <w:t xml:space="preserve">- отсутствует система ответственности (в том числе финансовой) субъектов Российской Федерации и управляющей компании за недостижение показателей, ранее установленных в заключенных соглашениях,</w:t>
      </w:r>
    </w:p>
    <w:p>
      <w:pPr>
        <w:pStyle w:val="0"/>
        <w:spacing w:before="200" w:line-rule="auto"/>
        <w:ind w:firstLine="540"/>
        <w:jc w:val="both"/>
      </w:pPr>
      <w:r>
        <w:rPr>
          <w:sz w:val="20"/>
        </w:rPr>
        <w:t xml:space="preserve">- не представляется возможным подтвердить источники заемного финансирования по инвестиционным проектам, планируемым к реализации на преференциальном режиме (банковские гарантии предоставляются в случае получения статуса резидента до подписания соответствующего соглашения),</w:t>
      </w:r>
    </w:p>
    <w:p>
      <w:pPr>
        <w:pStyle w:val="0"/>
        <w:spacing w:before="200" w:line-rule="auto"/>
        <w:ind w:firstLine="540"/>
        <w:jc w:val="both"/>
      </w:pPr>
      <w:r>
        <w:rPr>
          <w:sz w:val="20"/>
        </w:rPr>
        <w:t xml:space="preserve">- происходит неэффективное использование средств федерального бюджета ввиду строительства невостребованных объектов инфраструктуры, а также возникают риски для федерального бюджета в части предоставления налоговых льгот для проектов, вероятность успешной реализации которых низкая.</w:t>
      </w:r>
    </w:p>
    <w:p>
      <w:pPr>
        <w:pStyle w:val="0"/>
        <w:jc w:val="both"/>
      </w:pPr>
      <w:r>
        <w:rPr>
          <w:sz w:val="20"/>
        </w:rPr>
      </w:r>
    </w:p>
    <w:p>
      <w:pPr>
        <w:pStyle w:val="2"/>
        <w:outlineLvl w:val="1"/>
        <w:ind w:firstLine="540"/>
        <w:jc w:val="both"/>
      </w:pPr>
      <w:r>
        <w:rPr>
          <w:sz w:val="20"/>
        </w:rPr>
        <w:t xml:space="preserve">Территории опережающего социально-экономического развития, расположенные на территориях монопрофильных муниципальных образований Российской Федерации и закрытых административно-территориальных образований (ТОР в моногородах и ЗАТО)</w:t>
      </w:r>
    </w:p>
    <w:p>
      <w:pPr>
        <w:pStyle w:val="0"/>
        <w:jc w:val="both"/>
      </w:pPr>
      <w:r>
        <w:rPr>
          <w:sz w:val="20"/>
        </w:rPr>
      </w:r>
    </w:p>
    <w:p>
      <w:pPr>
        <w:pStyle w:val="0"/>
        <w:ind w:firstLine="540"/>
        <w:jc w:val="both"/>
      </w:pPr>
      <w:r>
        <w:rPr>
          <w:sz w:val="20"/>
        </w:rPr>
        <w:t xml:space="preserve">Таблица 3.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8"/>
        <w:gridCol w:w="6278"/>
      </w:tblGrid>
      <w:tr>
        <w:tblPrEx>
          <w:tblBorders>
            <w:insideH w:val="single" w:sz="4"/>
          </w:tblBorders>
        </w:tblPrEx>
        <w:tc>
          <w:tcPr>
            <w:tcW w:w="2778" w:type="dxa"/>
            <w:tcBorders>
              <w:top w:val="single" w:sz="4"/>
              <w:left w:val="nil"/>
              <w:bottom w:val="single" w:sz="4"/>
              <w:right w:val="nil"/>
            </w:tcBorders>
          </w:tcPr>
          <w:p>
            <w:pPr>
              <w:pStyle w:val="0"/>
              <w:jc w:val="center"/>
            </w:pPr>
            <w:r>
              <w:rPr>
                <w:sz w:val="20"/>
              </w:rPr>
              <w:t xml:space="preserve">Показатель</w:t>
            </w:r>
          </w:p>
        </w:tc>
        <w:tc>
          <w:tcPr>
            <w:tcW w:w="6278" w:type="dxa"/>
            <w:tcBorders>
              <w:top w:val="single" w:sz="4"/>
              <w:left w:val="nil"/>
              <w:bottom w:val="single" w:sz="4"/>
              <w:right w:val="nil"/>
            </w:tcBorders>
          </w:tcPr>
          <w:p>
            <w:pPr>
              <w:pStyle w:val="0"/>
              <w:jc w:val="center"/>
            </w:pPr>
            <w:r>
              <w:rPr>
                <w:sz w:val="20"/>
              </w:rPr>
              <w:t xml:space="preserve">Описание</w:t>
            </w:r>
          </w:p>
        </w:tc>
      </w:tr>
      <w:tr>
        <w:tc>
          <w:tcPr>
            <w:tcW w:w="2778" w:type="dxa"/>
            <w:vAlign w:val="center"/>
            <w:tcBorders>
              <w:top w:val="single" w:sz="4"/>
              <w:left w:val="nil"/>
              <w:bottom w:val="nil"/>
              <w:right w:val="nil"/>
            </w:tcBorders>
          </w:tcPr>
          <w:p>
            <w:pPr>
              <w:pStyle w:val="0"/>
              <w:jc w:val="both"/>
            </w:pPr>
            <w:r>
              <w:rPr>
                <w:sz w:val="20"/>
              </w:rPr>
              <w:t xml:space="preserve">Срок действия режима</w:t>
            </w:r>
          </w:p>
        </w:tc>
        <w:tc>
          <w:tcPr>
            <w:tcW w:w="6278" w:type="dxa"/>
            <w:vAlign w:val="center"/>
            <w:tcBorders>
              <w:top w:val="single" w:sz="4"/>
              <w:left w:val="nil"/>
              <w:bottom w:val="nil"/>
              <w:right w:val="nil"/>
            </w:tcBorders>
          </w:tcPr>
          <w:p>
            <w:pPr>
              <w:pStyle w:val="0"/>
              <w:jc w:val="both"/>
            </w:pPr>
            <w:r>
              <w:rPr>
                <w:sz w:val="20"/>
              </w:rPr>
              <w:t xml:space="preserve">ТОР в моногородах действуете 30.03.2015 (ЗАТО с 01.01.2016). ТОР в моногородах создаются на 10 лет (ЗАТО - 70 лет). По решению Правительства Российской Федерации срок существования ТОР в моногородах может быть продлен на 5 лет.</w:t>
            </w:r>
          </w:p>
        </w:tc>
      </w:tr>
      <w:tr>
        <w:tc>
          <w:tcPr>
            <w:tcW w:w="2778" w:type="dxa"/>
            <w:vAlign w:val="center"/>
            <w:tcBorders>
              <w:top w:val="nil"/>
              <w:left w:val="nil"/>
              <w:bottom w:val="nil"/>
              <w:right w:val="nil"/>
            </w:tcBorders>
          </w:tcPr>
          <w:p>
            <w:pPr>
              <w:pStyle w:val="0"/>
              <w:jc w:val="both"/>
            </w:pPr>
            <w:r>
              <w:rPr>
                <w:sz w:val="20"/>
              </w:rPr>
              <w:t xml:space="preserve">Налоговые льготы режима</w:t>
            </w:r>
          </w:p>
        </w:tc>
        <w:tc>
          <w:tcPr>
            <w:tcW w:w="6278" w:type="dxa"/>
            <w:vAlign w:val="center"/>
            <w:tcBorders>
              <w:top w:val="nil"/>
              <w:left w:val="nil"/>
              <w:bottom w:val="nil"/>
              <w:right w:val="nil"/>
            </w:tcBorders>
          </w:tcPr>
          <w:p>
            <w:pPr>
              <w:pStyle w:val="0"/>
              <w:jc w:val="both"/>
            </w:pPr>
            <w:r>
              <w:rPr>
                <w:sz w:val="20"/>
              </w:rPr>
              <w:t xml:space="preserve">- пониженные ставки по налогу на прибыль в ФБ и РБ (в соответствии с законами субъектов РФ),</w:t>
            </w:r>
          </w:p>
          <w:p>
            <w:pPr>
              <w:pStyle w:val="0"/>
              <w:jc w:val="both"/>
            </w:pPr>
            <w:r>
              <w:rPr>
                <w:sz w:val="20"/>
              </w:rPr>
              <w:t xml:space="preserve">- льготный коэффициент Ктд по НДПИ (общая сумма льготы не может превышать величину капитальных вложений),</w:t>
            </w:r>
          </w:p>
          <w:p>
            <w:pPr>
              <w:pStyle w:val="0"/>
              <w:jc w:val="both"/>
            </w:pPr>
            <w:r>
              <w:rPr>
                <w:sz w:val="20"/>
              </w:rPr>
              <w:t xml:space="preserve">- освобождение от уплаты налога на имущество,</w:t>
            </w:r>
          </w:p>
          <w:p>
            <w:pPr>
              <w:pStyle w:val="0"/>
              <w:jc w:val="both"/>
            </w:pPr>
            <w:r>
              <w:rPr>
                <w:sz w:val="20"/>
              </w:rPr>
              <w:t xml:space="preserve">- освобождение от уплаты земельного налога,</w:t>
            </w:r>
          </w:p>
          <w:p>
            <w:pPr>
              <w:pStyle w:val="0"/>
              <w:jc w:val="both"/>
            </w:pPr>
            <w:r>
              <w:rPr>
                <w:sz w:val="20"/>
              </w:rPr>
              <w:t xml:space="preserve">- пониженные тарифы страховых взносов.</w:t>
            </w:r>
          </w:p>
        </w:tc>
      </w:tr>
      <w:tr>
        <w:tc>
          <w:tcPr>
            <w:tcW w:w="2778" w:type="dxa"/>
            <w:vAlign w:val="center"/>
            <w:tcBorders>
              <w:top w:val="nil"/>
              <w:left w:val="nil"/>
              <w:bottom w:val="nil"/>
              <w:right w:val="nil"/>
            </w:tcBorders>
          </w:tcPr>
          <w:p>
            <w:pPr>
              <w:pStyle w:val="0"/>
              <w:jc w:val="both"/>
            </w:pPr>
            <w:r>
              <w:rPr>
                <w:sz w:val="20"/>
              </w:rPr>
              <w:t xml:space="preserve">Количество отраслей в режиме</w:t>
            </w:r>
          </w:p>
        </w:tc>
        <w:tc>
          <w:tcPr>
            <w:tcW w:w="6278" w:type="dxa"/>
            <w:vAlign w:val="center"/>
            <w:tcBorders>
              <w:top w:val="nil"/>
              <w:left w:val="nil"/>
              <w:bottom w:val="nil"/>
              <w:right w:val="nil"/>
            </w:tcBorders>
          </w:tcPr>
          <w:p>
            <w:pPr>
              <w:pStyle w:val="0"/>
              <w:jc w:val="both"/>
            </w:pPr>
            <w:r>
              <w:rPr>
                <w:sz w:val="20"/>
              </w:rPr>
              <w:t xml:space="preserve">231</w:t>
            </w:r>
          </w:p>
        </w:tc>
      </w:tr>
      <w:tr>
        <w:tc>
          <w:tcPr>
            <w:tcW w:w="2778" w:type="dxa"/>
            <w:vAlign w:val="center"/>
            <w:tcBorders>
              <w:top w:val="nil"/>
              <w:left w:val="nil"/>
              <w:bottom w:val="single" w:sz="4"/>
              <w:right w:val="nil"/>
            </w:tcBorders>
          </w:tcPr>
          <w:p>
            <w:pPr>
              <w:pStyle w:val="0"/>
              <w:jc w:val="both"/>
            </w:pPr>
            <w:r>
              <w:rPr>
                <w:sz w:val="20"/>
              </w:rPr>
              <w:t xml:space="preserve">Наличие обязательств</w:t>
            </w:r>
          </w:p>
        </w:tc>
        <w:tc>
          <w:tcPr>
            <w:tcW w:w="6278" w:type="dxa"/>
            <w:vAlign w:val="center"/>
            <w:tcBorders>
              <w:top w:val="nil"/>
              <w:left w:val="nil"/>
              <w:bottom w:val="single" w:sz="4"/>
              <w:right w:val="nil"/>
            </w:tcBorders>
          </w:tcPr>
          <w:p>
            <w:pPr>
              <w:pStyle w:val="0"/>
              <w:jc w:val="both"/>
            </w:pPr>
            <w:r>
              <w:rPr>
                <w:sz w:val="20"/>
              </w:rPr>
              <w:t xml:space="preserve">Да (инвестиции, в том числе капитальные вложения (не менее 2,5 млн руб. в 1 год) и количество новых рабочих мест).</w:t>
            </w:r>
          </w:p>
        </w:tc>
      </w:tr>
    </w:tbl>
    <w:p>
      <w:pPr>
        <w:pStyle w:val="0"/>
        <w:jc w:val="both"/>
      </w:pPr>
      <w:r>
        <w:rPr>
          <w:sz w:val="20"/>
        </w:rPr>
      </w:r>
    </w:p>
    <w:p>
      <w:pPr>
        <w:pStyle w:val="0"/>
        <w:ind w:firstLine="540"/>
        <w:jc w:val="both"/>
      </w:pPr>
      <w:r>
        <w:rPr>
          <w:sz w:val="20"/>
        </w:rPr>
        <w:t xml:space="preserve">За период анализа (2017 - 2022 годы) общее количество резидентов &lt;6&gt; ТОР в моногородах и ЗАТО составило 1372, из которых в периметр анализа на базе АС "Эффективность льгот" вошли 966 &lt;7&gt; резидентов.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Количество резидентов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&lt;7&gt; Прочие резиденты не вошли в анализ по причине отсутствия налоговых деклараций или бухгалтерской отчетности (106 резидентов), или нулевого значения показателя выручки (300 резидентов).</w:t>
      </w:r>
    </w:p>
    <w:p>
      <w:pPr>
        <w:pStyle w:val="0"/>
        <w:jc w:val="both"/>
      </w:pPr>
      <w:r>
        <w:rPr>
          <w:sz w:val="20"/>
        </w:rPr>
      </w:r>
    </w:p>
    <w:p>
      <w:pPr>
        <w:pStyle w:val="0"/>
        <w:jc w:val="center"/>
      </w:pPr>
      <w:r>
        <w:rPr>
          <w:position w:val="-104"/>
        </w:rPr>
        <w:drawing>
          <wp:inline distT="0" distB="0" distL="0" distR="0">
            <wp:extent cx="5015865" cy="1447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015865" cy="1447800"/>
                    </a:xfrm>
                    <a:prstGeom prst="rect">
                      <a:avLst/>
                    </a:prstGeom>
                    <a:noFill/>
                    <a:ln>
                      <a:noFill/>
                    </a:ln>
                  </pic:spPr>
                </pic:pic>
              </a:graphicData>
            </a:graphic>
          </wp:inline>
        </w:drawing>
      </w:r>
    </w:p>
    <w:p>
      <w:pPr>
        <w:pStyle w:val="0"/>
        <w:jc w:val="both"/>
      </w:pPr>
      <w:r>
        <w:rPr>
          <w:sz w:val="20"/>
        </w:rPr>
      </w:r>
    </w:p>
    <w:p>
      <w:pPr>
        <w:pStyle w:val="0"/>
        <w:jc w:val="center"/>
      </w:pPr>
      <w:r>
        <w:rPr>
          <w:position w:val="-116"/>
        </w:rPr>
        <w:drawing>
          <wp:inline distT="0" distB="0" distL="0" distR="0">
            <wp:extent cx="5060950" cy="16046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060950" cy="16046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выручки резидентов ТОР в моногородах и ЗАТО, вошедших в периметр анализа, с 2017 года по 2022 год вырос в 8,8 раз, количество резидентов - в 3,7 раз, величина капитальных вложений - в 7,3 раза, численность сотрудников - в 12,7 раз. При этом в 2022 году несмотря на рост числа резидентов и увеличение численности сотрудников на 38,7% по сравнению с 2021 годом, совокупный объем капитальных вложений за аналогичный период снизился на 6,1%.</w:t>
      </w:r>
    </w:p>
    <w:p>
      <w:pPr>
        <w:pStyle w:val="0"/>
        <w:spacing w:before="200" w:line-rule="auto"/>
        <w:ind w:firstLine="540"/>
        <w:jc w:val="both"/>
      </w:pPr>
      <w:r>
        <w:rPr>
          <w:sz w:val="20"/>
        </w:rPr>
        <w:t xml:space="preserve">С 2017 года по 2022 год общая величина выпадающих доходов бюджетов бюджетной системы Российской Федерации (по резидентам ИНЛ, вошедшим в периметр анализа) увеличилась с 0,5 млрд руб. до 14,0 млрд руб. (в 27,6 раз), в том числе с 0,5 млрд руб. до 13,9 млрд руб. (в 27,4 раза) по налоговым льготам и с 0 млрд руб. до 0,1 млрд руб. по неналоговым мерам поддержки. Таким образом, за 2022 год доля налоговых льгот и неналоговых мер поддержки в общей величине выпадающих доходов бюджетов бюджетной системы Российской Федерации для резидентов данной ИНЛ, вошедших в периметр анализа, составляла 99,5% и 0,5% соответственно.</w:t>
      </w:r>
    </w:p>
    <w:p>
      <w:pPr>
        <w:pStyle w:val="0"/>
        <w:spacing w:before="200" w:line-rule="auto"/>
        <w:ind w:firstLine="540"/>
        <w:jc w:val="both"/>
      </w:pPr>
      <w:r>
        <w:rPr>
          <w:sz w:val="20"/>
        </w:rPr>
        <w:t xml:space="preserve">В ТОП-3 отраслей по объему выручки за период анализа вошли отрасли по производству масел и жиров (6,8%), производству бытовых электрических приборов (6,7%), а также производству чугуна, стали и ферросплавов (6,0%).</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выросла по сравнению с анализом за прошлый год с 25,1% до 34,9%. При дальнейшей отраслевой дифференциации выявлены отрасли (всего 46 </w:t>
      </w:r>
      <w:hyperlink w:history="0" r:id="rId66"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с наиболее прибыльными компаниями, применяющими режим.</w:t>
      </w:r>
    </w:p>
    <w:p>
      <w:pPr>
        <w:pStyle w:val="0"/>
        <w:jc w:val="both"/>
      </w:pPr>
      <w:r>
        <w:rPr>
          <w:sz w:val="20"/>
        </w:rPr>
      </w:r>
    </w:p>
    <w:p>
      <w:pPr>
        <w:pStyle w:val="0"/>
        <w:ind w:firstLine="540"/>
        <w:jc w:val="both"/>
      </w:pPr>
      <w:r>
        <w:rPr>
          <w:sz w:val="20"/>
        </w:rPr>
        <w:t xml:space="preserve">Таблица 4. ТОП-5 по выручке отраслей, в которых выявлена сверхдоходность или низкая инвестиционная активность</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1020"/>
        <w:gridCol w:w="2948"/>
        <w:gridCol w:w="1056"/>
        <w:gridCol w:w="1191"/>
        <w:gridCol w:w="907"/>
        <w:gridCol w:w="1077"/>
        <w:gridCol w:w="850"/>
      </w:tblGrid>
      <w:tr>
        <w:tblPrEx>
          <w:tblBorders>
            <w:insideH w:val="single" w:sz="4"/>
          </w:tblBorders>
        </w:tblPrEx>
        <w:tc>
          <w:tcPr>
            <w:tcW w:w="1020" w:type="dxa"/>
            <w:tcBorders>
              <w:top w:val="single" w:sz="4"/>
              <w:left w:val="nil"/>
              <w:bottom w:val="single" w:sz="4"/>
              <w:right w:val="nil"/>
            </w:tcBorders>
          </w:tcPr>
          <w:p>
            <w:pPr>
              <w:pStyle w:val="0"/>
              <w:jc w:val="center"/>
            </w:pPr>
            <w:hyperlink w:history="0" r:id="rId67"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2948" w:type="dxa"/>
            <w:tcBorders>
              <w:top w:val="single" w:sz="4"/>
              <w:left w:val="nil"/>
              <w:bottom w:val="single" w:sz="4"/>
              <w:right w:val="nil"/>
            </w:tcBorders>
          </w:tcPr>
          <w:p>
            <w:pPr>
              <w:pStyle w:val="0"/>
              <w:jc w:val="center"/>
            </w:pPr>
            <w:r>
              <w:rPr>
                <w:sz w:val="20"/>
              </w:rPr>
              <w:t xml:space="preserve">Наименование отрасли</w:t>
            </w:r>
          </w:p>
        </w:tc>
        <w:tc>
          <w:tcPr>
            <w:tcW w:w="1056" w:type="dxa"/>
            <w:tcBorders>
              <w:top w:val="single" w:sz="4"/>
              <w:left w:val="nil"/>
              <w:bottom w:val="single" w:sz="4"/>
              <w:right w:val="nil"/>
            </w:tcBorders>
          </w:tcPr>
          <w:p>
            <w:pPr>
              <w:pStyle w:val="0"/>
              <w:jc w:val="center"/>
            </w:pPr>
            <w:r>
              <w:rPr>
                <w:sz w:val="20"/>
              </w:rPr>
              <w:t xml:space="preserve">Выручка по отрасли </w:t>
            </w:r>
            <w:hyperlink w:history="0" w:anchor="P4356" w:tooltip="&lt;*&gt; Сумма средних значений выручки в рамках отрасли по всем резидентам за период анализа.">
              <w:r>
                <w:rPr>
                  <w:sz w:val="20"/>
                  <w:color w:val="0000ff"/>
                </w:rPr>
                <w:t xml:space="preserve">&lt;*&gt;</w:t>
              </w:r>
            </w:hyperlink>
            <w:r>
              <w:rPr>
                <w:sz w:val="20"/>
              </w:rPr>
              <w:t xml:space="preserve">, млрд </w:t>
            </w:r>
            <w:r>
              <w:rPr>
                <w:position w:val="-5"/>
              </w:rPr>
              <w:drawing>
                <wp:inline distT="0" distB="0" distL="0" distR="0">
                  <wp:extent cx="12192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121920" cy="194945"/>
                          </a:xfrm>
                          <a:prstGeom prst="rect">
                            <a:avLst/>
                          </a:prstGeom>
                          <a:noFill/>
                          <a:ln>
                            <a:noFill/>
                          </a:ln>
                        </pic:spPr>
                      </pic:pic>
                    </a:graphicData>
                  </a:graphic>
                </wp:inline>
              </w:drawing>
            </w:r>
          </w:p>
        </w:tc>
        <w:tc>
          <w:tcPr>
            <w:tcW w:w="1191"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4357"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90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07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4358" w:tooltip="&lt;***&gt; Средневзвешенная по выручке на основе данных за весь период анализа.">
              <w:r>
                <w:rPr>
                  <w:sz w:val="20"/>
                  <w:color w:val="0000ff"/>
                </w:rPr>
                <w:t xml:space="preserve">&lt;***&gt;</w:t>
              </w:r>
            </w:hyperlink>
          </w:p>
        </w:tc>
        <w:tc>
          <w:tcPr>
            <w:tcW w:w="850"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1020" w:type="dxa"/>
            <w:vAlign w:val="center"/>
            <w:tcBorders>
              <w:top w:val="single" w:sz="4"/>
              <w:left w:val="nil"/>
              <w:bottom w:val="nil"/>
              <w:right w:val="nil"/>
            </w:tcBorders>
          </w:tcPr>
          <w:p>
            <w:pPr>
              <w:pStyle w:val="0"/>
              <w:jc w:val="center"/>
            </w:pPr>
            <w:hyperlink w:history="0" r:id="rId6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24.10</w:t>
              </w:r>
            </w:hyperlink>
          </w:p>
        </w:tc>
        <w:tc>
          <w:tcPr>
            <w:tcW w:w="2948" w:type="dxa"/>
            <w:vAlign w:val="center"/>
            <w:tcBorders>
              <w:top w:val="single" w:sz="4"/>
              <w:left w:val="nil"/>
              <w:bottom w:val="nil"/>
              <w:right w:val="nil"/>
            </w:tcBorders>
          </w:tcPr>
          <w:p>
            <w:pPr>
              <w:pStyle w:val="0"/>
              <w:jc w:val="both"/>
            </w:pPr>
            <w:r>
              <w:rPr>
                <w:sz w:val="20"/>
              </w:rPr>
              <w:t xml:space="preserve">Производство чугуна, стали и ферросплавов</w:t>
            </w:r>
          </w:p>
        </w:tc>
        <w:tc>
          <w:tcPr>
            <w:tcW w:w="1056" w:type="dxa"/>
            <w:vAlign w:val="center"/>
            <w:tcBorders>
              <w:top w:val="single" w:sz="4"/>
              <w:left w:val="nil"/>
              <w:bottom w:val="nil"/>
              <w:right w:val="nil"/>
            </w:tcBorders>
          </w:tcPr>
          <w:p>
            <w:pPr>
              <w:pStyle w:val="0"/>
              <w:jc w:val="center"/>
            </w:pPr>
            <w:r>
              <w:rPr>
                <w:sz w:val="20"/>
              </w:rPr>
              <w:t xml:space="preserve">13,6</w:t>
            </w:r>
          </w:p>
        </w:tc>
        <w:tc>
          <w:tcPr>
            <w:tcW w:w="1191" w:type="dxa"/>
            <w:vAlign w:val="center"/>
            <w:tcBorders>
              <w:top w:val="single" w:sz="4"/>
              <w:left w:val="nil"/>
              <w:bottom w:val="nil"/>
              <w:right w:val="nil"/>
            </w:tcBorders>
          </w:tcPr>
          <w:p>
            <w:pPr>
              <w:pStyle w:val="0"/>
              <w:jc w:val="center"/>
            </w:pPr>
            <w:r>
              <w:rPr>
                <w:sz w:val="20"/>
              </w:rPr>
              <w:t xml:space="preserve">6,2%</w:t>
            </w:r>
          </w:p>
        </w:tc>
        <w:tc>
          <w:tcPr>
            <w:tcW w:w="907" w:type="dxa"/>
            <w:vAlign w:val="center"/>
            <w:tcBorders>
              <w:top w:val="single" w:sz="4"/>
              <w:left w:val="nil"/>
              <w:bottom w:val="nil"/>
              <w:right w:val="single" w:sz="4"/>
            </w:tcBorders>
          </w:tcPr>
          <w:p>
            <w:pPr>
              <w:pStyle w:val="0"/>
              <w:jc w:val="center"/>
            </w:pPr>
            <w:r>
              <w:rPr>
                <w:sz w:val="20"/>
              </w:rPr>
              <w:t xml:space="preserve">10,0%</w:t>
            </w:r>
          </w:p>
        </w:tc>
        <w:tc>
          <w:tcPr>
            <w:tcW w:w="1077" w:type="dxa"/>
            <w:vAlign w:val="center"/>
            <w:tcBorders>
              <w:top w:val="single" w:sz="4"/>
              <w:left w:val="single" w:sz="4"/>
              <w:bottom w:val="nil"/>
              <w:right w:val="nil"/>
            </w:tcBorders>
          </w:tcPr>
          <w:p>
            <w:pPr>
              <w:pStyle w:val="0"/>
              <w:jc w:val="center"/>
            </w:pPr>
            <w:r>
              <w:rPr>
                <w:sz w:val="20"/>
              </w:rPr>
              <w:t xml:space="preserve">9,2%</w:t>
            </w:r>
          </w:p>
        </w:tc>
        <w:tc>
          <w:tcPr>
            <w:tcW w:w="850" w:type="dxa"/>
            <w:vAlign w:val="center"/>
            <w:tcBorders>
              <w:top w:val="single" w:sz="4"/>
              <w:left w:val="nil"/>
              <w:bottom w:val="nil"/>
              <w:right w:val="single" w:sz="4"/>
            </w:tcBorders>
          </w:tcPr>
          <w:p>
            <w:pPr>
              <w:pStyle w:val="0"/>
              <w:jc w:val="center"/>
            </w:pPr>
            <w:r>
              <w:rPr>
                <w:sz w:val="20"/>
              </w:rPr>
              <w:t xml:space="preserve">17,7%</w:t>
            </w:r>
          </w:p>
        </w:tc>
      </w:tr>
      <w:tr>
        <w:tc>
          <w:tcPr>
            <w:tcW w:w="1020" w:type="dxa"/>
            <w:vAlign w:val="center"/>
            <w:tcBorders>
              <w:top w:val="nil"/>
              <w:left w:val="nil"/>
              <w:bottom w:val="nil"/>
              <w:right w:val="nil"/>
            </w:tcBorders>
          </w:tcPr>
          <w:p>
            <w:pPr>
              <w:pStyle w:val="0"/>
              <w:jc w:val="center"/>
            </w:pPr>
            <w:hyperlink w:history="0" r:id="rId6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25.61</w:t>
              </w:r>
            </w:hyperlink>
          </w:p>
        </w:tc>
        <w:tc>
          <w:tcPr>
            <w:tcW w:w="2948" w:type="dxa"/>
            <w:vAlign w:val="center"/>
            <w:tcBorders>
              <w:top w:val="nil"/>
              <w:left w:val="nil"/>
              <w:bottom w:val="nil"/>
              <w:right w:val="nil"/>
            </w:tcBorders>
          </w:tcPr>
          <w:p>
            <w:pPr>
              <w:pStyle w:val="0"/>
              <w:jc w:val="both"/>
            </w:pPr>
            <w:r>
              <w:rPr>
                <w:sz w:val="20"/>
              </w:rPr>
              <w:t xml:space="preserve">Обработка металлов и нанесение покрытий на металлы</w:t>
            </w:r>
          </w:p>
        </w:tc>
        <w:tc>
          <w:tcPr>
            <w:tcW w:w="1056" w:type="dxa"/>
            <w:vAlign w:val="center"/>
            <w:tcBorders>
              <w:top w:val="nil"/>
              <w:left w:val="nil"/>
              <w:bottom w:val="nil"/>
              <w:right w:val="nil"/>
            </w:tcBorders>
          </w:tcPr>
          <w:p>
            <w:pPr>
              <w:pStyle w:val="0"/>
              <w:jc w:val="center"/>
            </w:pPr>
            <w:r>
              <w:rPr>
                <w:sz w:val="20"/>
              </w:rPr>
              <w:t xml:space="preserve">5,7</w:t>
            </w:r>
          </w:p>
        </w:tc>
        <w:tc>
          <w:tcPr>
            <w:tcW w:w="1191" w:type="dxa"/>
            <w:vAlign w:val="center"/>
            <w:tcBorders>
              <w:top w:val="nil"/>
              <w:left w:val="nil"/>
              <w:bottom w:val="nil"/>
              <w:right w:val="nil"/>
            </w:tcBorders>
          </w:tcPr>
          <w:p>
            <w:pPr>
              <w:pStyle w:val="0"/>
              <w:jc w:val="center"/>
            </w:pPr>
            <w:r>
              <w:rPr>
                <w:sz w:val="20"/>
              </w:rPr>
              <w:t xml:space="preserve">20,6%</w:t>
            </w:r>
          </w:p>
        </w:tc>
        <w:tc>
          <w:tcPr>
            <w:tcW w:w="907" w:type="dxa"/>
            <w:vAlign w:val="center"/>
            <w:tcBorders>
              <w:top w:val="nil"/>
              <w:left w:val="nil"/>
              <w:bottom w:val="nil"/>
              <w:right w:val="single" w:sz="4"/>
            </w:tcBorders>
          </w:tcPr>
          <w:p>
            <w:pPr>
              <w:pStyle w:val="0"/>
              <w:jc w:val="center"/>
            </w:pPr>
            <w:r>
              <w:rPr>
                <w:sz w:val="20"/>
              </w:rPr>
              <w:t xml:space="preserve">45,1%</w:t>
            </w:r>
          </w:p>
        </w:tc>
        <w:tc>
          <w:tcPr>
            <w:tcW w:w="1077" w:type="dxa"/>
            <w:vAlign w:val="center"/>
            <w:tcBorders>
              <w:top w:val="nil"/>
              <w:left w:val="single" w:sz="4"/>
              <w:bottom w:val="nil"/>
              <w:right w:val="nil"/>
            </w:tcBorders>
          </w:tcPr>
          <w:p>
            <w:pPr>
              <w:pStyle w:val="0"/>
              <w:jc w:val="center"/>
            </w:pPr>
            <w:r>
              <w:rPr>
                <w:sz w:val="20"/>
              </w:rPr>
              <w:t xml:space="preserve">15,1%</w:t>
            </w:r>
          </w:p>
        </w:tc>
        <w:tc>
          <w:tcPr>
            <w:tcW w:w="850" w:type="dxa"/>
            <w:vAlign w:val="center"/>
            <w:tcBorders>
              <w:top w:val="nil"/>
              <w:left w:val="nil"/>
              <w:bottom w:val="nil"/>
              <w:right w:val="single" w:sz="4"/>
            </w:tcBorders>
          </w:tcPr>
          <w:p>
            <w:pPr>
              <w:pStyle w:val="0"/>
              <w:jc w:val="center"/>
            </w:pPr>
            <w:r>
              <w:rPr>
                <w:sz w:val="20"/>
              </w:rPr>
              <w:t xml:space="preserve">33,7%</w:t>
            </w:r>
          </w:p>
        </w:tc>
      </w:tr>
      <w:tr>
        <w:tc>
          <w:tcPr>
            <w:tcW w:w="1020" w:type="dxa"/>
            <w:vAlign w:val="center"/>
            <w:tcBorders>
              <w:top w:val="nil"/>
              <w:left w:val="nil"/>
              <w:bottom w:val="nil"/>
              <w:right w:val="nil"/>
            </w:tcBorders>
          </w:tcPr>
          <w:p>
            <w:pPr>
              <w:pStyle w:val="0"/>
              <w:jc w:val="center"/>
            </w:pPr>
            <w:hyperlink w:history="0" r:id="rId7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26.51</w:t>
              </w:r>
            </w:hyperlink>
          </w:p>
        </w:tc>
        <w:tc>
          <w:tcPr>
            <w:tcW w:w="2948" w:type="dxa"/>
            <w:vAlign w:val="center"/>
            <w:tcBorders>
              <w:top w:val="nil"/>
              <w:left w:val="nil"/>
              <w:bottom w:val="nil"/>
              <w:right w:val="nil"/>
            </w:tcBorders>
          </w:tcPr>
          <w:p>
            <w:pPr>
              <w:pStyle w:val="0"/>
              <w:jc w:val="both"/>
            </w:pPr>
            <w:r>
              <w:rPr>
                <w:sz w:val="20"/>
              </w:rPr>
              <w:t xml:space="preserve">Производство инструментов и приборов для измерения, тестирования и навигации</w:t>
            </w:r>
          </w:p>
        </w:tc>
        <w:tc>
          <w:tcPr>
            <w:tcW w:w="1056" w:type="dxa"/>
            <w:vAlign w:val="center"/>
            <w:tcBorders>
              <w:top w:val="nil"/>
              <w:left w:val="nil"/>
              <w:bottom w:val="nil"/>
              <w:right w:val="nil"/>
            </w:tcBorders>
          </w:tcPr>
          <w:p>
            <w:pPr>
              <w:pStyle w:val="0"/>
              <w:jc w:val="center"/>
            </w:pPr>
            <w:r>
              <w:rPr>
                <w:sz w:val="20"/>
              </w:rPr>
              <w:t xml:space="preserve">4,4</w:t>
            </w:r>
          </w:p>
        </w:tc>
        <w:tc>
          <w:tcPr>
            <w:tcW w:w="1191" w:type="dxa"/>
            <w:vAlign w:val="center"/>
            <w:tcBorders>
              <w:top w:val="nil"/>
              <w:left w:val="nil"/>
              <w:bottom w:val="nil"/>
              <w:right w:val="nil"/>
            </w:tcBorders>
          </w:tcPr>
          <w:p>
            <w:pPr>
              <w:pStyle w:val="0"/>
              <w:jc w:val="center"/>
            </w:pPr>
            <w:r>
              <w:rPr>
                <w:sz w:val="20"/>
              </w:rPr>
              <w:t xml:space="preserve">36,0%</w:t>
            </w:r>
          </w:p>
        </w:tc>
        <w:tc>
          <w:tcPr>
            <w:tcW w:w="907" w:type="dxa"/>
            <w:vAlign w:val="center"/>
            <w:tcBorders>
              <w:top w:val="nil"/>
              <w:left w:val="nil"/>
              <w:bottom w:val="nil"/>
              <w:right w:val="single" w:sz="4"/>
            </w:tcBorders>
          </w:tcPr>
          <w:p>
            <w:pPr>
              <w:pStyle w:val="0"/>
              <w:jc w:val="center"/>
            </w:pPr>
            <w:r>
              <w:rPr>
                <w:sz w:val="20"/>
              </w:rPr>
              <w:t xml:space="preserve">62,8%</w:t>
            </w:r>
          </w:p>
        </w:tc>
        <w:tc>
          <w:tcPr>
            <w:tcW w:w="1077" w:type="dxa"/>
            <w:vAlign w:val="center"/>
            <w:tcBorders>
              <w:top w:val="nil"/>
              <w:left w:val="single" w:sz="4"/>
              <w:bottom w:val="nil"/>
              <w:right w:val="nil"/>
            </w:tcBorders>
          </w:tcPr>
          <w:p>
            <w:pPr>
              <w:pStyle w:val="0"/>
              <w:jc w:val="center"/>
            </w:pPr>
            <w:r>
              <w:rPr>
                <w:sz w:val="20"/>
              </w:rPr>
              <w:t xml:space="preserve">34,4%</w:t>
            </w:r>
          </w:p>
        </w:tc>
        <w:tc>
          <w:tcPr>
            <w:tcW w:w="850" w:type="dxa"/>
            <w:vAlign w:val="center"/>
            <w:tcBorders>
              <w:top w:val="nil"/>
              <w:left w:val="nil"/>
              <w:bottom w:val="nil"/>
              <w:right w:val="single" w:sz="4"/>
            </w:tcBorders>
          </w:tcPr>
          <w:p>
            <w:pPr>
              <w:pStyle w:val="0"/>
              <w:jc w:val="center"/>
            </w:pPr>
            <w:r>
              <w:rPr>
                <w:sz w:val="20"/>
              </w:rPr>
              <w:t xml:space="preserve">58,8%</w:t>
            </w:r>
          </w:p>
        </w:tc>
      </w:tr>
      <w:tr>
        <w:tc>
          <w:tcPr>
            <w:tcW w:w="1020" w:type="dxa"/>
            <w:vAlign w:val="center"/>
            <w:tcBorders>
              <w:top w:val="nil"/>
              <w:left w:val="nil"/>
              <w:bottom w:val="nil"/>
              <w:right w:val="nil"/>
            </w:tcBorders>
          </w:tcPr>
          <w:p>
            <w:pPr>
              <w:pStyle w:val="0"/>
              <w:jc w:val="center"/>
            </w:pPr>
            <w:hyperlink w:history="0" r:id="rId7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25.62</w:t>
              </w:r>
            </w:hyperlink>
          </w:p>
        </w:tc>
        <w:tc>
          <w:tcPr>
            <w:tcW w:w="2948" w:type="dxa"/>
            <w:vAlign w:val="center"/>
            <w:tcBorders>
              <w:top w:val="nil"/>
              <w:left w:val="nil"/>
              <w:bottom w:val="nil"/>
              <w:right w:val="nil"/>
            </w:tcBorders>
          </w:tcPr>
          <w:p>
            <w:pPr>
              <w:pStyle w:val="0"/>
              <w:jc w:val="both"/>
            </w:pPr>
            <w:r>
              <w:rPr>
                <w:sz w:val="20"/>
              </w:rPr>
              <w:t xml:space="preserve">Обработка металлических изделий механическая</w:t>
            </w:r>
          </w:p>
        </w:tc>
        <w:tc>
          <w:tcPr>
            <w:tcW w:w="1056" w:type="dxa"/>
            <w:vAlign w:val="center"/>
            <w:tcBorders>
              <w:top w:val="nil"/>
              <w:left w:val="nil"/>
              <w:bottom w:val="nil"/>
              <w:right w:val="nil"/>
            </w:tcBorders>
          </w:tcPr>
          <w:p>
            <w:pPr>
              <w:pStyle w:val="0"/>
              <w:jc w:val="center"/>
            </w:pPr>
            <w:r>
              <w:rPr>
                <w:sz w:val="20"/>
              </w:rPr>
              <w:t xml:space="preserve">4,2</w:t>
            </w:r>
          </w:p>
        </w:tc>
        <w:tc>
          <w:tcPr>
            <w:tcW w:w="1191" w:type="dxa"/>
            <w:vAlign w:val="center"/>
            <w:tcBorders>
              <w:top w:val="nil"/>
              <w:left w:val="nil"/>
              <w:bottom w:val="nil"/>
              <w:right w:val="nil"/>
            </w:tcBorders>
          </w:tcPr>
          <w:p>
            <w:pPr>
              <w:pStyle w:val="0"/>
              <w:jc w:val="center"/>
            </w:pPr>
            <w:r>
              <w:rPr>
                <w:sz w:val="20"/>
              </w:rPr>
              <w:t xml:space="preserve">25,7%</w:t>
            </w:r>
          </w:p>
        </w:tc>
        <w:tc>
          <w:tcPr>
            <w:tcW w:w="907" w:type="dxa"/>
            <w:vAlign w:val="center"/>
            <w:tcBorders>
              <w:top w:val="nil"/>
              <w:left w:val="nil"/>
              <w:bottom w:val="nil"/>
              <w:right w:val="single" w:sz="4"/>
            </w:tcBorders>
          </w:tcPr>
          <w:p>
            <w:pPr>
              <w:pStyle w:val="0"/>
              <w:jc w:val="center"/>
            </w:pPr>
            <w:r>
              <w:rPr>
                <w:sz w:val="20"/>
              </w:rPr>
              <w:t xml:space="preserve">34,8%</w:t>
            </w:r>
          </w:p>
        </w:tc>
        <w:tc>
          <w:tcPr>
            <w:tcW w:w="1077" w:type="dxa"/>
            <w:vAlign w:val="center"/>
            <w:tcBorders>
              <w:top w:val="nil"/>
              <w:left w:val="single" w:sz="4"/>
              <w:bottom w:val="nil"/>
              <w:right w:val="nil"/>
            </w:tcBorders>
          </w:tcPr>
          <w:p>
            <w:pPr>
              <w:pStyle w:val="0"/>
              <w:jc w:val="center"/>
            </w:pPr>
            <w:r>
              <w:rPr>
                <w:sz w:val="20"/>
              </w:rPr>
              <w:t xml:space="preserve">18,3%</w:t>
            </w:r>
          </w:p>
        </w:tc>
        <w:tc>
          <w:tcPr>
            <w:tcW w:w="850" w:type="dxa"/>
            <w:vAlign w:val="center"/>
            <w:tcBorders>
              <w:top w:val="nil"/>
              <w:left w:val="nil"/>
              <w:bottom w:val="nil"/>
              <w:right w:val="single" w:sz="4"/>
            </w:tcBorders>
          </w:tcPr>
          <w:p>
            <w:pPr>
              <w:pStyle w:val="0"/>
              <w:jc w:val="center"/>
            </w:pPr>
            <w:r>
              <w:rPr>
                <w:sz w:val="20"/>
              </w:rPr>
              <w:t xml:space="preserve">28,9%</w:t>
            </w:r>
          </w:p>
        </w:tc>
      </w:tr>
      <w:tr>
        <w:tc>
          <w:tcPr>
            <w:tcW w:w="1020" w:type="dxa"/>
            <w:vAlign w:val="center"/>
            <w:tcBorders>
              <w:top w:val="nil"/>
              <w:left w:val="nil"/>
              <w:bottom w:val="single" w:sz="4"/>
              <w:right w:val="nil"/>
            </w:tcBorders>
          </w:tcPr>
          <w:p>
            <w:pPr>
              <w:pStyle w:val="0"/>
              <w:jc w:val="center"/>
            </w:pPr>
            <w:hyperlink w:history="0" r:id="rId72"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21.20</w:t>
              </w:r>
            </w:hyperlink>
          </w:p>
        </w:tc>
        <w:tc>
          <w:tcPr>
            <w:tcW w:w="2948" w:type="dxa"/>
            <w:vAlign w:val="center"/>
            <w:tcBorders>
              <w:top w:val="nil"/>
              <w:left w:val="nil"/>
              <w:bottom w:val="single" w:sz="4"/>
              <w:right w:val="nil"/>
            </w:tcBorders>
          </w:tcPr>
          <w:p>
            <w:pPr>
              <w:pStyle w:val="0"/>
              <w:jc w:val="both"/>
            </w:pPr>
            <w:r>
              <w:rPr>
                <w:sz w:val="20"/>
              </w:rPr>
              <w:t xml:space="preserve">Производство лекарственных препаратов и материалов, применяемых в медицинских целях</w:t>
            </w:r>
          </w:p>
        </w:tc>
        <w:tc>
          <w:tcPr>
            <w:tcW w:w="1056" w:type="dxa"/>
            <w:vAlign w:val="center"/>
            <w:tcBorders>
              <w:top w:val="nil"/>
              <w:left w:val="nil"/>
              <w:bottom w:val="single" w:sz="4"/>
              <w:right w:val="nil"/>
            </w:tcBorders>
          </w:tcPr>
          <w:p>
            <w:pPr>
              <w:pStyle w:val="0"/>
              <w:jc w:val="center"/>
            </w:pPr>
            <w:r>
              <w:rPr>
                <w:sz w:val="20"/>
              </w:rPr>
              <w:t xml:space="preserve">3,6</w:t>
            </w:r>
          </w:p>
        </w:tc>
        <w:tc>
          <w:tcPr>
            <w:tcW w:w="1191" w:type="dxa"/>
            <w:vAlign w:val="center"/>
            <w:tcBorders>
              <w:top w:val="nil"/>
              <w:left w:val="nil"/>
              <w:bottom w:val="single" w:sz="4"/>
              <w:right w:val="nil"/>
            </w:tcBorders>
          </w:tcPr>
          <w:p>
            <w:pPr>
              <w:pStyle w:val="0"/>
              <w:jc w:val="center"/>
            </w:pPr>
            <w:r>
              <w:rPr>
                <w:sz w:val="20"/>
              </w:rPr>
              <w:t xml:space="preserve">20,3%</w:t>
            </w:r>
          </w:p>
        </w:tc>
        <w:tc>
          <w:tcPr>
            <w:tcW w:w="907" w:type="dxa"/>
            <w:vAlign w:val="center"/>
            <w:tcBorders>
              <w:top w:val="nil"/>
              <w:left w:val="nil"/>
              <w:bottom w:val="single" w:sz="4"/>
              <w:right w:val="single" w:sz="4"/>
            </w:tcBorders>
          </w:tcPr>
          <w:p>
            <w:pPr>
              <w:pStyle w:val="0"/>
              <w:jc w:val="center"/>
            </w:pPr>
            <w:r>
              <w:rPr>
                <w:sz w:val="20"/>
              </w:rPr>
              <w:t xml:space="preserve">63,4%</w:t>
            </w:r>
          </w:p>
        </w:tc>
        <w:tc>
          <w:tcPr>
            <w:tcW w:w="1077" w:type="dxa"/>
            <w:vAlign w:val="center"/>
            <w:tcBorders>
              <w:top w:val="nil"/>
              <w:left w:val="single" w:sz="4"/>
              <w:bottom w:val="single" w:sz="4"/>
              <w:right w:val="nil"/>
            </w:tcBorders>
          </w:tcPr>
          <w:p>
            <w:pPr>
              <w:pStyle w:val="0"/>
              <w:jc w:val="center"/>
            </w:pPr>
            <w:r>
              <w:rPr>
                <w:sz w:val="20"/>
              </w:rPr>
              <w:t xml:space="preserve">15,4%</w:t>
            </w:r>
          </w:p>
        </w:tc>
        <w:tc>
          <w:tcPr>
            <w:tcW w:w="850" w:type="dxa"/>
            <w:vAlign w:val="center"/>
            <w:tcBorders>
              <w:top w:val="nil"/>
              <w:left w:val="nil"/>
              <w:bottom w:val="single" w:sz="4"/>
              <w:right w:val="single" w:sz="4"/>
            </w:tcBorders>
          </w:tcPr>
          <w:p>
            <w:pPr>
              <w:pStyle w:val="0"/>
              <w:jc w:val="center"/>
            </w:pPr>
            <w:r>
              <w:rPr>
                <w:sz w:val="20"/>
              </w:rPr>
              <w:t xml:space="preserve">40,3%</w:t>
            </w:r>
          </w:p>
        </w:tc>
      </w:tr>
    </w:tbl>
    <w:p>
      <w:pPr>
        <w:pStyle w:val="0"/>
        <w:jc w:val="both"/>
      </w:pPr>
      <w:r>
        <w:rPr>
          <w:sz w:val="20"/>
        </w:rPr>
      </w:r>
    </w:p>
    <w:p>
      <w:pPr>
        <w:pStyle w:val="0"/>
        <w:ind w:firstLine="540"/>
        <w:jc w:val="both"/>
      </w:pPr>
      <w:r>
        <w:rPr>
          <w:sz w:val="20"/>
        </w:rPr>
        <w:t xml:space="preserve">--------------------------------</w:t>
      </w:r>
    </w:p>
    <w:bookmarkStart w:id="4356" w:name="P4356"/>
    <w:bookmarkEnd w:id="4356"/>
    <w:p>
      <w:pPr>
        <w:pStyle w:val="0"/>
        <w:spacing w:before="200" w:line-rule="auto"/>
        <w:ind w:firstLine="540"/>
        <w:jc w:val="both"/>
      </w:pPr>
      <w:r>
        <w:rPr>
          <w:sz w:val="20"/>
        </w:rPr>
        <w:t xml:space="preserve">&lt;*&gt; Сумма средних значений выручки в рамках отрасли по всем резидентам за период анализа.</w:t>
      </w:r>
    </w:p>
    <w:bookmarkStart w:id="4357" w:name="P4357"/>
    <w:bookmarkEnd w:id="4357"/>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4358" w:name="P4358"/>
    <w:bookmarkEnd w:id="4358"/>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В отношении ТОП-5 по выручке отраслей, в которых выявлена сверхдоходность или низкая инвестиционная активность, стоит отметить, что отрасль по производству чугуна, стали и ферросплавов хотя и не демонстрирует высокие уровни доходности активов и операционной рентабельности в сравнении с другими отраслями, но имеет низкий уровень инвестиционной активности: за период с 2017 по 2022 годы суммарный объем предоставленных мер господдержки в 2,4 раз превысил объемы капитальных вложений.</w:t>
      </w:r>
    </w:p>
    <w:p>
      <w:pPr>
        <w:pStyle w:val="0"/>
        <w:spacing w:before="200" w:line-rule="auto"/>
        <w:ind w:firstLine="540"/>
        <w:jc w:val="both"/>
      </w:pPr>
      <w:r>
        <w:rPr>
          <w:sz w:val="20"/>
        </w:rPr>
        <w:t xml:space="preserve">Таким образом, режим ТОР в моногородах и ЗАТО требует "донастройки", например, для новых резидентов в части ограничения видов деятельности, которые могут пользоваться налоговыми льготами и неналоговыми мерами поддержки.</w:t>
      </w:r>
    </w:p>
    <w:p>
      <w:pPr>
        <w:pStyle w:val="0"/>
        <w:spacing w:before="200" w:line-rule="auto"/>
        <w:ind w:firstLine="540"/>
        <w:jc w:val="both"/>
      </w:pPr>
      <w:r>
        <w:rPr>
          <w:sz w:val="20"/>
        </w:rPr>
        <w:t xml:space="preserve">Также отмечаем, что на основе результатов анализа эффективности ИНЛ Минфином России подготовлены предложения по внесению изменений в Налоговый </w:t>
      </w:r>
      <w:hyperlink w:history="0" r:id="rId73"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кодекс</w:t>
        </w:r>
      </w:hyperlink>
      <w:r>
        <w:rPr>
          <w:sz w:val="20"/>
        </w:rPr>
        <w:t xml:space="preserve"> Российской Федерации, направленные на совершенствование налогового регулирования режима ТОР в моногородах и ЗАТО (более подробно см. "</w:t>
      </w:r>
      <w:hyperlink w:history="0" w:anchor="P4168" w:tooltip="Результаты анализа эффективности ИНЛ">
        <w:r>
          <w:rPr>
            <w:sz w:val="20"/>
            <w:color w:val="0000ff"/>
          </w:rPr>
          <w:t xml:space="preserve">Результаты анализа</w:t>
        </w:r>
      </w:hyperlink>
      <w:r>
        <w:rPr>
          <w:sz w:val="20"/>
        </w:rPr>
        <w:t xml:space="preserve"> эффективности ИНЛ").</w:t>
      </w:r>
    </w:p>
    <w:p>
      <w:pPr>
        <w:pStyle w:val="0"/>
        <w:spacing w:before="200" w:line-rule="auto"/>
        <w:ind w:firstLine="540"/>
        <w:jc w:val="both"/>
      </w:pPr>
      <w:r>
        <w:rPr>
          <w:sz w:val="20"/>
        </w:rPr>
        <w:t xml:space="preserve">Дополнительно отмечаем, что:</w:t>
      </w:r>
    </w:p>
    <w:p>
      <w:pPr>
        <w:pStyle w:val="0"/>
        <w:spacing w:before="200" w:line-rule="auto"/>
        <w:ind w:firstLine="540"/>
        <w:jc w:val="both"/>
      </w:pPr>
      <w:r>
        <w:rPr>
          <w:sz w:val="20"/>
        </w:rPr>
        <w:t xml:space="preserve">- существует низкий уровень взаимодействия региональных органов исполнительной власти и местного самоуправления с бизнесом в части оценки экономической эффективности инвестиционного проекта, планируемого к реализации в статусе резидента ТОР,</w:t>
      </w:r>
    </w:p>
    <w:p>
      <w:pPr>
        <w:pStyle w:val="0"/>
        <w:spacing w:before="200" w:line-rule="auto"/>
        <w:ind w:firstLine="540"/>
        <w:jc w:val="both"/>
      </w:pPr>
      <w:r>
        <w:rPr>
          <w:sz w:val="20"/>
        </w:rPr>
        <w:t xml:space="preserve">- отсутствует система ответственности (в том числе финансовой) субъектов Российской Федерации и управляющей компании за недостижение показателей, ранее установленных в заключенных соглашениях,</w:t>
      </w:r>
    </w:p>
    <w:p>
      <w:pPr>
        <w:pStyle w:val="0"/>
        <w:spacing w:before="200" w:line-rule="auto"/>
        <w:ind w:firstLine="540"/>
        <w:jc w:val="both"/>
      </w:pPr>
      <w:r>
        <w:rPr>
          <w:sz w:val="20"/>
        </w:rPr>
        <w:t xml:space="preserve">- не представляется возможным подтвердить источники заемного финансирования по инвестиционным проектам, планируемым к реализации на преференциальном режиме (банковские гарантии предоставляются в случае получения статуса резидента т.е. до подписания соответствующего соглашения),</w:t>
      </w:r>
    </w:p>
    <w:p>
      <w:pPr>
        <w:pStyle w:val="0"/>
        <w:spacing w:before="200" w:line-rule="auto"/>
        <w:ind w:firstLine="540"/>
        <w:jc w:val="both"/>
      </w:pPr>
      <w:r>
        <w:rPr>
          <w:sz w:val="20"/>
        </w:rPr>
        <w:t xml:space="preserve">- происходит неэффективное использование средств федерального бюджета ввиду строительства невостребованных объектов инфраструктуры, а также возникают риски для федерального бюджета в части предоставления налоговых льгот для проектов, вероятность успешной реализации которых низкая.</w:t>
      </w:r>
    </w:p>
    <w:p>
      <w:pPr>
        <w:pStyle w:val="0"/>
        <w:jc w:val="both"/>
      </w:pPr>
      <w:r>
        <w:rPr>
          <w:sz w:val="20"/>
        </w:rPr>
      </w:r>
    </w:p>
    <w:p>
      <w:pPr>
        <w:pStyle w:val="2"/>
        <w:outlineLvl w:val="1"/>
        <w:ind w:firstLine="540"/>
        <w:jc w:val="both"/>
      </w:pPr>
      <w:r>
        <w:rPr>
          <w:sz w:val="20"/>
        </w:rPr>
        <w:t xml:space="preserve">Региональный инвестиционный проект для участников в Дальневосточном Федеральном округе (РИП в ДФО)</w:t>
      </w:r>
    </w:p>
    <w:p>
      <w:pPr>
        <w:pStyle w:val="0"/>
        <w:jc w:val="both"/>
      </w:pPr>
      <w:r>
        <w:rPr>
          <w:sz w:val="20"/>
        </w:rPr>
      </w:r>
    </w:p>
    <w:p>
      <w:pPr>
        <w:pStyle w:val="0"/>
        <w:ind w:firstLine="540"/>
        <w:jc w:val="both"/>
      </w:pPr>
      <w:r>
        <w:rPr>
          <w:sz w:val="20"/>
        </w:rPr>
        <w:t xml:space="preserve">Таблица 5.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8"/>
        <w:gridCol w:w="6278"/>
      </w:tblGrid>
      <w:tr>
        <w:tblPrEx>
          <w:tblBorders>
            <w:insideH w:val="single" w:sz="4"/>
          </w:tblBorders>
        </w:tblPrEx>
        <w:tc>
          <w:tcPr>
            <w:tcW w:w="2778" w:type="dxa"/>
            <w:tcBorders>
              <w:top w:val="single" w:sz="4"/>
              <w:left w:val="nil"/>
              <w:bottom w:val="single" w:sz="4"/>
              <w:right w:val="nil"/>
            </w:tcBorders>
          </w:tcPr>
          <w:p>
            <w:pPr>
              <w:pStyle w:val="0"/>
              <w:jc w:val="center"/>
            </w:pPr>
            <w:r>
              <w:rPr>
                <w:sz w:val="20"/>
              </w:rPr>
              <w:t xml:space="preserve">Показатель</w:t>
            </w:r>
          </w:p>
        </w:tc>
        <w:tc>
          <w:tcPr>
            <w:tcW w:w="6278" w:type="dxa"/>
            <w:tcBorders>
              <w:top w:val="single" w:sz="4"/>
              <w:left w:val="nil"/>
              <w:bottom w:val="single" w:sz="4"/>
              <w:right w:val="nil"/>
            </w:tcBorders>
          </w:tcPr>
          <w:p>
            <w:pPr>
              <w:pStyle w:val="0"/>
              <w:jc w:val="center"/>
            </w:pPr>
            <w:r>
              <w:rPr>
                <w:sz w:val="20"/>
              </w:rPr>
              <w:t xml:space="preserve">Описание</w:t>
            </w:r>
          </w:p>
        </w:tc>
      </w:tr>
      <w:tr>
        <w:tc>
          <w:tcPr>
            <w:tcW w:w="2778" w:type="dxa"/>
            <w:vAlign w:val="center"/>
            <w:tcBorders>
              <w:top w:val="single" w:sz="4"/>
              <w:left w:val="nil"/>
              <w:bottom w:val="nil"/>
              <w:right w:val="nil"/>
            </w:tcBorders>
          </w:tcPr>
          <w:p>
            <w:pPr>
              <w:pStyle w:val="0"/>
              <w:jc w:val="both"/>
            </w:pPr>
            <w:r>
              <w:rPr>
                <w:sz w:val="20"/>
              </w:rPr>
              <w:t xml:space="preserve">Срок действия режима</w:t>
            </w:r>
          </w:p>
        </w:tc>
        <w:tc>
          <w:tcPr>
            <w:tcW w:w="6278" w:type="dxa"/>
            <w:vAlign w:val="center"/>
            <w:tcBorders>
              <w:top w:val="single" w:sz="4"/>
              <w:left w:val="nil"/>
              <w:bottom w:val="nil"/>
              <w:right w:val="nil"/>
            </w:tcBorders>
          </w:tcPr>
          <w:p>
            <w:pPr>
              <w:pStyle w:val="0"/>
              <w:jc w:val="both"/>
            </w:pPr>
            <w:r>
              <w:rPr>
                <w:sz w:val="20"/>
              </w:rPr>
              <w:t xml:space="preserve">С 01.01.2014 до 01.01.2027 или 01.01.2029 или 01.01.2031 (в зависимости от типа РИП и размера капитальных вложений).</w:t>
            </w:r>
          </w:p>
        </w:tc>
      </w:tr>
      <w:tr>
        <w:tc>
          <w:tcPr>
            <w:tcW w:w="2778" w:type="dxa"/>
            <w:vAlign w:val="center"/>
            <w:tcBorders>
              <w:top w:val="nil"/>
              <w:left w:val="nil"/>
              <w:bottom w:val="nil"/>
              <w:right w:val="nil"/>
            </w:tcBorders>
          </w:tcPr>
          <w:p>
            <w:pPr>
              <w:pStyle w:val="0"/>
              <w:jc w:val="both"/>
            </w:pPr>
            <w:r>
              <w:rPr>
                <w:sz w:val="20"/>
              </w:rPr>
              <w:t xml:space="preserve">Налоговые льготы режима</w:t>
            </w:r>
          </w:p>
        </w:tc>
        <w:tc>
          <w:tcPr>
            <w:tcW w:w="6278" w:type="dxa"/>
            <w:tcBorders>
              <w:top w:val="nil"/>
              <w:left w:val="nil"/>
              <w:bottom w:val="nil"/>
              <w:right w:val="nil"/>
            </w:tcBorders>
          </w:tcPr>
          <w:p>
            <w:pPr>
              <w:pStyle w:val="0"/>
              <w:ind w:left="283"/>
              <w:jc w:val="both"/>
            </w:pPr>
            <w:r>
              <w:rPr>
                <w:sz w:val="20"/>
              </w:rPr>
              <w:t xml:space="preserve">- пониженные ставки по налогу на прибыль в ФБ и РБ (в соответствии с законами субъектов РФ),</w:t>
            </w:r>
          </w:p>
          <w:p>
            <w:pPr>
              <w:pStyle w:val="0"/>
              <w:ind w:left="283"/>
              <w:jc w:val="both"/>
            </w:pPr>
            <w:r>
              <w:rPr>
                <w:sz w:val="20"/>
              </w:rPr>
              <w:t xml:space="preserve">- льготный коэффициент Ктд по НДПИ,</w:t>
            </w:r>
          </w:p>
          <w:p>
            <w:pPr>
              <w:pStyle w:val="0"/>
              <w:ind w:left="283"/>
              <w:jc w:val="both"/>
            </w:pPr>
            <w:r>
              <w:rPr>
                <w:sz w:val="20"/>
              </w:rPr>
              <w:t xml:space="preserve">- общая сумма всех льгот не может превышать величину капитальных вложений.</w:t>
            </w:r>
          </w:p>
        </w:tc>
      </w:tr>
      <w:tr>
        <w:tc>
          <w:tcPr>
            <w:tcW w:w="2778" w:type="dxa"/>
            <w:vAlign w:val="center"/>
            <w:tcBorders>
              <w:top w:val="nil"/>
              <w:left w:val="nil"/>
              <w:bottom w:val="nil"/>
              <w:right w:val="nil"/>
            </w:tcBorders>
          </w:tcPr>
          <w:p>
            <w:pPr>
              <w:pStyle w:val="0"/>
              <w:jc w:val="both"/>
            </w:pPr>
            <w:r>
              <w:rPr>
                <w:sz w:val="20"/>
              </w:rPr>
              <w:t xml:space="preserve">Количество отраслей в режиме</w:t>
            </w:r>
          </w:p>
        </w:tc>
        <w:tc>
          <w:tcPr>
            <w:tcW w:w="6278" w:type="dxa"/>
            <w:vAlign w:val="center"/>
            <w:tcBorders>
              <w:top w:val="nil"/>
              <w:left w:val="nil"/>
              <w:bottom w:val="nil"/>
              <w:right w:val="nil"/>
            </w:tcBorders>
          </w:tcPr>
          <w:p>
            <w:pPr>
              <w:pStyle w:val="0"/>
              <w:jc w:val="both"/>
            </w:pPr>
            <w:r>
              <w:rPr>
                <w:sz w:val="20"/>
              </w:rPr>
              <w:t xml:space="preserve">12</w:t>
            </w:r>
          </w:p>
        </w:tc>
      </w:tr>
      <w:tr>
        <w:tc>
          <w:tcPr>
            <w:tcW w:w="2778" w:type="dxa"/>
            <w:vAlign w:val="center"/>
            <w:tcBorders>
              <w:top w:val="nil"/>
              <w:left w:val="nil"/>
              <w:bottom w:val="single" w:sz="4"/>
              <w:right w:val="nil"/>
            </w:tcBorders>
          </w:tcPr>
          <w:p>
            <w:pPr>
              <w:pStyle w:val="0"/>
              <w:jc w:val="both"/>
            </w:pPr>
            <w:r>
              <w:rPr>
                <w:sz w:val="20"/>
              </w:rPr>
              <w:t xml:space="preserve">Наличие обязательств</w:t>
            </w:r>
          </w:p>
        </w:tc>
        <w:tc>
          <w:tcPr>
            <w:tcW w:w="6278" w:type="dxa"/>
            <w:vAlign w:val="center"/>
            <w:tcBorders>
              <w:top w:val="nil"/>
              <w:left w:val="nil"/>
              <w:bottom w:val="single" w:sz="4"/>
              <w:right w:val="nil"/>
            </w:tcBorders>
          </w:tcPr>
          <w:p>
            <w:pPr>
              <w:pStyle w:val="0"/>
              <w:jc w:val="both"/>
            </w:pPr>
            <w:r>
              <w:rPr>
                <w:sz w:val="20"/>
              </w:rPr>
              <w:t xml:space="preserve">Да (капитальные вложения: в первые 3 года - от 50 млн руб., в первые 5 лет - не менее 500 млн руб.).</w:t>
            </w:r>
          </w:p>
        </w:tc>
      </w:tr>
    </w:tbl>
    <w:p>
      <w:pPr>
        <w:pStyle w:val="0"/>
        <w:jc w:val="both"/>
      </w:pPr>
      <w:r>
        <w:rPr>
          <w:sz w:val="20"/>
        </w:rPr>
      </w:r>
    </w:p>
    <w:p>
      <w:pPr>
        <w:pStyle w:val="0"/>
        <w:ind w:firstLine="540"/>
        <w:jc w:val="both"/>
      </w:pPr>
      <w:r>
        <w:rPr>
          <w:sz w:val="20"/>
        </w:rPr>
        <w:t xml:space="preserve">За период анализа (2017 - 2022 годы) общее количество участников &lt;8&gt; в РИП в ДФО составило 80, из которых в периметр анализа на базе АС "Эффективность льгот" вошли 77 &lt;9&gt; участников.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Количество участников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&lt;9&gt; Прочие резиденты не вошли в анализ по причине отсутствия налоговых деклараций или бухгалтерской отчетности (2 резидента), или нулевого значения показателя выручки (1 резидент).</w:t>
      </w:r>
    </w:p>
    <w:p>
      <w:pPr>
        <w:pStyle w:val="0"/>
        <w:jc w:val="both"/>
      </w:pPr>
      <w:r>
        <w:rPr>
          <w:sz w:val="20"/>
        </w:rPr>
      </w:r>
    </w:p>
    <w:p>
      <w:pPr>
        <w:pStyle w:val="0"/>
        <w:jc w:val="center"/>
      </w:pPr>
      <w:r>
        <w:rPr>
          <w:position w:val="-104"/>
        </w:rPr>
        <w:drawing>
          <wp:inline distT="0" distB="0" distL="0" distR="0">
            <wp:extent cx="5038090" cy="14585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5038090" cy="1458595"/>
                    </a:xfrm>
                    <a:prstGeom prst="rect">
                      <a:avLst/>
                    </a:prstGeom>
                    <a:noFill/>
                    <a:ln>
                      <a:noFill/>
                    </a:ln>
                  </pic:spPr>
                </pic:pic>
              </a:graphicData>
            </a:graphic>
          </wp:inline>
        </w:drawing>
      </w:r>
    </w:p>
    <w:p>
      <w:pPr>
        <w:pStyle w:val="0"/>
        <w:jc w:val="both"/>
      </w:pPr>
      <w:r>
        <w:rPr>
          <w:sz w:val="20"/>
        </w:rPr>
      </w:r>
    </w:p>
    <w:p>
      <w:pPr>
        <w:pStyle w:val="0"/>
        <w:jc w:val="center"/>
      </w:pPr>
      <w:r>
        <w:rPr>
          <w:position w:val="-113"/>
        </w:rPr>
        <w:drawing>
          <wp:inline distT="0" distB="0" distL="0" distR="0">
            <wp:extent cx="5047615" cy="156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5047615" cy="156845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выручки участников РИП в ДФО, вошедших в периметр анализа, с 2017 года по 2022 год вырос в 4,3 раза, количество резидентов - в 1,3 раза, величина капитальных вложений - в 1,2 раза, численность сотрудников - в 1,6 раза. При этом в 2022 году на фоне увеличения численности сотрудников на 1,4% по сравнению с 2021 годом, совокупный объем капитальных вложений за аналогичный период вырос на 83,5%.</w:t>
      </w:r>
    </w:p>
    <w:p>
      <w:pPr>
        <w:pStyle w:val="0"/>
        <w:spacing w:before="200" w:line-rule="auto"/>
        <w:ind w:firstLine="540"/>
        <w:jc w:val="both"/>
      </w:pPr>
      <w:r>
        <w:rPr>
          <w:sz w:val="20"/>
        </w:rPr>
        <w:t xml:space="preserve">С 2017 года по 2022 год общая величина выпадающих доходов бюджетов бюджетной системы Российской Федерации (по резидентам ИНЛ, вошедшим в периметр анализа) увеличилась с 8,6 млрд руб. до 24,2 млрд руб. (в 2,8 раз), в том числе с 5,5 млрд руб. до 24,2 млрд руб. (в 4,4 раза) по налоговым льготам и снизились с 3,1 млрд руб. до 0 млрд руб. по неналоговым мерам поддержки. Таким образом, за 2022 год доля налоговых льгот в общей величине выпадающих доходов бюджетов бюджетной системы Российской Федерации для резидентов данной ИНЛ, вошедших в периметр анализа, составляла 100,0%.</w:t>
      </w:r>
    </w:p>
    <w:p>
      <w:pPr>
        <w:pStyle w:val="0"/>
        <w:spacing w:before="200" w:line-rule="auto"/>
        <w:ind w:firstLine="540"/>
        <w:jc w:val="both"/>
      </w:pPr>
      <w:r>
        <w:rPr>
          <w:sz w:val="20"/>
        </w:rPr>
        <w:t xml:space="preserve">В ТОП-3 отраслей по объему выручки за период анализа вошли отрасли по добыче руд прочих цветных металлов (71,3%), добыче и обогащению угля и антрацита (14,9%), а также по утилизации отсортированных материалов (6,0%).</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выросла по сравнению с анализом за прошлый год с 78,0% до 82,1%.</w:t>
      </w:r>
    </w:p>
    <w:p>
      <w:pPr>
        <w:pStyle w:val="0"/>
        <w:spacing w:before="200" w:line-rule="auto"/>
        <w:ind w:firstLine="540"/>
        <w:jc w:val="both"/>
      </w:pPr>
      <w:r>
        <w:rPr>
          <w:sz w:val="20"/>
        </w:rPr>
        <w:t xml:space="preserve">Таким образом, режим РИП в ДФО требует "донастройки" в целом.</w:t>
      </w:r>
    </w:p>
    <w:p>
      <w:pPr>
        <w:pStyle w:val="0"/>
        <w:jc w:val="both"/>
      </w:pPr>
      <w:r>
        <w:rPr>
          <w:sz w:val="20"/>
        </w:rPr>
      </w:r>
    </w:p>
    <w:p>
      <w:pPr>
        <w:pStyle w:val="0"/>
        <w:ind w:firstLine="540"/>
        <w:jc w:val="both"/>
      </w:pPr>
      <w:r>
        <w:rPr>
          <w:sz w:val="20"/>
        </w:rPr>
        <w:t xml:space="preserve">Таблица 6. ТОП-5 (из 8 </w:t>
      </w:r>
      <w:hyperlink w:history="0" r:id="rId76"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по выручке отраслей, в которых выявлена сверхдоходность или низкая инвестиционная активность (справочно)</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1020"/>
        <w:gridCol w:w="2948"/>
        <w:gridCol w:w="1056"/>
        <w:gridCol w:w="1191"/>
        <w:gridCol w:w="907"/>
        <w:gridCol w:w="1077"/>
        <w:gridCol w:w="850"/>
      </w:tblGrid>
      <w:tr>
        <w:tblPrEx>
          <w:tblBorders>
            <w:insideH w:val="single" w:sz="4"/>
          </w:tblBorders>
        </w:tblPrEx>
        <w:tc>
          <w:tcPr>
            <w:tcW w:w="1020" w:type="dxa"/>
            <w:tcBorders>
              <w:top w:val="single" w:sz="4"/>
              <w:left w:val="nil"/>
              <w:bottom w:val="single" w:sz="4"/>
              <w:right w:val="nil"/>
            </w:tcBorders>
          </w:tcPr>
          <w:p>
            <w:pPr>
              <w:pStyle w:val="0"/>
              <w:jc w:val="center"/>
            </w:pPr>
            <w:hyperlink w:history="0" r:id="rId77"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2948" w:type="dxa"/>
            <w:tcBorders>
              <w:top w:val="single" w:sz="4"/>
              <w:left w:val="nil"/>
              <w:bottom w:val="single" w:sz="4"/>
              <w:right w:val="nil"/>
            </w:tcBorders>
          </w:tcPr>
          <w:p>
            <w:pPr>
              <w:pStyle w:val="0"/>
              <w:jc w:val="center"/>
            </w:pPr>
            <w:r>
              <w:rPr>
                <w:sz w:val="20"/>
              </w:rPr>
              <w:t xml:space="preserve">Наименование отрасли</w:t>
            </w:r>
          </w:p>
        </w:tc>
        <w:tc>
          <w:tcPr>
            <w:tcW w:w="1056" w:type="dxa"/>
            <w:tcBorders>
              <w:top w:val="single" w:sz="4"/>
              <w:left w:val="nil"/>
              <w:bottom w:val="single" w:sz="4"/>
              <w:right w:val="nil"/>
            </w:tcBorders>
          </w:tcPr>
          <w:p>
            <w:pPr>
              <w:pStyle w:val="0"/>
              <w:jc w:val="center"/>
            </w:pPr>
            <w:r>
              <w:rPr>
                <w:sz w:val="20"/>
              </w:rPr>
              <w:t xml:space="preserve">Выручка по отрасли </w:t>
            </w:r>
            <w:hyperlink w:history="0" w:anchor="P4447" w:tooltip="&lt;*&gt; Сумма средних значений выручки в рамках отрасли по всем участникам за период анализа.">
              <w:r>
                <w:rPr>
                  <w:sz w:val="20"/>
                  <w:color w:val="0000ff"/>
                </w:rPr>
                <w:t xml:space="preserve">&lt;*&gt;</w:t>
              </w:r>
            </w:hyperlink>
            <w:r>
              <w:rPr>
                <w:sz w:val="20"/>
              </w:rPr>
              <w:t xml:space="preserve"> млрд </w:t>
            </w:r>
            <w:r>
              <w:rPr>
                <w:position w:val="-5"/>
              </w:rPr>
              <w:drawing>
                <wp:inline distT="0" distB="0" distL="0" distR="0">
                  <wp:extent cx="12192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121920" cy="194945"/>
                          </a:xfrm>
                          <a:prstGeom prst="rect">
                            <a:avLst/>
                          </a:prstGeom>
                          <a:noFill/>
                          <a:ln>
                            <a:noFill/>
                          </a:ln>
                        </pic:spPr>
                      </pic:pic>
                    </a:graphicData>
                  </a:graphic>
                </wp:inline>
              </w:drawing>
            </w:r>
          </w:p>
        </w:tc>
        <w:tc>
          <w:tcPr>
            <w:tcW w:w="1191"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4448"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90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07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4449" w:tooltip="&lt;***&gt; Средневзвешенная по выручке на основе данных за весь период анализа.">
              <w:r>
                <w:rPr>
                  <w:sz w:val="20"/>
                  <w:color w:val="0000ff"/>
                </w:rPr>
                <w:t xml:space="preserve">&lt;***&gt;</w:t>
              </w:r>
            </w:hyperlink>
          </w:p>
        </w:tc>
        <w:tc>
          <w:tcPr>
            <w:tcW w:w="850"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1020" w:type="dxa"/>
            <w:vAlign w:val="center"/>
            <w:tcBorders>
              <w:top w:val="single" w:sz="4"/>
              <w:left w:val="nil"/>
              <w:bottom w:val="nil"/>
              <w:right w:val="nil"/>
            </w:tcBorders>
          </w:tcPr>
          <w:p>
            <w:pPr>
              <w:pStyle w:val="0"/>
              <w:jc w:val="center"/>
            </w:pPr>
            <w:hyperlink w:history="0" r:id="rId7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07.29</w:t>
              </w:r>
            </w:hyperlink>
          </w:p>
        </w:tc>
        <w:tc>
          <w:tcPr>
            <w:tcW w:w="2948" w:type="dxa"/>
            <w:vAlign w:val="center"/>
            <w:tcBorders>
              <w:top w:val="single" w:sz="4"/>
              <w:left w:val="nil"/>
              <w:bottom w:val="nil"/>
              <w:right w:val="nil"/>
            </w:tcBorders>
          </w:tcPr>
          <w:p>
            <w:pPr>
              <w:pStyle w:val="0"/>
              <w:jc w:val="both"/>
            </w:pPr>
            <w:r>
              <w:rPr>
                <w:sz w:val="20"/>
              </w:rPr>
              <w:t xml:space="preserve">Добыча руд прочих цветных металлов</w:t>
            </w:r>
          </w:p>
        </w:tc>
        <w:tc>
          <w:tcPr>
            <w:tcW w:w="1056" w:type="dxa"/>
            <w:vAlign w:val="center"/>
            <w:tcBorders>
              <w:top w:val="single" w:sz="4"/>
              <w:left w:val="nil"/>
              <w:bottom w:val="nil"/>
              <w:right w:val="nil"/>
            </w:tcBorders>
          </w:tcPr>
          <w:p>
            <w:pPr>
              <w:pStyle w:val="0"/>
              <w:jc w:val="center"/>
            </w:pPr>
            <w:r>
              <w:rPr>
                <w:sz w:val="20"/>
              </w:rPr>
              <w:t xml:space="preserve">282,6</w:t>
            </w:r>
          </w:p>
        </w:tc>
        <w:tc>
          <w:tcPr>
            <w:tcW w:w="1191" w:type="dxa"/>
            <w:vAlign w:val="center"/>
            <w:tcBorders>
              <w:top w:val="single" w:sz="4"/>
              <w:left w:val="nil"/>
              <w:bottom w:val="nil"/>
              <w:right w:val="nil"/>
            </w:tcBorders>
          </w:tcPr>
          <w:p>
            <w:pPr>
              <w:pStyle w:val="0"/>
              <w:jc w:val="center"/>
            </w:pPr>
            <w:r>
              <w:rPr>
                <w:sz w:val="20"/>
              </w:rPr>
              <w:t xml:space="preserve">31,2%</w:t>
            </w:r>
          </w:p>
        </w:tc>
        <w:tc>
          <w:tcPr>
            <w:tcW w:w="907" w:type="dxa"/>
            <w:vAlign w:val="center"/>
            <w:tcBorders>
              <w:top w:val="single" w:sz="4"/>
              <w:left w:val="nil"/>
              <w:bottom w:val="nil"/>
              <w:right w:val="single" w:sz="4"/>
            </w:tcBorders>
          </w:tcPr>
          <w:p>
            <w:pPr>
              <w:pStyle w:val="0"/>
              <w:jc w:val="center"/>
            </w:pPr>
            <w:r>
              <w:rPr>
                <w:sz w:val="20"/>
              </w:rPr>
              <w:t xml:space="preserve">14,1%</w:t>
            </w:r>
          </w:p>
        </w:tc>
        <w:tc>
          <w:tcPr>
            <w:tcW w:w="1077" w:type="dxa"/>
            <w:vAlign w:val="center"/>
            <w:tcBorders>
              <w:top w:val="single" w:sz="4"/>
              <w:left w:val="single" w:sz="4"/>
              <w:bottom w:val="nil"/>
              <w:right w:val="nil"/>
            </w:tcBorders>
          </w:tcPr>
          <w:p>
            <w:pPr>
              <w:pStyle w:val="0"/>
              <w:jc w:val="center"/>
            </w:pPr>
            <w:r>
              <w:rPr>
                <w:sz w:val="20"/>
              </w:rPr>
              <w:t xml:space="preserve">39,4%</w:t>
            </w:r>
          </w:p>
        </w:tc>
        <w:tc>
          <w:tcPr>
            <w:tcW w:w="850" w:type="dxa"/>
            <w:vAlign w:val="center"/>
            <w:tcBorders>
              <w:top w:val="single" w:sz="4"/>
              <w:left w:val="nil"/>
              <w:bottom w:val="nil"/>
              <w:right w:val="single" w:sz="4"/>
            </w:tcBorders>
          </w:tcPr>
          <w:p>
            <w:pPr>
              <w:pStyle w:val="0"/>
              <w:jc w:val="center"/>
            </w:pPr>
            <w:r>
              <w:rPr>
                <w:sz w:val="20"/>
              </w:rPr>
              <w:t xml:space="preserve">25,1%</w:t>
            </w:r>
          </w:p>
        </w:tc>
      </w:tr>
      <w:tr>
        <w:tc>
          <w:tcPr>
            <w:tcW w:w="1020" w:type="dxa"/>
            <w:vAlign w:val="center"/>
            <w:tcBorders>
              <w:top w:val="nil"/>
              <w:left w:val="nil"/>
              <w:bottom w:val="nil"/>
              <w:right w:val="nil"/>
            </w:tcBorders>
          </w:tcPr>
          <w:p>
            <w:pPr>
              <w:pStyle w:val="0"/>
              <w:jc w:val="center"/>
            </w:pPr>
            <w:hyperlink w:history="0" r:id="rId7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05.10</w:t>
              </w:r>
            </w:hyperlink>
          </w:p>
        </w:tc>
        <w:tc>
          <w:tcPr>
            <w:tcW w:w="2948" w:type="dxa"/>
            <w:vAlign w:val="center"/>
            <w:tcBorders>
              <w:top w:val="nil"/>
              <w:left w:val="nil"/>
              <w:bottom w:val="nil"/>
              <w:right w:val="nil"/>
            </w:tcBorders>
          </w:tcPr>
          <w:p>
            <w:pPr>
              <w:pStyle w:val="0"/>
              <w:jc w:val="both"/>
            </w:pPr>
            <w:r>
              <w:rPr>
                <w:sz w:val="20"/>
              </w:rPr>
              <w:t xml:space="preserve">Добыча и обогащение угля и антрацита</w:t>
            </w:r>
          </w:p>
        </w:tc>
        <w:tc>
          <w:tcPr>
            <w:tcW w:w="1056" w:type="dxa"/>
            <w:vAlign w:val="center"/>
            <w:tcBorders>
              <w:top w:val="nil"/>
              <w:left w:val="nil"/>
              <w:bottom w:val="nil"/>
              <w:right w:val="nil"/>
            </w:tcBorders>
          </w:tcPr>
          <w:p>
            <w:pPr>
              <w:pStyle w:val="0"/>
              <w:jc w:val="center"/>
            </w:pPr>
            <w:r>
              <w:rPr>
                <w:sz w:val="20"/>
              </w:rPr>
              <w:t xml:space="preserve">58,9</w:t>
            </w:r>
          </w:p>
        </w:tc>
        <w:tc>
          <w:tcPr>
            <w:tcW w:w="1191" w:type="dxa"/>
            <w:vAlign w:val="center"/>
            <w:tcBorders>
              <w:top w:val="nil"/>
              <w:left w:val="nil"/>
              <w:bottom w:val="nil"/>
              <w:right w:val="nil"/>
            </w:tcBorders>
          </w:tcPr>
          <w:p>
            <w:pPr>
              <w:pStyle w:val="0"/>
              <w:jc w:val="center"/>
            </w:pPr>
            <w:r>
              <w:rPr>
                <w:sz w:val="20"/>
              </w:rPr>
              <w:t xml:space="preserve">33,7%</w:t>
            </w:r>
          </w:p>
        </w:tc>
        <w:tc>
          <w:tcPr>
            <w:tcW w:w="907" w:type="dxa"/>
            <w:vAlign w:val="center"/>
            <w:tcBorders>
              <w:top w:val="nil"/>
              <w:left w:val="nil"/>
              <w:bottom w:val="nil"/>
              <w:right w:val="single" w:sz="4"/>
            </w:tcBorders>
          </w:tcPr>
          <w:p>
            <w:pPr>
              <w:pStyle w:val="0"/>
              <w:jc w:val="center"/>
            </w:pPr>
            <w:r>
              <w:rPr>
                <w:sz w:val="20"/>
              </w:rPr>
              <w:t xml:space="preserve">25,6%</w:t>
            </w:r>
          </w:p>
        </w:tc>
        <w:tc>
          <w:tcPr>
            <w:tcW w:w="1077" w:type="dxa"/>
            <w:vAlign w:val="center"/>
            <w:tcBorders>
              <w:top w:val="nil"/>
              <w:left w:val="single" w:sz="4"/>
              <w:bottom w:val="nil"/>
              <w:right w:val="nil"/>
            </w:tcBorders>
          </w:tcPr>
          <w:p>
            <w:pPr>
              <w:pStyle w:val="0"/>
              <w:jc w:val="center"/>
            </w:pPr>
            <w:r>
              <w:rPr>
                <w:sz w:val="20"/>
              </w:rPr>
              <w:t xml:space="preserve">31,3%</w:t>
            </w:r>
          </w:p>
        </w:tc>
        <w:tc>
          <w:tcPr>
            <w:tcW w:w="850" w:type="dxa"/>
            <w:vAlign w:val="center"/>
            <w:tcBorders>
              <w:top w:val="nil"/>
              <w:left w:val="nil"/>
              <w:bottom w:val="nil"/>
              <w:right w:val="single" w:sz="4"/>
            </w:tcBorders>
          </w:tcPr>
          <w:p>
            <w:pPr>
              <w:pStyle w:val="0"/>
              <w:jc w:val="center"/>
            </w:pPr>
            <w:r>
              <w:rPr>
                <w:sz w:val="20"/>
              </w:rPr>
              <w:t xml:space="preserve">22,9%</w:t>
            </w:r>
          </w:p>
        </w:tc>
      </w:tr>
      <w:tr>
        <w:tc>
          <w:tcPr>
            <w:tcW w:w="1020" w:type="dxa"/>
            <w:vAlign w:val="center"/>
            <w:tcBorders>
              <w:top w:val="nil"/>
              <w:left w:val="nil"/>
              <w:bottom w:val="nil"/>
              <w:right w:val="nil"/>
            </w:tcBorders>
          </w:tcPr>
          <w:p>
            <w:pPr>
              <w:pStyle w:val="0"/>
              <w:jc w:val="center"/>
            </w:pPr>
            <w:hyperlink w:history="0" r:id="rId8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07.10</w:t>
              </w:r>
            </w:hyperlink>
          </w:p>
        </w:tc>
        <w:tc>
          <w:tcPr>
            <w:tcW w:w="2948" w:type="dxa"/>
            <w:vAlign w:val="center"/>
            <w:tcBorders>
              <w:top w:val="nil"/>
              <w:left w:val="nil"/>
              <w:bottom w:val="nil"/>
              <w:right w:val="nil"/>
            </w:tcBorders>
          </w:tcPr>
          <w:p>
            <w:pPr>
              <w:pStyle w:val="0"/>
              <w:jc w:val="both"/>
            </w:pPr>
            <w:r>
              <w:rPr>
                <w:sz w:val="20"/>
              </w:rPr>
              <w:t xml:space="preserve">Добыча и обогащение железных руд</w:t>
            </w:r>
          </w:p>
        </w:tc>
        <w:tc>
          <w:tcPr>
            <w:tcW w:w="1056" w:type="dxa"/>
            <w:vAlign w:val="center"/>
            <w:tcBorders>
              <w:top w:val="nil"/>
              <w:left w:val="nil"/>
              <w:bottom w:val="nil"/>
              <w:right w:val="nil"/>
            </w:tcBorders>
          </w:tcPr>
          <w:p>
            <w:pPr>
              <w:pStyle w:val="0"/>
              <w:jc w:val="center"/>
            </w:pPr>
            <w:r>
              <w:rPr>
                <w:sz w:val="20"/>
              </w:rPr>
              <w:t xml:space="preserve">15,4</w:t>
            </w:r>
          </w:p>
        </w:tc>
        <w:tc>
          <w:tcPr>
            <w:tcW w:w="1191" w:type="dxa"/>
            <w:vAlign w:val="center"/>
            <w:tcBorders>
              <w:top w:val="nil"/>
              <w:left w:val="nil"/>
              <w:bottom w:val="nil"/>
              <w:right w:val="nil"/>
            </w:tcBorders>
          </w:tcPr>
          <w:p>
            <w:pPr>
              <w:pStyle w:val="0"/>
              <w:jc w:val="center"/>
            </w:pPr>
            <w:r>
              <w:rPr>
                <w:sz w:val="20"/>
              </w:rPr>
              <w:t xml:space="preserve">16,6%</w:t>
            </w:r>
          </w:p>
        </w:tc>
        <w:tc>
          <w:tcPr>
            <w:tcW w:w="907" w:type="dxa"/>
            <w:vAlign w:val="center"/>
            <w:tcBorders>
              <w:top w:val="nil"/>
              <w:left w:val="nil"/>
              <w:bottom w:val="nil"/>
              <w:right w:val="single" w:sz="4"/>
            </w:tcBorders>
          </w:tcPr>
          <w:p>
            <w:pPr>
              <w:pStyle w:val="0"/>
              <w:jc w:val="center"/>
            </w:pPr>
            <w:r>
              <w:rPr>
                <w:sz w:val="20"/>
              </w:rPr>
              <w:t xml:space="preserve">9,4%</w:t>
            </w:r>
          </w:p>
        </w:tc>
        <w:tc>
          <w:tcPr>
            <w:tcW w:w="1077" w:type="dxa"/>
            <w:vAlign w:val="center"/>
            <w:tcBorders>
              <w:top w:val="nil"/>
              <w:left w:val="single" w:sz="4"/>
              <w:bottom w:val="nil"/>
              <w:right w:val="nil"/>
            </w:tcBorders>
          </w:tcPr>
          <w:p>
            <w:pPr>
              <w:pStyle w:val="0"/>
              <w:jc w:val="center"/>
            </w:pPr>
            <w:r>
              <w:rPr>
                <w:sz w:val="20"/>
              </w:rPr>
              <w:t xml:space="preserve">28,8%</w:t>
            </w:r>
          </w:p>
        </w:tc>
        <w:tc>
          <w:tcPr>
            <w:tcW w:w="850" w:type="dxa"/>
            <w:vAlign w:val="center"/>
            <w:tcBorders>
              <w:top w:val="nil"/>
              <w:left w:val="nil"/>
              <w:bottom w:val="nil"/>
              <w:right w:val="single" w:sz="4"/>
            </w:tcBorders>
          </w:tcPr>
          <w:p>
            <w:pPr>
              <w:pStyle w:val="0"/>
              <w:jc w:val="center"/>
            </w:pPr>
            <w:r>
              <w:rPr>
                <w:sz w:val="20"/>
              </w:rPr>
              <w:t xml:space="preserve">20,2%</w:t>
            </w:r>
          </w:p>
        </w:tc>
      </w:tr>
      <w:tr>
        <w:tc>
          <w:tcPr>
            <w:tcW w:w="1020" w:type="dxa"/>
            <w:vAlign w:val="center"/>
            <w:tcBorders>
              <w:top w:val="nil"/>
              <w:left w:val="nil"/>
              <w:bottom w:val="nil"/>
              <w:right w:val="nil"/>
            </w:tcBorders>
          </w:tcPr>
          <w:p>
            <w:pPr>
              <w:pStyle w:val="0"/>
              <w:jc w:val="center"/>
            </w:pPr>
            <w:hyperlink w:history="0" r:id="rId8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07.2</w:t>
              </w:r>
            </w:hyperlink>
          </w:p>
        </w:tc>
        <w:tc>
          <w:tcPr>
            <w:tcW w:w="2948" w:type="dxa"/>
            <w:vAlign w:val="center"/>
            <w:tcBorders>
              <w:top w:val="nil"/>
              <w:left w:val="nil"/>
              <w:bottom w:val="nil"/>
              <w:right w:val="nil"/>
            </w:tcBorders>
          </w:tcPr>
          <w:p>
            <w:pPr>
              <w:pStyle w:val="0"/>
              <w:jc w:val="both"/>
            </w:pPr>
            <w:r>
              <w:rPr>
                <w:sz w:val="20"/>
              </w:rPr>
              <w:t xml:space="preserve">Добыча руд цветных металлов Добыча прочих</w:t>
            </w:r>
          </w:p>
        </w:tc>
        <w:tc>
          <w:tcPr>
            <w:tcW w:w="1056" w:type="dxa"/>
            <w:vAlign w:val="center"/>
            <w:tcBorders>
              <w:top w:val="nil"/>
              <w:left w:val="nil"/>
              <w:bottom w:val="nil"/>
              <w:right w:val="nil"/>
            </w:tcBorders>
          </w:tcPr>
          <w:p>
            <w:pPr>
              <w:pStyle w:val="0"/>
              <w:jc w:val="center"/>
            </w:pPr>
            <w:r>
              <w:rPr>
                <w:sz w:val="20"/>
              </w:rPr>
              <w:t xml:space="preserve">7,0</w:t>
            </w:r>
          </w:p>
        </w:tc>
        <w:tc>
          <w:tcPr>
            <w:tcW w:w="1191" w:type="dxa"/>
            <w:vAlign w:val="center"/>
            <w:tcBorders>
              <w:top w:val="nil"/>
              <w:left w:val="nil"/>
              <w:bottom w:val="nil"/>
              <w:right w:val="nil"/>
            </w:tcBorders>
          </w:tcPr>
          <w:p>
            <w:pPr>
              <w:pStyle w:val="0"/>
              <w:jc w:val="center"/>
            </w:pPr>
            <w:r>
              <w:rPr>
                <w:sz w:val="20"/>
              </w:rPr>
              <w:t xml:space="preserve">51,5%</w:t>
            </w:r>
          </w:p>
        </w:tc>
        <w:tc>
          <w:tcPr>
            <w:tcW w:w="907" w:type="dxa"/>
            <w:vAlign w:val="center"/>
            <w:tcBorders>
              <w:top w:val="nil"/>
              <w:left w:val="nil"/>
              <w:bottom w:val="nil"/>
              <w:right w:val="single" w:sz="4"/>
            </w:tcBorders>
          </w:tcPr>
          <w:p>
            <w:pPr>
              <w:pStyle w:val="0"/>
              <w:jc w:val="center"/>
            </w:pPr>
            <w:r>
              <w:rPr>
                <w:sz w:val="20"/>
              </w:rPr>
              <w:t xml:space="preserve">27,2%</w:t>
            </w:r>
          </w:p>
        </w:tc>
        <w:tc>
          <w:tcPr>
            <w:tcW w:w="1077" w:type="dxa"/>
            <w:vAlign w:val="center"/>
            <w:tcBorders>
              <w:top w:val="nil"/>
              <w:left w:val="single" w:sz="4"/>
              <w:bottom w:val="nil"/>
              <w:right w:val="nil"/>
            </w:tcBorders>
          </w:tcPr>
          <w:p>
            <w:pPr>
              <w:pStyle w:val="0"/>
              <w:jc w:val="center"/>
            </w:pPr>
            <w:r>
              <w:rPr>
                <w:sz w:val="20"/>
              </w:rPr>
              <w:t xml:space="preserve">54,1%</w:t>
            </w:r>
          </w:p>
        </w:tc>
        <w:tc>
          <w:tcPr>
            <w:tcW w:w="850" w:type="dxa"/>
            <w:vAlign w:val="center"/>
            <w:tcBorders>
              <w:top w:val="nil"/>
              <w:left w:val="nil"/>
              <w:bottom w:val="nil"/>
              <w:right w:val="single" w:sz="4"/>
            </w:tcBorders>
          </w:tcPr>
          <w:p>
            <w:pPr>
              <w:pStyle w:val="0"/>
              <w:jc w:val="center"/>
            </w:pPr>
            <w:r>
              <w:rPr>
                <w:sz w:val="20"/>
              </w:rPr>
              <w:t xml:space="preserve">28,6%</w:t>
            </w:r>
          </w:p>
        </w:tc>
      </w:tr>
      <w:tr>
        <w:tc>
          <w:tcPr>
            <w:tcW w:w="1020" w:type="dxa"/>
            <w:vAlign w:val="center"/>
            <w:tcBorders>
              <w:top w:val="nil"/>
              <w:left w:val="nil"/>
              <w:bottom w:val="single" w:sz="4"/>
              <w:right w:val="nil"/>
            </w:tcBorders>
          </w:tcPr>
          <w:p>
            <w:pPr>
              <w:pStyle w:val="0"/>
              <w:jc w:val="center"/>
            </w:pPr>
            <w:hyperlink w:history="0" r:id="rId82"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08.99</w:t>
              </w:r>
            </w:hyperlink>
          </w:p>
        </w:tc>
        <w:tc>
          <w:tcPr>
            <w:tcW w:w="2948" w:type="dxa"/>
            <w:vAlign w:val="center"/>
            <w:tcBorders>
              <w:top w:val="nil"/>
              <w:left w:val="nil"/>
              <w:bottom w:val="single" w:sz="4"/>
              <w:right w:val="nil"/>
            </w:tcBorders>
          </w:tcPr>
          <w:p>
            <w:pPr>
              <w:pStyle w:val="0"/>
              <w:jc w:val="both"/>
            </w:pPr>
            <w:r>
              <w:rPr>
                <w:sz w:val="20"/>
              </w:rPr>
              <w:t xml:space="preserve">полезных ископаемых, не включенных в другие группировки</w:t>
            </w:r>
          </w:p>
        </w:tc>
        <w:tc>
          <w:tcPr>
            <w:tcW w:w="1056" w:type="dxa"/>
            <w:vAlign w:val="center"/>
            <w:tcBorders>
              <w:top w:val="nil"/>
              <w:left w:val="nil"/>
              <w:bottom w:val="single" w:sz="4"/>
              <w:right w:val="nil"/>
            </w:tcBorders>
          </w:tcPr>
          <w:p>
            <w:pPr>
              <w:pStyle w:val="0"/>
              <w:jc w:val="center"/>
            </w:pPr>
            <w:r>
              <w:rPr>
                <w:sz w:val="20"/>
              </w:rPr>
              <w:t xml:space="preserve">1,8</w:t>
            </w:r>
          </w:p>
        </w:tc>
        <w:tc>
          <w:tcPr>
            <w:tcW w:w="1191" w:type="dxa"/>
            <w:vAlign w:val="center"/>
            <w:tcBorders>
              <w:top w:val="nil"/>
              <w:left w:val="nil"/>
              <w:bottom w:val="single" w:sz="4"/>
              <w:right w:val="nil"/>
            </w:tcBorders>
          </w:tcPr>
          <w:p>
            <w:pPr>
              <w:pStyle w:val="0"/>
              <w:jc w:val="center"/>
            </w:pPr>
            <w:r>
              <w:rPr>
                <w:sz w:val="20"/>
              </w:rPr>
              <w:t xml:space="preserve">16,3%</w:t>
            </w:r>
          </w:p>
        </w:tc>
        <w:tc>
          <w:tcPr>
            <w:tcW w:w="907" w:type="dxa"/>
            <w:vAlign w:val="center"/>
            <w:tcBorders>
              <w:top w:val="nil"/>
              <w:left w:val="nil"/>
              <w:bottom w:val="single" w:sz="4"/>
              <w:right w:val="single" w:sz="4"/>
            </w:tcBorders>
          </w:tcPr>
          <w:p>
            <w:pPr>
              <w:pStyle w:val="0"/>
              <w:jc w:val="center"/>
            </w:pPr>
            <w:r>
              <w:rPr>
                <w:sz w:val="20"/>
              </w:rPr>
              <w:t xml:space="preserve">10,6%</w:t>
            </w:r>
          </w:p>
        </w:tc>
        <w:tc>
          <w:tcPr>
            <w:tcW w:w="1077" w:type="dxa"/>
            <w:vAlign w:val="center"/>
            <w:tcBorders>
              <w:top w:val="nil"/>
              <w:left w:val="single" w:sz="4"/>
              <w:bottom w:val="single" w:sz="4"/>
              <w:right w:val="nil"/>
            </w:tcBorders>
          </w:tcPr>
          <w:p>
            <w:pPr>
              <w:pStyle w:val="0"/>
              <w:jc w:val="center"/>
            </w:pPr>
            <w:r>
              <w:rPr>
                <w:sz w:val="20"/>
              </w:rPr>
              <w:t xml:space="preserve">22,9%</w:t>
            </w:r>
          </w:p>
        </w:tc>
        <w:tc>
          <w:tcPr>
            <w:tcW w:w="850" w:type="dxa"/>
            <w:vAlign w:val="center"/>
            <w:tcBorders>
              <w:top w:val="nil"/>
              <w:left w:val="nil"/>
              <w:bottom w:val="single" w:sz="4"/>
              <w:right w:val="single" w:sz="4"/>
            </w:tcBorders>
          </w:tcPr>
          <w:p>
            <w:pPr>
              <w:pStyle w:val="0"/>
              <w:jc w:val="center"/>
            </w:pPr>
            <w:r>
              <w:rPr>
                <w:sz w:val="20"/>
              </w:rPr>
              <w:t xml:space="preserve">13,2%</w:t>
            </w:r>
          </w:p>
        </w:tc>
      </w:tr>
    </w:tbl>
    <w:p>
      <w:pPr>
        <w:pStyle w:val="0"/>
        <w:jc w:val="both"/>
      </w:pPr>
      <w:r>
        <w:rPr>
          <w:sz w:val="20"/>
        </w:rPr>
      </w:r>
    </w:p>
    <w:p>
      <w:pPr>
        <w:pStyle w:val="0"/>
        <w:ind w:firstLine="540"/>
        <w:jc w:val="both"/>
      </w:pPr>
      <w:r>
        <w:rPr>
          <w:sz w:val="20"/>
        </w:rPr>
        <w:t xml:space="preserve">--------------------------------</w:t>
      </w:r>
    </w:p>
    <w:bookmarkStart w:id="4447" w:name="P4447"/>
    <w:bookmarkEnd w:id="4447"/>
    <w:p>
      <w:pPr>
        <w:pStyle w:val="0"/>
        <w:spacing w:before="200" w:line-rule="auto"/>
        <w:ind w:firstLine="540"/>
        <w:jc w:val="both"/>
      </w:pPr>
      <w:r>
        <w:rPr>
          <w:sz w:val="20"/>
        </w:rPr>
        <w:t xml:space="preserve">&lt;*&gt; Сумма средних значений выручки в рамках отрасли по всем участникам за период анализа.</w:t>
      </w:r>
    </w:p>
    <w:bookmarkStart w:id="4448" w:name="P4448"/>
    <w:bookmarkEnd w:id="4448"/>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4449" w:name="P4449"/>
    <w:bookmarkEnd w:id="4449"/>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Дополнительно обращаем внимание, что одной из целей введения режима РИП является создание высокотехнологичных проектов. Однако более 90% от выручки всех участников РИП в ДФО, вошедших в периметр анализа, приходится на организации, добывающие твердые полезные ископаемые (в том числе железные руды, цветные металлы, уголь и антрацит и т.п.) и не относящиеся к категории высокотехнологичных.</w:t>
      </w:r>
    </w:p>
    <w:p>
      <w:pPr>
        <w:pStyle w:val="0"/>
        <w:jc w:val="both"/>
      </w:pPr>
      <w:r>
        <w:rPr>
          <w:sz w:val="20"/>
        </w:rPr>
      </w:r>
    </w:p>
    <w:p>
      <w:pPr>
        <w:pStyle w:val="2"/>
        <w:outlineLvl w:val="1"/>
        <w:ind w:firstLine="540"/>
        <w:jc w:val="both"/>
      </w:pPr>
      <w:r>
        <w:rPr>
          <w:sz w:val="20"/>
        </w:rPr>
        <w:t xml:space="preserve">Региональный инвестиционный проект для участников вне Дальневосточного федерального округа (РИП вне ДФО)</w:t>
      </w:r>
    </w:p>
    <w:p>
      <w:pPr>
        <w:pStyle w:val="0"/>
        <w:jc w:val="both"/>
      </w:pPr>
      <w:r>
        <w:rPr>
          <w:sz w:val="20"/>
        </w:rPr>
      </w:r>
    </w:p>
    <w:p>
      <w:pPr>
        <w:pStyle w:val="0"/>
        <w:ind w:firstLine="540"/>
        <w:jc w:val="both"/>
      </w:pPr>
      <w:r>
        <w:rPr>
          <w:sz w:val="20"/>
        </w:rPr>
        <w:t xml:space="preserve">Таблица 7.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8"/>
        <w:gridCol w:w="6278"/>
      </w:tblGrid>
      <w:tr>
        <w:tblPrEx>
          <w:tblBorders>
            <w:insideH w:val="single" w:sz="4"/>
          </w:tblBorders>
        </w:tblPrEx>
        <w:tc>
          <w:tcPr>
            <w:tcW w:w="2778" w:type="dxa"/>
            <w:tcBorders>
              <w:top w:val="single" w:sz="4"/>
              <w:left w:val="nil"/>
              <w:bottom w:val="single" w:sz="4"/>
              <w:right w:val="nil"/>
            </w:tcBorders>
          </w:tcPr>
          <w:p>
            <w:pPr>
              <w:pStyle w:val="0"/>
              <w:jc w:val="center"/>
            </w:pPr>
            <w:r>
              <w:rPr>
                <w:sz w:val="20"/>
              </w:rPr>
              <w:t xml:space="preserve">Показатель</w:t>
            </w:r>
          </w:p>
        </w:tc>
        <w:tc>
          <w:tcPr>
            <w:tcW w:w="6278" w:type="dxa"/>
            <w:tcBorders>
              <w:top w:val="single" w:sz="4"/>
              <w:left w:val="nil"/>
              <w:bottom w:val="single" w:sz="4"/>
              <w:right w:val="nil"/>
            </w:tcBorders>
          </w:tcPr>
          <w:p>
            <w:pPr>
              <w:pStyle w:val="0"/>
              <w:jc w:val="center"/>
            </w:pPr>
            <w:r>
              <w:rPr>
                <w:sz w:val="20"/>
              </w:rPr>
              <w:t xml:space="preserve">Описание</w:t>
            </w:r>
          </w:p>
        </w:tc>
      </w:tr>
      <w:tr>
        <w:tc>
          <w:tcPr>
            <w:tcW w:w="2778" w:type="dxa"/>
            <w:vAlign w:val="center"/>
            <w:tcBorders>
              <w:top w:val="single" w:sz="4"/>
              <w:left w:val="nil"/>
              <w:bottom w:val="nil"/>
              <w:right w:val="nil"/>
            </w:tcBorders>
          </w:tcPr>
          <w:p>
            <w:pPr>
              <w:pStyle w:val="0"/>
              <w:jc w:val="both"/>
            </w:pPr>
            <w:r>
              <w:rPr>
                <w:sz w:val="20"/>
              </w:rPr>
              <w:t xml:space="preserve">Срок действия режима</w:t>
            </w:r>
          </w:p>
        </w:tc>
        <w:tc>
          <w:tcPr>
            <w:tcW w:w="6278" w:type="dxa"/>
            <w:vAlign w:val="center"/>
            <w:tcBorders>
              <w:top w:val="single" w:sz="4"/>
              <w:left w:val="nil"/>
              <w:bottom w:val="nil"/>
              <w:right w:val="nil"/>
            </w:tcBorders>
          </w:tcPr>
          <w:p>
            <w:pPr>
              <w:pStyle w:val="0"/>
              <w:jc w:val="both"/>
            </w:pPr>
            <w:r>
              <w:rPr>
                <w:sz w:val="20"/>
              </w:rPr>
              <w:t xml:space="preserve">С 01.01.2014 до 01.01.2027 или 01.01.2029 или 01.01.2031 (в зависимости от типа РИП и размера капитальных вложений).</w:t>
            </w:r>
          </w:p>
        </w:tc>
      </w:tr>
      <w:tr>
        <w:tc>
          <w:tcPr>
            <w:tcW w:w="2778" w:type="dxa"/>
            <w:vAlign w:val="center"/>
            <w:tcBorders>
              <w:top w:val="nil"/>
              <w:left w:val="nil"/>
              <w:bottom w:val="nil"/>
              <w:right w:val="nil"/>
            </w:tcBorders>
          </w:tcPr>
          <w:p>
            <w:pPr>
              <w:pStyle w:val="0"/>
              <w:jc w:val="both"/>
            </w:pPr>
            <w:r>
              <w:rPr>
                <w:sz w:val="20"/>
              </w:rPr>
              <w:t xml:space="preserve">Налоговые льготы режима</w:t>
            </w:r>
          </w:p>
        </w:tc>
        <w:tc>
          <w:tcPr>
            <w:tcW w:w="6278" w:type="dxa"/>
            <w:tcBorders>
              <w:top w:val="nil"/>
              <w:left w:val="nil"/>
              <w:bottom w:val="nil"/>
              <w:right w:val="nil"/>
            </w:tcBorders>
          </w:tcPr>
          <w:p>
            <w:pPr>
              <w:pStyle w:val="0"/>
              <w:ind w:left="283"/>
              <w:jc w:val="both"/>
            </w:pPr>
            <w:r>
              <w:rPr>
                <w:sz w:val="20"/>
              </w:rPr>
              <w:t xml:space="preserve">- пониженные ставки по налогу на прибыль в ФБ и РБ (в соответствии с законами субъектов РФ),</w:t>
            </w:r>
          </w:p>
          <w:p>
            <w:pPr>
              <w:pStyle w:val="0"/>
              <w:ind w:left="283"/>
              <w:jc w:val="both"/>
            </w:pPr>
            <w:r>
              <w:rPr>
                <w:sz w:val="20"/>
              </w:rPr>
              <w:t xml:space="preserve">- льготный коэффициент Ктд по НДПИ,</w:t>
            </w:r>
          </w:p>
          <w:p>
            <w:pPr>
              <w:pStyle w:val="0"/>
              <w:ind w:left="283"/>
              <w:jc w:val="both"/>
            </w:pPr>
            <w:r>
              <w:rPr>
                <w:sz w:val="20"/>
              </w:rPr>
              <w:t xml:space="preserve">- общая сумма всех льгот не может превышать величину капитальных вложений.</w:t>
            </w:r>
          </w:p>
        </w:tc>
      </w:tr>
      <w:tr>
        <w:tc>
          <w:tcPr>
            <w:tcW w:w="2778" w:type="dxa"/>
            <w:vAlign w:val="center"/>
            <w:tcBorders>
              <w:top w:val="nil"/>
              <w:left w:val="nil"/>
              <w:bottom w:val="nil"/>
              <w:right w:val="nil"/>
            </w:tcBorders>
          </w:tcPr>
          <w:p>
            <w:pPr>
              <w:pStyle w:val="0"/>
              <w:jc w:val="both"/>
            </w:pPr>
            <w:r>
              <w:rPr>
                <w:sz w:val="20"/>
              </w:rPr>
              <w:t xml:space="preserve">Количество отраслей в режиме</w:t>
            </w:r>
          </w:p>
        </w:tc>
        <w:tc>
          <w:tcPr>
            <w:tcW w:w="6278" w:type="dxa"/>
            <w:vAlign w:val="center"/>
            <w:tcBorders>
              <w:top w:val="nil"/>
              <w:left w:val="nil"/>
              <w:bottom w:val="nil"/>
              <w:right w:val="nil"/>
            </w:tcBorders>
          </w:tcPr>
          <w:p>
            <w:pPr>
              <w:pStyle w:val="0"/>
              <w:jc w:val="both"/>
            </w:pPr>
            <w:r>
              <w:rPr>
                <w:sz w:val="20"/>
              </w:rPr>
              <w:t xml:space="preserve">115</w:t>
            </w:r>
          </w:p>
        </w:tc>
      </w:tr>
      <w:tr>
        <w:tc>
          <w:tcPr>
            <w:tcW w:w="2778" w:type="dxa"/>
            <w:vAlign w:val="center"/>
            <w:tcBorders>
              <w:top w:val="nil"/>
              <w:left w:val="nil"/>
              <w:bottom w:val="single" w:sz="4"/>
              <w:right w:val="nil"/>
            </w:tcBorders>
          </w:tcPr>
          <w:p>
            <w:pPr>
              <w:pStyle w:val="0"/>
              <w:jc w:val="both"/>
            </w:pPr>
            <w:r>
              <w:rPr>
                <w:sz w:val="20"/>
              </w:rPr>
              <w:t xml:space="preserve">Наличие обязательств</w:t>
            </w:r>
          </w:p>
        </w:tc>
        <w:tc>
          <w:tcPr>
            <w:tcW w:w="6278" w:type="dxa"/>
            <w:vAlign w:val="center"/>
            <w:tcBorders>
              <w:top w:val="nil"/>
              <w:left w:val="nil"/>
              <w:bottom w:val="single" w:sz="4"/>
              <w:right w:val="nil"/>
            </w:tcBorders>
          </w:tcPr>
          <w:p>
            <w:pPr>
              <w:pStyle w:val="0"/>
              <w:jc w:val="both"/>
            </w:pPr>
            <w:r>
              <w:rPr>
                <w:sz w:val="20"/>
              </w:rPr>
              <w:t xml:space="preserve">Да (капитальные вложения: в первые 3 года - от 50 млн руб., в первые 5 лет - не менее 500 млн руб.).</w:t>
            </w:r>
          </w:p>
        </w:tc>
      </w:tr>
    </w:tbl>
    <w:p>
      <w:pPr>
        <w:pStyle w:val="0"/>
        <w:jc w:val="both"/>
      </w:pPr>
      <w:r>
        <w:rPr>
          <w:sz w:val="20"/>
        </w:rPr>
      </w:r>
    </w:p>
    <w:p>
      <w:pPr>
        <w:pStyle w:val="0"/>
        <w:ind w:firstLine="540"/>
        <w:jc w:val="both"/>
      </w:pPr>
      <w:r>
        <w:rPr>
          <w:sz w:val="20"/>
        </w:rPr>
        <w:t xml:space="preserve">За период анализа (2017 - 2022 годы) общее количество участников &lt;10&gt; в РИП вне ДФО составило 220, из которых в периметр анализа на базе АС "Эффективность льгот" вошли 204 &lt;11&gt; участника.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Количество участников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&lt;11&gt; Прочие участники не вошли в анализ по причине отсутствия налоговых деклараций или бухгалтерской отчетности (4 участников), или нулевого значения показателя выручки (12 участников).</w:t>
      </w:r>
    </w:p>
    <w:p>
      <w:pPr>
        <w:pStyle w:val="0"/>
        <w:jc w:val="both"/>
      </w:pPr>
      <w:r>
        <w:rPr>
          <w:sz w:val="20"/>
        </w:rPr>
      </w:r>
    </w:p>
    <w:p>
      <w:pPr>
        <w:pStyle w:val="0"/>
        <w:jc w:val="center"/>
      </w:pPr>
      <w:r>
        <w:rPr>
          <w:position w:val="-105"/>
        </w:rPr>
        <w:drawing>
          <wp:inline distT="0" distB="0" distL="0" distR="0">
            <wp:extent cx="5038090" cy="1463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038090" cy="1463040"/>
                    </a:xfrm>
                    <a:prstGeom prst="rect">
                      <a:avLst/>
                    </a:prstGeom>
                    <a:noFill/>
                    <a:ln>
                      <a:noFill/>
                    </a:ln>
                  </pic:spPr>
                </pic:pic>
              </a:graphicData>
            </a:graphic>
          </wp:inline>
        </w:drawing>
      </w:r>
    </w:p>
    <w:p>
      <w:pPr>
        <w:pStyle w:val="0"/>
        <w:jc w:val="both"/>
      </w:pPr>
      <w:r>
        <w:rPr>
          <w:sz w:val="20"/>
        </w:rPr>
      </w:r>
    </w:p>
    <w:p>
      <w:pPr>
        <w:pStyle w:val="0"/>
        <w:jc w:val="center"/>
      </w:pPr>
      <w:r>
        <w:rPr>
          <w:position w:val="-113"/>
        </w:rPr>
        <w:drawing>
          <wp:inline distT="0" distB="0" distL="0" distR="0">
            <wp:extent cx="5047615" cy="1572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5047615" cy="157289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выручки участников РИП вне ДФО, вошедших в периметр анализа, с 2017 года по 2022 год вырос в 2,1 раз, количество резидентов - в 1,3 раза, величина капитальных вложений - в 5,6 раза, численность сотрудников - в 1,3 раза. При этом в 2022 году на фоне роста числа резидентов и увеличения численности сотрудников на 9,7% по сравнению с 2021 годом, совокупный объем капитальных вложений за аналогичный период незначительно снизился (на 0,6%).</w:t>
      </w:r>
    </w:p>
    <w:p>
      <w:pPr>
        <w:pStyle w:val="0"/>
        <w:spacing w:before="200" w:line-rule="auto"/>
        <w:ind w:firstLine="540"/>
        <w:jc w:val="both"/>
      </w:pPr>
      <w:r>
        <w:rPr>
          <w:sz w:val="20"/>
        </w:rPr>
        <w:t xml:space="preserve">С 2017 года по 2022 год общая величина выпадающих доходов бюджетов бюджетной системы Российской Федерации (по резидентам ИНЛ, вошедшим в периметр анализа) увеличилась с 3,1 млрд руб. до 3,6 млрд руб. (в 1,2 раза), в том числе с 3,1 млрд руб. до 3,5 млрд руб. (в 1,2 раза) по налоговым льготам и с 0 млрд руб. до 0,1 млрд руб. по неналоговым мерам поддержки. Таким образом, за 2022 год доля налоговых льгот и неналоговых мер поддержки в общей величине выпадающих доходов бюджетов бюджетной системы Российской Федерации для резидентов данной ИНЛ, вошедших в периметр анализа, составляла 98,2% и 1,8% соответственно.</w:t>
      </w:r>
    </w:p>
    <w:p>
      <w:pPr>
        <w:pStyle w:val="0"/>
        <w:spacing w:before="200" w:line-rule="auto"/>
        <w:ind w:firstLine="540"/>
        <w:jc w:val="both"/>
      </w:pPr>
      <w:r>
        <w:rPr>
          <w:sz w:val="20"/>
        </w:rPr>
        <w:t xml:space="preserve">В ТОП-3 отраслей по объему выручки за период анализа вошли отрасли по добыче руд прочих цветных металлов (42,7%), производству электроэнергии (4,7%), а также по добыче и обогащению угля (лигнита) (3,9%).</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выросла по сравнению с анализом за прошлый год с 38,6% до 44,8%. При дальнейшей отраслевой дифференциации выявлены отрасли (всего 31 </w:t>
      </w:r>
      <w:hyperlink w:history="0" r:id="rId85"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с наиболее прибыльными компаниями, применяющими режим.</w:t>
      </w:r>
    </w:p>
    <w:p>
      <w:pPr>
        <w:pStyle w:val="0"/>
        <w:jc w:val="both"/>
      </w:pPr>
      <w:r>
        <w:rPr>
          <w:sz w:val="20"/>
        </w:rPr>
      </w:r>
    </w:p>
    <w:p>
      <w:pPr>
        <w:pStyle w:val="0"/>
        <w:ind w:firstLine="540"/>
        <w:jc w:val="both"/>
      </w:pPr>
      <w:r>
        <w:rPr>
          <w:sz w:val="20"/>
        </w:rPr>
        <w:t xml:space="preserve">Таблица 8. ТОП-5 по выручке отраслей, в которых выявлена сверхдоходность или низкая инвестиционная активность</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1020"/>
        <w:gridCol w:w="2948"/>
        <w:gridCol w:w="1056"/>
        <w:gridCol w:w="1191"/>
        <w:gridCol w:w="907"/>
        <w:gridCol w:w="1077"/>
        <w:gridCol w:w="850"/>
      </w:tblGrid>
      <w:tr>
        <w:tblPrEx>
          <w:tblBorders>
            <w:insideH w:val="single" w:sz="4"/>
          </w:tblBorders>
        </w:tblPrEx>
        <w:tc>
          <w:tcPr>
            <w:tcW w:w="1020" w:type="dxa"/>
            <w:tcBorders>
              <w:top w:val="single" w:sz="4"/>
              <w:left w:val="nil"/>
              <w:bottom w:val="single" w:sz="4"/>
              <w:right w:val="nil"/>
            </w:tcBorders>
          </w:tcPr>
          <w:p>
            <w:pPr>
              <w:pStyle w:val="0"/>
              <w:jc w:val="center"/>
            </w:pPr>
            <w:hyperlink w:history="0" r:id="rId86"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2948" w:type="dxa"/>
            <w:tcBorders>
              <w:top w:val="single" w:sz="4"/>
              <w:left w:val="nil"/>
              <w:bottom w:val="single" w:sz="4"/>
              <w:right w:val="nil"/>
            </w:tcBorders>
          </w:tcPr>
          <w:p>
            <w:pPr>
              <w:pStyle w:val="0"/>
              <w:jc w:val="center"/>
            </w:pPr>
            <w:r>
              <w:rPr>
                <w:sz w:val="20"/>
              </w:rPr>
              <w:t xml:space="preserve">Наименование отрасли</w:t>
            </w:r>
          </w:p>
        </w:tc>
        <w:tc>
          <w:tcPr>
            <w:tcW w:w="1056" w:type="dxa"/>
            <w:tcBorders>
              <w:top w:val="single" w:sz="4"/>
              <w:left w:val="nil"/>
              <w:bottom w:val="single" w:sz="4"/>
              <w:right w:val="nil"/>
            </w:tcBorders>
          </w:tcPr>
          <w:p>
            <w:pPr>
              <w:pStyle w:val="0"/>
              <w:jc w:val="center"/>
            </w:pPr>
            <w:r>
              <w:rPr>
                <w:sz w:val="20"/>
              </w:rPr>
              <w:t xml:space="preserve">Выручка по отрасли </w:t>
            </w:r>
            <w:hyperlink w:history="0" w:anchor="P4530" w:tooltip="&lt;*&gt; Сумма средних значений выручки в рамках отрасли по всем участникам за период анализа.">
              <w:r>
                <w:rPr>
                  <w:sz w:val="20"/>
                  <w:color w:val="0000ff"/>
                </w:rPr>
                <w:t xml:space="preserve">&lt;*&gt;</w:t>
              </w:r>
            </w:hyperlink>
            <w:r>
              <w:rPr>
                <w:sz w:val="20"/>
              </w:rPr>
              <w:t xml:space="preserve"> млрд </w:t>
            </w:r>
            <w:r>
              <w:rPr>
                <w:position w:val="-5"/>
              </w:rPr>
              <w:drawing>
                <wp:inline distT="0" distB="0" distL="0" distR="0">
                  <wp:extent cx="12192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121920" cy="194945"/>
                          </a:xfrm>
                          <a:prstGeom prst="rect">
                            <a:avLst/>
                          </a:prstGeom>
                          <a:noFill/>
                          <a:ln>
                            <a:noFill/>
                          </a:ln>
                        </pic:spPr>
                      </pic:pic>
                    </a:graphicData>
                  </a:graphic>
                </wp:inline>
              </w:drawing>
            </w:r>
          </w:p>
        </w:tc>
        <w:tc>
          <w:tcPr>
            <w:tcW w:w="1191"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4531"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90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07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4532" w:tooltip="&lt;***&gt; Средневзвешенная по выручке на основе данных за весь период анализа.">
              <w:r>
                <w:rPr>
                  <w:sz w:val="20"/>
                  <w:color w:val="0000ff"/>
                </w:rPr>
                <w:t xml:space="preserve">&lt;***&gt;</w:t>
              </w:r>
            </w:hyperlink>
          </w:p>
        </w:tc>
        <w:tc>
          <w:tcPr>
            <w:tcW w:w="850"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1020" w:type="dxa"/>
            <w:vAlign w:val="center"/>
            <w:tcBorders>
              <w:top w:val="single" w:sz="4"/>
              <w:left w:val="nil"/>
              <w:bottom w:val="nil"/>
              <w:right w:val="nil"/>
            </w:tcBorders>
          </w:tcPr>
          <w:p>
            <w:pPr>
              <w:pStyle w:val="0"/>
              <w:jc w:val="center"/>
            </w:pPr>
            <w:hyperlink w:history="0" r:id="rId87"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35.11</w:t>
              </w:r>
            </w:hyperlink>
          </w:p>
        </w:tc>
        <w:tc>
          <w:tcPr>
            <w:tcW w:w="2948" w:type="dxa"/>
            <w:vAlign w:val="center"/>
            <w:tcBorders>
              <w:top w:val="single" w:sz="4"/>
              <w:left w:val="nil"/>
              <w:bottom w:val="nil"/>
              <w:right w:val="nil"/>
            </w:tcBorders>
          </w:tcPr>
          <w:p>
            <w:pPr>
              <w:pStyle w:val="0"/>
              <w:jc w:val="both"/>
            </w:pPr>
            <w:r>
              <w:rPr>
                <w:sz w:val="20"/>
              </w:rPr>
              <w:t xml:space="preserve">Производство электроэнергии</w:t>
            </w:r>
          </w:p>
        </w:tc>
        <w:tc>
          <w:tcPr>
            <w:tcW w:w="1056" w:type="dxa"/>
            <w:vAlign w:val="center"/>
            <w:tcBorders>
              <w:top w:val="single" w:sz="4"/>
              <w:left w:val="nil"/>
              <w:bottom w:val="nil"/>
              <w:right w:val="nil"/>
            </w:tcBorders>
          </w:tcPr>
          <w:p>
            <w:pPr>
              <w:pStyle w:val="0"/>
              <w:jc w:val="center"/>
            </w:pPr>
            <w:r>
              <w:rPr>
                <w:sz w:val="20"/>
              </w:rPr>
              <w:t xml:space="preserve">34,0</w:t>
            </w:r>
          </w:p>
        </w:tc>
        <w:tc>
          <w:tcPr>
            <w:tcW w:w="1191" w:type="dxa"/>
            <w:vAlign w:val="center"/>
            <w:tcBorders>
              <w:top w:val="single" w:sz="4"/>
              <w:left w:val="nil"/>
              <w:bottom w:val="nil"/>
              <w:right w:val="nil"/>
            </w:tcBorders>
          </w:tcPr>
          <w:p>
            <w:pPr>
              <w:pStyle w:val="0"/>
              <w:jc w:val="center"/>
            </w:pPr>
            <w:r>
              <w:rPr>
                <w:sz w:val="20"/>
              </w:rPr>
              <w:t xml:space="preserve">11,6%</w:t>
            </w:r>
          </w:p>
        </w:tc>
        <w:tc>
          <w:tcPr>
            <w:tcW w:w="907" w:type="dxa"/>
            <w:vAlign w:val="center"/>
            <w:tcBorders>
              <w:top w:val="single" w:sz="4"/>
              <w:left w:val="nil"/>
              <w:bottom w:val="nil"/>
              <w:right w:val="single" w:sz="4"/>
            </w:tcBorders>
          </w:tcPr>
          <w:p>
            <w:pPr>
              <w:pStyle w:val="0"/>
              <w:jc w:val="center"/>
            </w:pPr>
            <w:r>
              <w:rPr>
                <w:sz w:val="20"/>
              </w:rPr>
              <w:t xml:space="preserve">7,6%</w:t>
            </w:r>
          </w:p>
        </w:tc>
        <w:tc>
          <w:tcPr>
            <w:tcW w:w="1077" w:type="dxa"/>
            <w:vAlign w:val="center"/>
            <w:tcBorders>
              <w:top w:val="single" w:sz="4"/>
              <w:left w:val="single" w:sz="4"/>
              <w:bottom w:val="nil"/>
              <w:right w:val="nil"/>
            </w:tcBorders>
          </w:tcPr>
          <w:p>
            <w:pPr>
              <w:pStyle w:val="0"/>
              <w:jc w:val="center"/>
            </w:pPr>
            <w:r>
              <w:rPr>
                <w:sz w:val="20"/>
              </w:rPr>
              <w:t xml:space="preserve">20,0%</w:t>
            </w:r>
          </w:p>
        </w:tc>
        <w:tc>
          <w:tcPr>
            <w:tcW w:w="850" w:type="dxa"/>
            <w:vAlign w:val="center"/>
            <w:tcBorders>
              <w:top w:val="single" w:sz="4"/>
              <w:left w:val="nil"/>
              <w:bottom w:val="nil"/>
              <w:right w:val="single" w:sz="4"/>
            </w:tcBorders>
          </w:tcPr>
          <w:p>
            <w:pPr>
              <w:pStyle w:val="0"/>
              <w:jc w:val="center"/>
            </w:pPr>
            <w:r>
              <w:rPr>
                <w:sz w:val="20"/>
              </w:rPr>
              <w:t xml:space="preserve">20,1%</w:t>
            </w:r>
          </w:p>
        </w:tc>
      </w:tr>
      <w:tr>
        <w:tc>
          <w:tcPr>
            <w:tcW w:w="1020" w:type="dxa"/>
            <w:vAlign w:val="center"/>
            <w:tcBorders>
              <w:top w:val="nil"/>
              <w:left w:val="nil"/>
              <w:bottom w:val="nil"/>
              <w:right w:val="nil"/>
            </w:tcBorders>
          </w:tcPr>
          <w:p>
            <w:pPr>
              <w:pStyle w:val="0"/>
              <w:jc w:val="center"/>
            </w:pPr>
            <w:hyperlink w:history="0" r:id="rId8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05.20</w:t>
              </w:r>
            </w:hyperlink>
          </w:p>
        </w:tc>
        <w:tc>
          <w:tcPr>
            <w:tcW w:w="2948" w:type="dxa"/>
            <w:vAlign w:val="center"/>
            <w:tcBorders>
              <w:top w:val="nil"/>
              <w:left w:val="nil"/>
              <w:bottom w:val="nil"/>
              <w:right w:val="nil"/>
            </w:tcBorders>
          </w:tcPr>
          <w:p>
            <w:pPr>
              <w:pStyle w:val="0"/>
              <w:jc w:val="both"/>
            </w:pPr>
            <w:r>
              <w:rPr>
                <w:sz w:val="20"/>
              </w:rPr>
              <w:t xml:space="preserve">Добыча и обогащение бурого угля (лигнита)</w:t>
            </w:r>
          </w:p>
        </w:tc>
        <w:tc>
          <w:tcPr>
            <w:tcW w:w="1056" w:type="dxa"/>
            <w:vAlign w:val="center"/>
            <w:tcBorders>
              <w:top w:val="nil"/>
              <w:left w:val="nil"/>
              <w:bottom w:val="nil"/>
              <w:right w:val="nil"/>
            </w:tcBorders>
          </w:tcPr>
          <w:p>
            <w:pPr>
              <w:pStyle w:val="0"/>
              <w:jc w:val="center"/>
            </w:pPr>
            <w:r>
              <w:rPr>
                <w:sz w:val="20"/>
              </w:rPr>
              <w:t xml:space="preserve">28,0</w:t>
            </w:r>
          </w:p>
        </w:tc>
        <w:tc>
          <w:tcPr>
            <w:tcW w:w="1191" w:type="dxa"/>
            <w:vAlign w:val="center"/>
            <w:tcBorders>
              <w:top w:val="nil"/>
              <w:left w:val="nil"/>
              <w:bottom w:val="nil"/>
              <w:right w:val="nil"/>
            </w:tcBorders>
          </w:tcPr>
          <w:p>
            <w:pPr>
              <w:pStyle w:val="0"/>
              <w:jc w:val="center"/>
            </w:pPr>
            <w:r>
              <w:rPr>
                <w:sz w:val="20"/>
              </w:rPr>
              <w:t xml:space="preserve">16,1%</w:t>
            </w:r>
          </w:p>
        </w:tc>
        <w:tc>
          <w:tcPr>
            <w:tcW w:w="907" w:type="dxa"/>
            <w:vAlign w:val="center"/>
            <w:tcBorders>
              <w:top w:val="nil"/>
              <w:left w:val="nil"/>
              <w:bottom w:val="nil"/>
              <w:right w:val="single" w:sz="4"/>
            </w:tcBorders>
          </w:tcPr>
          <w:p>
            <w:pPr>
              <w:pStyle w:val="0"/>
              <w:jc w:val="center"/>
            </w:pPr>
            <w:r>
              <w:rPr>
                <w:sz w:val="20"/>
              </w:rPr>
              <w:t xml:space="preserve">36,3%</w:t>
            </w:r>
          </w:p>
        </w:tc>
        <w:tc>
          <w:tcPr>
            <w:tcW w:w="1077" w:type="dxa"/>
            <w:vAlign w:val="center"/>
            <w:tcBorders>
              <w:top w:val="nil"/>
              <w:left w:val="single" w:sz="4"/>
              <w:bottom w:val="nil"/>
              <w:right w:val="nil"/>
            </w:tcBorders>
          </w:tcPr>
          <w:p>
            <w:pPr>
              <w:pStyle w:val="0"/>
              <w:jc w:val="center"/>
            </w:pPr>
            <w:r>
              <w:rPr>
                <w:sz w:val="20"/>
              </w:rPr>
              <w:t xml:space="preserve">16,2%</w:t>
            </w:r>
          </w:p>
        </w:tc>
        <w:tc>
          <w:tcPr>
            <w:tcW w:w="850" w:type="dxa"/>
            <w:vAlign w:val="center"/>
            <w:tcBorders>
              <w:top w:val="nil"/>
              <w:left w:val="nil"/>
              <w:bottom w:val="nil"/>
              <w:right w:val="single" w:sz="4"/>
            </w:tcBorders>
          </w:tcPr>
          <w:p>
            <w:pPr>
              <w:pStyle w:val="0"/>
              <w:jc w:val="center"/>
            </w:pPr>
            <w:r>
              <w:rPr>
                <w:sz w:val="20"/>
              </w:rPr>
              <w:t xml:space="preserve">33,1%</w:t>
            </w:r>
          </w:p>
        </w:tc>
      </w:tr>
      <w:tr>
        <w:tc>
          <w:tcPr>
            <w:tcW w:w="1020" w:type="dxa"/>
            <w:vAlign w:val="center"/>
            <w:tcBorders>
              <w:top w:val="nil"/>
              <w:left w:val="nil"/>
              <w:bottom w:val="nil"/>
              <w:right w:val="nil"/>
            </w:tcBorders>
          </w:tcPr>
          <w:p>
            <w:pPr>
              <w:pStyle w:val="0"/>
              <w:jc w:val="center"/>
            </w:pPr>
            <w:hyperlink w:history="0" r:id="rId8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05.10</w:t>
              </w:r>
            </w:hyperlink>
          </w:p>
        </w:tc>
        <w:tc>
          <w:tcPr>
            <w:tcW w:w="2948" w:type="dxa"/>
            <w:vAlign w:val="center"/>
            <w:tcBorders>
              <w:top w:val="nil"/>
              <w:left w:val="nil"/>
              <w:bottom w:val="nil"/>
              <w:right w:val="nil"/>
            </w:tcBorders>
          </w:tcPr>
          <w:p>
            <w:pPr>
              <w:pStyle w:val="0"/>
              <w:jc w:val="both"/>
            </w:pPr>
            <w:r>
              <w:rPr>
                <w:sz w:val="20"/>
              </w:rPr>
              <w:t xml:space="preserve">Добыча и обогащение угля и антрацита</w:t>
            </w:r>
          </w:p>
        </w:tc>
        <w:tc>
          <w:tcPr>
            <w:tcW w:w="1056" w:type="dxa"/>
            <w:vAlign w:val="center"/>
            <w:tcBorders>
              <w:top w:val="nil"/>
              <w:left w:val="nil"/>
              <w:bottom w:val="nil"/>
              <w:right w:val="nil"/>
            </w:tcBorders>
          </w:tcPr>
          <w:p>
            <w:pPr>
              <w:pStyle w:val="0"/>
              <w:jc w:val="center"/>
            </w:pPr>
            <w:r>
              <w:rPr>
                <w:sz w:val="20"/>
              </w:rPr>
              <w:t xml:space="preserve">22,1</w:t>
            </w:r>
          </w:p>
        </w:tc>
        <w:tc>
          <w:tcPr>
            <w:tcW w:w="1191" w:type="dxa"/>
            <w:vAlign w:val="center"/>
            <w:tcBorders>
              <w:top w:val="nil"/>
              <w:left w:val="nil"/>
              <w:bottom w:val="nil"/>
              <w:right w:val="nil"/>
            </w:tcBorders>
          </w:tcPr>
          <w:p>
            <w:pPr>
              <w:pStyle w:val="0"/>
              <w:jc w:val="center"/>
            </w:pPr>
            <w:r>
              <w:rPr>
                <w:sz w:val="20"/>
              </w:rPr>
              <w:t xml:space="preserve">29,9%</w:t>
            </w:r>
          </w:p>
        </w:tc>
        <w:tc>
          <w:tcPr>
            <w:tcW w:w="907" w:type="dxa"/>
            <w:vAlign w:val="center"/>
            <w:tcBorders>
              <w:top w:val="nil"/>
              <w:left w:val="nil"/>
              <w:bottom w:val="nil"/>
              <w:right w:val="single" w:sz="4"/>
            </w:tcBorders>
          </w:tcPr>
          <w:p>
            <w:pPr>
              <w:pStyle w:val="0"/>
              <w:jc w:val="center"/>
            </w:pPr>
            <w:r>
              <w:rPr>
                <w:sz w:val="20"/>
              </w:rPr>
              <w:t xml:space="preserve">37,3%</w:t>
            </w:r>
          </w:p>
        </w:tc>
        <w:tc>
          <w:tcPr>
            <w:tcW w:w="1077" w:type="dxa"/>
            <w:vAlign w:val="center"/>
            <w:tcBorders>
              <w:top w:val="nil"/>
              <w:left w:val="single" w:sz="4"/>
              <w:bottom w:val="nil"/>
              <w:right w:val="nil"/>
            </w:tcBorders>
          </w:tcPr>
          <w:p>
            <w:pPr>
              <w:pStyle w:val="0"/>
              <w:jc w:val="center"/>
            </w:pPr>
            <w:r>
              <w:rPr>
                <w:sz w:val="20"/>
              </w:rPr>
              <w:t xml:space="preserve">22,8%</w:t>
            </w:r>
          </w:p>
        </w:tc>
        <w:tc>
          <w:tcPr>
            <w:tcW w:w="850" w:type="dxa"/>
            <w:vAlign w:val="center"/>
            <w:tcBorders>
              <w:top w:val="nil"/>
              <w:left w:val="nil"/>
              <w:bottom w:val="nil"/>
              <w:right w:val="single" w:sz="4"/>
            </w:tcBorders>
          </w:tcPr>
          <w:p>
            <w:pPr>
              <w:pStyle w:val="0"/>
              <w:jc w:val="center"/>
            </w:pPr>
            <w:r>
              <w:rPr>
                <w:sz w:val="20"/>
              </w:rPr>
              <w:t xml:space="preserve">35,7%</w:t>
            </w:r>
          </w:p>
        </w:tc>
      </w:tr>
      <w:tr>
        <w:tc>
          <w:tcPr>
            <w:tcW w:w="1020" w:type="dxa"/>
            <w:vAlign w:val="center"/>
            <w:tcBorders>
              <w:top w:val="nil"/>
              <w:left w:val="nil"/>
              <w:bottom w:val="nil"/>
              <w:right w:val="nil"/>
            </w:tcBorders>
          </w:tcPr>
          <w:p>
            <w:pPr>
              <w:pStyle w:val="0"/>
              <w:jc w:val="center"/>
            </w:pPr>
            <w:hyperlink w:history="0" r:id="rId9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10.73</w:t>
              </w:r>
            </w:hyperlink>
          </w:p>
        </w:tc>
        <w:tc>
          <w:tcPr>
            <w:tcW w:w="2948" w:type="dxa"/>
            <w:vAlign w:val="center"/>
            <w:tcBorders>
              <w:top w:val="nil"/>
              <w:left w:val="nil"/>
              <w:bottom w:val="nil"/>
              <w:right w:val="nil"/>
            </w:tcBorders>
          </w:tcPr>
          <w:p>
            <w:pPr>
              <w:pStyle w:val="0"/>
              <w:jc w:val="both"/>
            </w:pPr>
            <w:r>
              <w:rPr>
                <w:sz w:val="20"/>
              </w:rPr>
              <w:t xml:space="preserve">Производство макаронных изделий кускуса и аналогичных мучных изделий</w:t>
            </w:r>
          </w:p>
        </w:tc>
        <w:tc>
          <w:tcPr>
            <w:tcW w:w="1056" w:type="dxa"/>
            <w:vAlign w:val="center"/>
            <w:tcBorders>
              <w:top w:val="nil"/>
              <w:left w:val="nil"/>
              <w:bottom w:val="nil"/>
              <w:right w:val="nil"/>
            </w:tcBorders>
          </w:tcPr>
          <w:p>
            <w:pPr>
              <w:pStyle w:val="0"/>
              <w:jc w:val="center"/>
            </w:pPr>
            <w:r>
              <w:rPr>
                <w:sz w:val="20"/>
              </w:rPr>
              <w:t xml:space="preserve">17,9</w:t>
            </w:r>
          </w:p>
        </w:tc>
        <w:tc>
          <w:tcPr>
            <w:tcW w:w="1191" w:type="dxa"/>
            <w:vAlign w:val="center"/>
            <w:tcBorders>
              <w:top w:val="nil"/>
              <w:left w:val="nil"/>
              <w:bottom w:val="nil"/>
              <w:right w:val="nil"/>
            </w:tcBorders>
          </w:tcPr>
          <w:p>
            <w:pPr>
              <w:pStyle w:val="0"/>
              <w:jc w:val="center"/>
            </w:pPr>
            <w:r>
              <w:rPr>
                <w:sz w:val="20"/>
              </w:rPr>
              <w:t xml:space="preserve">16,1%</w:t>
            </w:r>
          </w:p>
        </w:tc>
        <w:tc>
          <w:tcPr>
            <w:tcW w:w="907" w:type="dxa"/>
            <w:vAlign w:val="center"/>
            <w:tcBorders>
              <w:top w:val="nil"/>
              <w:left w:val="nil"/>
              <w:bottom w:val="nil"/>
              <w:right w:val="single" w:sz="4"/>
            </w:tcBorders>
          </w:tcPr>
          <w:p>
            <w:pPr>
              <w:pStyle w:val="0"/>
              <w:jc w:val="center"/>
            </w:pPr>
            <w:r>
              <w:rPr>
                <w:sz w:val="20"/>
              </w:rPr>
              <w:t xml:space="preserve">41,1%</w:t>
            </w:r>
          </w:p>
        </w:tc>
        <w:tc>
          <w:tcPr>
            <w:tcW w:w="1077" w:type="dxa"/>
            <w:vAlign w:val="center"/>
            <w:tcBorders>
              <w:top w:val="nil"/>
              <w:left w:val="single" w:sz="4"/>
              <w:bottom w:val="nil"/>
              <w:right w:val="nil"/>
            </w:tcBorders>
          </w:tcPr>
          <w:p>
            <w:pPr>
              <w:pStyle w:val="0"/>
              <w:jc w:val="center"/>
            </w:pPr>
            <w:r>
              <w:rPr>
                <w:sz w:val="20"/>
              </w:rPr>
              <w:t xml:space="preserve">11,0%</w:t>
            </w:r>
          </w:p>
        </w:tc>
        <w:tc>
          <w:tcPr>
            <w:tcW w:w="850" w:type="dxa"/>
            <w:vAlign w:val="center"/>
            <w:tcBorders>
              <w:top w:val="nil"/>
              <w:left w:val="nil"/>
              <w:bottom w:val="nil"/>
              <w:right w:val="single" w:sz="4"/>
            </w:tcBorders>
          </w:tcPr>
          <w:p>
            <w:pPr>
              <w:pStyle w:val="0"/>
              <w:jc w:val="center"/>
            </w:pPr>
            <w:r>
              <w:rPr>
                <w:sz w:val="20"/>
              </w:rPr>
              <w:t xml:space="preserve">23,2%</w:t>
            </w:r>
          </w:p>
        </w:tc>
      </w:tr>
      <w:tr>
        <w:tc>
          <w:tcPr>
            <w:tcW w:w="1020" w:type="dxa"/>
            <w:vAlign w:val="center"/>
            <w:tcBorders>
              <w:top w:val="nil"/>
              <w:left w:val="nil"/>
              <w:bottom w:val="single" w:sz="4"/>
              <w:right w:val="nil"/>
            </w:tcBorders>
          </w:tcPr>
          <w:p>
            <w:pPr>
              <w:pStyle w:val="0"/>
              <w:jc w:val="center"/>
            </w:pPr>
            <w:hyperlink w:history="0" r:id="rId9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21.20</w:t>
              </w:r>
            </w:hyperlink>
          </w:p>
        </w:tc>
        <w:tc>
          <w:tcPr>
            <w:tcW w:w="2948" w:type="dxa"/>
            <w:vAlign w:val="center"/>
            <w:tcBorders>
              <w:top w:val="nil"/>
              <w:left w:val="nil"/>
              <w:bottom w:val="single" w:sz="4"/>
              <w:right w:val="nil"/>
            </w:tcBorders>
          </w:tcPr>
          <w:p>
            <w:pPr>
              <w:pStyle w:val="0"/>
              <w:jc w:val="both"/>
            </w:pPr>
            <w:r>
              <w:rPr>
                <w:sz w:val="20"/>
              </w:rPr>
              <w:t xml:space="preserve">Производство лекарственных препаратов и материалов, применяемых в медицинских целях</w:t>
            </w:r>
          </w:p>
        </w:tc>
        <w:tc>
          <w:tcPr>
            <w:tcW w:w="1056" w:type="dxa"/>
            <w:vAlign w:val="center"/>
            <w:tcBorders>
              <w:top w:val="nil"/>
              <w:left w:val="nil"/>
              <w:bottom w:val="single" w:sz="4"/>
              <w:right w:val="nil"/>
            </w:tcBorders>
          </w:tcPr>
          <w:p>
            <w:pPr>
              <w:pStyle w:val="0"/>
              <w:jc w:val="center"/>
            </w:pPr>
            <w:r>
              <w:rPr>
                <w:sz w:val="20"/>
              </w:rPr>
              <w:t xml:space="preserve">13,4</w:t>
            </w:r>
          </w:p>
        </w:tc>
        <w:tc>
          <w:tcPr>
            <w:tcW w:w="1191" w:type="dxa"/>
            <w:vAlign w:val="center"/>
            <w:tcBorders>
              <w:top w:val="nil"/>
              <w:left w:val="nil"/>
              <w:bottom w:val="single" w:sz="4"/>
              <w:right w:val="nil"/>
            </w:tcBorders>
          </w:tcPr>
          <w:p>
            <w:pPr>
              <w:pStyle w:val="0"/>
              <w:jc w:val="center"/>
            </w:pPr>
            <w:r>
              <w:rPr>
                <w:sz w:val="20"/>
              </w:rPr>
              <w:t xml:space="preserve">15,1%</w:t>
            </w:r>
          </w:p>
        </w:tc>
        <w:tc>
          <w:tcPr>
            <w:tcW w:w="907" w:type="dxa"/>
            <w:vAlign w:val="center"/>
            <w:tcBorders>
              <w:top w:val="nil"/>
              <w:left w:val="nil"/>
              <w:bottom w:val="single" w:sz="4"/>
              <w:right w:val="single" w:sz="4"/>
            </w:tcBorders>
          </w:tcPr>
          <w:p>
            <w:pPr>
              <w:pStyle w:val="0"/>
              <w:jc w:val="center"/>
            </w:pPr>
            <w:r>
              <w:rPr>
                <w:sz w:val="20"/>
              </w:rPr>
              <w:t xml:space="preserve">15,4%</w:t>
            </w:r>
          </w:p>
        </w:tc>
        <w:tc>
          <w:tcPr>
            <w:tcW w:w="1077" w:type="dxa"/>
            <w:vAlign w:val="center"/>
            <w:tcBorders>
              <w:top w:val="nil"/>
              <w:left w:val="single" w:sz="4"/>
              <w:bottom w:val="single" w:sz="4"/>
              <w:right w:val="nil"/>
            </w:tcBorders>
          </w:tcPr>
          <w:p>
            <w:pPr>
              <w:pStyle w:val="0"/>
              <w:jc w:val="center"/>
            </w:pPr>
            <w:r>
              <w:rPr>
                <w:sz w:val="20"/>
              </w:rPr>
              <w:t xml:space="preserve">12,4%</w:t>
            </w:r>
          </w:p>
        </w:tc>
        <w:tc>
          <w:tcPr>
            <w:tcW w:w="850" w:type="dxa"/>
            <w:vAlign w:val="center"/>
            <w:tcBorders>
              <w:top w:val="nil"/>
              <w:left w:val="nil"/>
              <w:bottom w:val="single" w:sz="4"/>
              <w:right w:val="single" w:sz="4"/>
            </w:tcBorders>
          </w:tcPr>
          <w:p>
            <w:pPr>
              <w:pStyle w:val="0"/>
              <w:jc w:val="center"/>
            </w:pPr>
            <w:r>
              <w:rPr>
                <w:sz w:val="20"/>
              </w:rPr>
              <w:t xml:space="preserve">15,0%</w:t>
            </w:r>
          </w:p>
        </w:tc>
      </w:tr>
    </w:tbl>
    <w:p>
      <w:pPr>
        <w:pStyle w:val="0"/>
        <w:jc w:val="both"/>
      </w:pPr>
      <w:r>
        <w:rPr>
          <w:sz w:val="20"/>
        </w:rPr>
      </w:r>
    </w:p>
    <w:p>
      <w:pPr>
        <w:pStyle w:val="0"/>
        <w:ind w:firstLine="540"/>
        <w:jc w:val="both"/>
      </w:pPr>
      <w:r>
        <w:rPr>
          <w:sz w:val="20"/>
        </w:rPr>
        <w:t xml:space="preserve">--------------------------------</w:t>
      </w:r>
    </w:p>
    <w:bookmarkStart w:id="4530" w:name="P4530"/>
    <w:bookmarkEnd w:id="4530"/>
    <w:p>
      <w:pPr>
        <w:pStyle w:val="0"/>
        <w:spacing w:before="200" w:line-rule="auto"/>
        <w:ind w:firstLine="540"/>
        <w:jc w:val="both"/>
      </w:pPr>
      <w:r>
        <w:rPr>
          <w:sz w:val="20"/>
        </w:rPr>
        <w:t xml:space="preserve">&lt;*&gt; Сумма средних значений выручки в рамках отрасли по всем участникам за период анализа.</w:t>
      </w:r>
    </w:p>
    <w:bookmarkStart w:id="4531" w:name="P4531"/>
    <w:bookmarkEnd w:id="4531"/>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4532" w:name="P4532"/>
    <w:bookmarkEnd w:id="4532"/>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Таким образом, режим РИП вне ДФО требует "донастройки", например, для новых резидентов в части ограничения видов деятельности, которые могут пользоваться налоговыми льготами и неналоговыми мерами поддержки.</w:t>
      </w:r>
    </w:p>
    <w:p>
      <w:pPr>
        <w:pStyle w:val="0"/>
        <w:jc w:val="both"/>
      </w:pPr>
      <w:r>
        <w:rPr>
          <w:sz w:val="20"/>
        </w:rPr>
      </w:r>
    </w:p>
    <w:p>
      <w:pPr>
        <w:pStyle w:val="2"/>
        <w:outlineLvl w:val="1"/>
        <w:ind w:firstLine="540"/>
        <w:jc w:val="both"/>
      </w:pPr>
      <w:r>
        <w:rPr>
          <w:sz w:val="20"/>
        </w:rPr>
        <w:t xml:space="preserve">Особые экономические зоны (ОЭЗ)</w:t>
      </w:r>
    </w:p>
    <w:p>
      <w:pPr>
        <w:pStyle w:val="0"/>
        <w:jc w:val="both"/>
      </w:pPr>
      <w:r>
        <w:rPr>
          <w:sz w:val="20"/>
        </w:rPr>
      </w:r>
    </w:p>
    <w:p>
      <w:pPr>
        <w:pStyle w:val="0"/>
        <w:ind w:firstLine="540"/>
        <w:jc w:val="both"/>
      </w:pPr>
      <w:r>
        <w:rPr>
          <w:sz w:val="20"/>
        </w:rPr>
        <w:t xml:space="preserve">Таблица 9.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8"/>
        <w:gridCol w:w="6278"/>
      </w:tblGrid>
      <w:tr>
        <w:tblPrEx>
          <w:tblBorders>
            <w:insideH w:val="single" w:sz="4"/>
          </w:tblBorders>
        </w:tblPrEx>
        <w:tc>
          <w:tcPr>
            <w:tcW w:w="2778" w:type="dxa"/>
            <w:tcBorders>
              <w:top w:val="single" w:sz="4"/>
              <w:left w:val="nil"/>
              <w:bottom w:val="single" w:sz="4"/>
              <w:right w:val="nil"/>
            </w:tcBorders>
          </w:tcPr>
          <w:p>
            <w:pPr>
              <w:pStyle w:val="0"/>
              <w:jc w:val="center"/>
            </w:pPr>
            <w:r>
              <w:rPr>
                <w:sz w:val="20"/>
              </w:rPr>
              <w:t xml:space="preserve">Показатель</w:t>
            </w:r>
          </w:p>
        </w:tc>
        <w:tc>
          <w:tcPr>
            <w:tcW w:w="6278" w:type="dxa"/>
            <w:tcBorders>
              <w:top w:val="single" w:sz="4"/>
              <w:left w:val="nil"/>
              <w:bottom w:val="single" w:sz="4"/>
              <w:right w:val="nil"/>
            </w:tcBorders>
          </w:tcPr>
          <w:p>
            <w:pPr>
              <w:pStyle w:val="0"/>
              <w:jc w:val="center"/>
            </w:pPr>
            <w:r>
              <w:rPr>
                <w:sz w:val="20"/>
              </w:rPr>
              <w:t xml:space="preserve">Описание</w:t>
            </w:r>
          </w:p>
        </w:tc>
      </w:tr>
      <w:tr>
        <w:tc>
          <w:tcPr>
            <w:tcW w:w="2778" w:type="dxa"/>
            <w:vAlign w:val="center"/>
            <w:tcBorders>
              <w:top w:val="single" w:sz="4"/>
              <w:left w:val="nil"/>
              <w:bottom w:val="nil"/>
              <w:right w:val="nil"/>
            </w:tcBorders>
          </w:tcPr>
          <w:p>
            <w:pPr>
              <w:pStyle w:val="0"/>
              <w:jc w:val="both"/>
            </w:pPr>
            <w:r>
              <w:rPr>
                <w:sz w:val="20"/>
              </w:rPr>
              <w:t xml:space="preserve">Срок действия режима</w:t>
            </w:r>
          </w:p>
        </w:tc>
        <w:tc>
          <w:tcPr>
            <w:tcW w:w="6278" w:type="dxa"/>
            <w:vAlign w:val="center"/>
            <w:tcBorders>
              <w:top w:val="single" w:sz="4"/>
              <w:left w:val="nil"/>
              <w:bottom w:val="nil"/>
              <w:right w:val="nil"/>
            </w:tcBorders>
          </w:tcPr>
          <w:p>
            <w:pPr>
              <w:pStyle w:val="0"/>
              <w:jc w:val="both"/>
            </w:pPr>
            <w:r>
              <w:rPr>
                <w:sz w:val="20"/>
              </w:rPr>
              <w:t xml:space="preserve">Действует с 22.08.2005. ОЭЗ создаются на 49 лет. Срок существования ОЭЗ продлению не подлежит.</w:t>
            </w:r>
          </w:p>
        </w:tc>
      </w:tr>
      <w:tr>
        <w:tc>
          <w:tcPr>
            <w:tcW w:w="2778" w:type="dxa"/>
            <w:vAlign w:val="center"/>
            <w:tcBorders>
              <w:top w:val="nil"/>
              <w:left w:val="nil"/>
              <w:bottom w:val="nil"/>
              <w:right w:val="nil"/>
            </w:tcBorders>
          </w:tcPr>
          <w:p>
            <w:pPr>
              <w:pStyle w:val="0"/>
              <w:jc w:val="both"/>
            </w:pPr>
            <w:r>
              <w:rPr>
                <w:sz w:val="20"/>
              </w:rPr>
              <w:t xml:space="preserve">Налоговые льготы режима</w:t>
            </w:r>
          </w:p>
        </w:tc>
        <w:tc>
          <w:tcPr>
            <w:tcW w:w="6278" w:type="dxa"/>
            <w:vAlign w:val="center"/>
            <w:tcBorders>
              <w:top w:val="nil"/>
              <w:left w:val="nil"/>
              <w:bottom w:val="nil"/>
              <w:right w:val="nil"/>
            </w:tcBorders>
          </w:tcPr>
          <w:p>
            <w:pPr>
              <w:pStyle w:val="0"/>
              <w:jc w:val="both"/>
            </w:pPr>
            <w:r>
              <w:rPr>
                <w:sz w:val="20"/>
              </w:rPr>
              <w:t xml:space="preserve">- пониженные ставки по налогу на прибыль в ФБ и РБ (в соответствии с законами субъектов РФ),</w:t>
            </w:r>
          </w:p>
          <w:p>
            <w:pPr>
              <w:pStyle w:val="0"/>
              <w:jc w:val="both"/>
            </w:pPr>
            <w:r>
              <w:rPr>
                <w:sz w:val="20"/>
              </w:rPr>
              <w:t xml:space="preserve">- освобождение от уплаты налога на имущество,</w:t>
            </w:r>
          </w:p>
          <w:p>
            <w:pPr>
              <w:pStyle w:val="0"/>
              <w:jc w:val="both"/>
            </w:pPr>
            <w:r>
              <w:rPr>
                <w:sz w:val="20"/>
              </w:rPr>
              <w:t xml:space="preserve">- освобождение от уплаты земельного налога,</w:t>
            </w:r>
          </w:p>
          <w:p>
            <w:pPr>
              <w:pStyle w:val="0"/>
              <w:jc w:val="both"/>
            </w:pPr>
            <w:r>
              <w:rPr>
                <w:sz w:val="20"/>
              </w:rPr>
              <w:t xml:space="preserve">- пониженные тарифы страховых взносов.</w:t>
            </w:r>
          </w:p>
        </w:tc>
      </w:tr>
      <w:tr>
        <w:tc>
          <w:tcPr>
            <w:tcW w:w="2778" w:type="dxa"/>
            <w:vAlign w:val="center"/>
            <w:tcBorders>
              <w:top w:val="nil"/>
              <w:left w:val="nil"/>
              <w:bottom w:val="nil"/>
              <w:right w:val="nil"/>
            </w:tcBorders>
          </w:tcPr>
          <w:p>
            <w:pPr>
              <w:pStyle w:val="0"/>
              <w:jc w:val="both"/>
            </w:pPr>
            <w:r>
              <w:rPr>
                <w:sz w:val="20"/>
              </w:rPr>
              <w:t xml:space="preserve">Количество отраслей в режиме</w:t>
            </w:r>
          </w:p>
        </w:tc>
        <w:tc>
          <w:tcPr>
            <w:tcW w:w="6278" w:type="dxa"/>
            <w:vAlign w:val="center"/>
            <w:tcBorders>
              <w:top w:val="nil"/>
              <w:left w:val="nil"/>
              <w:bottom w:val="nil"/>
              <w:right w:val="nil"/>
            </w:tcBorders>
          </w:tcPr>
          <w:p>
            <w:pPr>
              <w:pStyle w:val="0"/>
              <w:jc w:val="both"/>
            </w:pPr>
            <w:r>
              <w:rPr>
                <w:sz w:val="20"/>
              </w:rPr>
              <w:t xml:space="preserve">194</w:t>
            </w:r>
          </w:p>
        </w:tc>
      </w:tr>
      <w:tr>
        <w:tc>
          <w:tcPr>
            <w:tcW w:w="2778" w:type="dxa"/>
            <w:vAlign w:val="center"/>
            <w:tcBorders>
              <w:top w:val="nil"/>
              <w:left w:val="nil"/>
              <w:bottom w:val="single" w:sz="4"/>
              <w:right w:val="nil"/>
            </w:tcBorders>
          </w:tcPr>
          <w:p>
            <w:pPr>
              <w:pStyle w:val="0"/>
              <w:jc w:val="both"/>
            </w:pPr>
            <w:r>
              <w:rPr>
                <w:sz w:val="20"/>
              </w:rPr>
              <w:t xml:space="preserve">Наличие обязательств</w:t>
            </w:r>
          </w:p>
        </w:tc>
        <w:tc>
          <w:tcPr>
            <w:tcW w:w="6278" w:type="dxa"/>
            <w:vAlign w:val="center"/>
            <w:tcBorders>
              <w:top w:val="nil"/>
              <w:left w:val="nil"/>
              <w:bottom w:val="single" w:sz="4"/>
              <w:right w:val="nil"/>
            </w:tcBorders>
          </w:tcPr>
          <w:p>
            <w:pPr>
              <w:pStyle w:val="0"/>
              <w:jc w:val="both"/>
            </w:pPr>
            <w:r>
              <w:rPr>
                <w:sz w:val="20"/>
              </w:rPr>
              <w:t xml:space="preserve">Да (объем капитальных вложений от 120 млн руб., из которых не менее 40 млн руб. в течение 3 лет со дня заключения соглашения).</w:t>
            </w:r>
          </w:p>
        </w:tc>
      </w:tr>
    </w:tbl>
    <w:p>
      <w:pPr>
        <w:pStyle w:val="0"/>
        <w:jc w:val="both"/>
      </w:pPr>
      <w:r>
        <w:rPr>
          <w:sz w:val="20"/>
        </w:rPr>
      </w:r>
    </w:p>
    <w:p>
      <w:pPr>
        <w:pStyle w:val="0"/>
        <w:ind w:firstLine="540"/>
        <w:jc w:val="both"/>
      </w:pPr>
      <w:r>
        <w:rPr>
          <w:sz w:val="20"/>
        </w:rPr>
        <w:t xml:space="preserve">За период анализа (2017 - 2022 годы) общее количество резидентов &lt;12&gt; ОЭЗ составило 1361 (без учета ОЭЗ туристско-рекреационного типа), из которых в периметр анализа на базе АС "Эффективность льгот" вошли 849 &lt;13&gt; резидентов.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Количество резидентов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&lt;13&gt; Прочие резиденты не вошли в анализ по причине отсутствия налоговых деклараций или бухгалтерской отчетности (137 резидентов), или нулевого значения показателя выручки (375 резидентов).</w:t>
      </w:r>
    </w:p>
    <w:p>
      <w:pPr>
        <w:pStyle w:val="0"/>
        <w:jc w:val="both"/>
      </w:pPr>
      <w:r>
        <w:rPr>
          <w:sz w:val="20"/>
        </w:rPr>
      </w:r>
    </w:p>
    <w:p>
      <w:pPr>
        <w:pStyle w:val="0"/>
        <w:jc w:val="center"/>
      </w:pPr>
      <w:r>
        <w:rPr>
          <w:position w:val="-102"/>
        </w:rPr>
        <w:drawing>
          <wp:inline distT="0" distB="0" distL="0" distR="0">
            <wp:extent cx="5028565" cy="142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028565" cy="1426210"/>
                    </a:xfrm>
                    <a:prstGeom prst="rect">
                      <a:avLst/>
                    </a:prstGeom>
                    <a:noFill/>
                    <a:ln>
                      <a:noFill/>
                    </a:ln>
                  </pic:spPr>
                </pic:pic>
              </a:graphicData>
            </a:graphic>
          </wp:inline>
        </w:drawing>
      </w:r>
    </w:p>
    <w:p>
      <w:pPr>
        <w:pStyle w:val="0"/>
        <w:jc w:val="both"/>
      </w:pPr>
      <w:r>
        <w:rPr>
          <w:sz w:val="20"/>
        </w:rPr>
      </w:r>
    </w:p>
    <w:p>
      <w:pPr>
        <w:pStyle w:val="0"/>
        <w:jc w:val="center"/>
      </w:pPr>
      <w:r>
        <w:rPr>
          <w:position w:val="-114"/>
        </w:rPr>
        <w:drawing>
          <wp:inline distT="0" distB="0" distL="0" distR="0">
            <wp:extent cx="5033645" cy="157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033645" cy="15773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выручки резидентов ОЭЗ, вошедших в периметр анализа, с 2017 года по 2022 год вырос в 2,6 раза, количество резидентов - в 1,4 раза, величина капитальных вложений - в 1,9 раза, численность сотрудников - в 2,0 раза. При этом в 2022 году несмотря на рост числа резидентов и увеличение численности сотрудников на 15,3% по сравнению с 2021 годом, совокупный объем капитальных вложений за аналогичный период снизился на 4,0%.</w:t>
      </w:r>
    </w:p>
    <w:p>
      <w:pPr>
        <w:pStyle w:val="0"/>
        <w:spacing w:before="200" w:line-rule="auto"/>
        <w:ind w:firstLine="540"/>
        <w:jc w:val="both"/>
      </w:pPr>
      <w:r>
        <w:rPr>
          <w:sz w:val="20"/>
        </w:rPr>
        <w:t xml:space="preserve">С 2017 года по 2022 год общая величина выпадающих доходов бюджетов бюджетной системы Российской Федерации (по резидентам ИНЛ, вошедшим в периметр анализа) увеличилась с 10 млрд руб. до 31 млрд руб. (в 3,0 раза), в том числе с 6 млрд руб. до 16 млрд руб. (в 2,6 раза) по налоговым льготам и с 4 млрд руб. до 15 млрд руб. по неналоговым мерам поддержки (в 3,5 раз). Таким образом, за 2022 год доля налоговых льгот и неналоговых мер поддержки в общей величине выпадающих доходов бюджетов бюджетной системы Российской Федерации для резидентов данной ИНЛ, вошедших в периметр анализа, составляла 52,5% и 47,5% соответственно.</w:t>
      </w:r>
    </w:p>
    <w:p>
      <w:pPr>
        <w:pStyle w:val="0"/>
        <w:spacing w:before="200" w:line-rule="auto"/>
        <w:ind w:firstLine="540"/>
        <w:jc w:val="both"/>
      </w:pPr>
      <w:r>
        <w:rPr>
          <w:sz w:val="20"/>
        </w:rPr>
        <w:t xml:space="preserve">В ТОП-3 отраслей по объему выручки за период анализа вошли отрасли по производству лекарственных препаратов и материалов (13,3%), производству элементов электронной аппаратуры (6,4%), а также производству автотранспортных средств (6,3%).</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выросла по сравнению с анализом за прошлый год с 35,4% до 42,7%. При дальнейшей отраслевой дифференциации выявлены отрасли (всего 60 </w:t>
      </w:r>
      <w:hyperlink w:history="0" r:id="rId94"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с наиболее прибыльными компаниями, применяющими режим.</w:t>
      </w:r>
    </w:p>
    <w:p>
      <w:pPr>
        <w:pStyle w:val="0"/>
        <w:jc w:val="both"/>
      </w:pPr>
      <w:r>
        <w:rPr>
          <w:sz w:val="20"/>
        </w:rPr>
      </w:r>
    </w:p>
    <w:p>
      <w:pPr>
        <w:pStyle w:val="0"/>
        <w:ind w:firstLine="540"/>
        <w:jc w:val="both"/>
      </w:pPr>
      <w:r>
        <w:rPr>
          <w:sz w:val="20"/>
        </w:rPr>
        <w:t xml:space="preserve">Таблица 10. ТОП-5 по выручке отраслей, в которых выявлена сверхдоходность или низкая инвестиционная активность</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907"/>
        <w:gridCol w:w="1927"/>
        <w:gridCol w:w="1247"/>
        <w:gridCol w:w="1247"/>
        <w:gridCol w:w="1247"/>
        <w:gridCol w:w="1247"/>
        <w:gridCol w:w="1247"/>
      </w:tblGrid>
      <w:tr>
        <w:tblPrEx>
          <w:tblBorders>
            <w:insideH w:val="single" w:sz="4"/>
          </w:tblBorders>
        </w:tblPrEx>
        <w:tc>
          <w:tcPr>
            <w:tcW w:w="907" w:type="dxa"/>
            <w:tcBorders>
              <w:top w:val="single" w:sz="4"/>
              <w:left w:val="nil"/>
              <w:bottom w:val="single" w:sz="4"/>
              <w:right w:val="nil"/>
            </w:tcBorders>
          </w:tcPr>
          <w:p>
            <w:pPr>
              <w:pStyle w:val="0"/>
              <w:jc w:val="center"/>
            </w:pPr>
            <w:hyperlink w:history="0" r:id="rId95"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1927" w:type="dxa"/>
            <w:tcBorders>
              <w:top w:val="single" w:sz="4"/>
              <w:left w:val="nil"/>
              <w:bottom w:val="single" w:sz="4"/>
              <w:right w:val="nil"/>
            </w:tcBorders>
          </w:tcPr>
          <w:p>
            <w:pPr>
              <w:pStyle w:val="0"/>
              <w:jc w:val="center"/>
            </w:pPr>
            <w:r>
              <w:rPr>
                <w:sz w:val="20"/>
              </w:rPr>
              <w:t xml:space="preserve">Наименование отрасли</w:t>
            </w:r>
          </w:p>
        </w:tc>
        <w:tc>
          <w:tcPr>
            <w:tcW w:w="1247" w:type="dxa"/>
            <w:tcBorders>
              <w:top w:val="single" w:sz="4"/>
              <w:left w:val="nil"/>
              <w:bottom w:val="single" w:sz="4"/>
              <w:right w:val="nil"/>
            </w:tcBorders>
          </w:tcPr>
          <w:p>
            <w:pPr>
              <w:pStyle w:val="0"/>
              <w:jc w:val="center"/>
            </w:pPr>
            <w:r>
              <w:rPr>
                <w:sz w:val="20"/>
              </w:rPr>
              <w:t xml:space="preserve">Выручка по отрасли </w:t>
            </w:r>
            <w:hyperlink w:history="0" w:anchor="P4614" w:tooltip="&lt;*&gt; сумма средних значений выручки в рамках отрасли по всем резидентам за период анализа">
              <w:r>
                <w:rPr>
                  <w:sz w:val="20"/>
                  <w:color w:val="0000ff"/>
                </w:rPr>
                <w:t xml:space="preserve">&lt;*&gt;</w:t>
              </w:r>
            </w:hyperlink>
            <w:r>
              <w:rPr>
                <w:sz w:val="20"/>
              </w:rPr>
              <w:t xml:space="preserve"> млрд </w:t>
            </w:r>
            <w:r>
              <w:rPr>
                <w:position w:val="-6"/>
              </w:rPr>
              <w:drawing>
                <wp:inline distT="0" distB="0" distL="0" distR="0">
                  <wp:extent cx="14351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 cy="215265"/>
                          </a:xfrm>
                          <a:prstGeom prst="rect">
                            <a:avLst/>
                          </a:prstGeom>
                          <a:noFill/>
                          <a:ln>
                            <a:noFill/>
                          </a:ln>
                        </pic:spPr>
                      </pic:pic>
                    </a:graphicData>
                  </a:graphic>
                </wp:inline>
              </w:drawing>
            </w:r>
          </w:p>
        </w:tc>
        <w:tc>
          <w:tcPr>
            <w:tcW w:w="1247"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4615"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24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4616" w:tooltip="&lt;***&gt; средневзвешенная по выручке на основе данных за весь период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907" w:type="dxa"/>
            <w:vAlign w:val="center"/>
            <w:tcBorders>
              <w:top w:val="single" w:sz="4"/>
              <w:left w:val="nil"/>
              <w:bottom w:val="nil"/>
              <w:right w:val="nil"/>
            </w:tcBorders>
          </w:tcPr>
          <w:p>
            <w:pPr>
              <w:pStyle w:val="0"/>
              <w:jc w:val="center"/>
            </w:pPr>
            <w:hyperlink w:history="0" r:id="rId97"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21.20</w:t>
              </w:r>
            </w:hyperlink>
          </w:p>
        </w:tc>
        <w:tc>
          <w:tcPr>
            <w:tcW w:w="1927" w:type="dxa"/>
            <w:vAlign w:val="center"/>
            <w:tcBorders>
              <w:top w:val="single" w:sz="4"/>
              <w:left w:val="nil"/>
              <w:bottom w:val="nil"/>
              <w:right w:val="nil"/>
            </w:tcBorders>
          </w:tcPr>
          <w:p>
            <w:pPr>
              <w:pStyle w:val="0"/>
            </w:pPr>
            <w:r>
              <w:rPr>
                <w:sz w:val="20"/>
              </w:rPr>
              <w:t xml:space="preserve">Производство лекарственных препаратов и материалов, применяемых в медицинских целях</w:t>
            </w:r>
          </w:p>
        </w:tc>
        <w:tc>
          <w:tcPr>
            <w:tcW w:w="1247" w:type="dxa"/>
            <w:vAlign w:val="center"/>
            <w:tcBorders>
              <w:top w:val="single" w:sz="4"/>
              <w:left w:val="nil"/>
              <w:bottom w:val="nil"/>
              <w:right w:val="nil"/>
            </w:tcBorders>
          </w:tcPr>
          <w:p>
            <w:pPr>
              <w:pStyle w:val="0"/>
              <w:jc w:val="center"/>
            </w:pPr>
            <w:r>
              <w:rPr>
                <w:sz w:val="20"/>
              </w:rPr>
              <w:t xml:space="preserve">69,1</w:t>
            </w:r>
          </w:p>
        </w:tc>
        <w:tc>
          <w:tcPr>
            <w:tcW w:w="1247" w:type="dxa"/>
            <w:vAlign w:val="center"/>
            <w:tcBorders>
              <w:top w:val="single" w:sz="4"/>
              <w:left w:val="nil"/>
              <w:bottom w:val="nil"/>
              <w:right w:val="nil"/>
            </w:tcBorders>
          </w:tcPr>
          <w:p>
            <w:pPr>
              <w:pStyle w:val="0"/>
              <w:jc w:val="center"/>
            </w:pPr>
            <w:r>
              <w:rPr>
                <w:sz w:val="20"/>
              </w:rPr>
              <w:t xml:space="preserve">33,8%</w:t>
            </w:r>
          </w:p>
        </w:tc>
        <w:tc>
          <w:tcPr>
            <w:tcW w:w="1247" w:type="dxa"/>
            <w:vAlign w:val="center"/>
            <w:tcBorders>
              <w:top w:val="single" w:sz="4"/>
              <w:left w:val="nil"/>
              <w:bottom w:val="nil"/>
              <w:right w:val="single" w:sz="4"/>
            </w:tcBorders>
          </w:tcPr>
          <w:p>
            <w:pPr>
              <w:pStyle w:val="0"/>
              <w:jc w:val="center"/>
            </w:pPr>
            <w:r>
              <w:rPr>
                <w:sz w:val="20"/>
              </w:rPr>
              <w:t xml:space="preserve">25,6%</w:t>
            </w:r>
          </w:p>
        </w:tc>
        <w:tc>
          <w:tcPr>
            <w:tcW w:w="1247" w:type="dxa"/>
            <w:vAlign w:val="center"/>
            <w:tcBorders>
              <w:top w:val="single" w:sz="4"/>
              <w:left w:val="single" w:sz="4"/>
              <w:bottom w:val="nil"/>
              <w:right w:val="nil"/>
            </w:tcBorders>
          </w:tcPr>
          <w:p>
            <w:pPr>
              <w:pStyle w:val="0"/>
              <w:jc w:val="center"/>
            </w:pPr>
            <w:r>
              <w:rPr>
                <w:sz w:val="20"/>
              </w:rPr>
              <w:t xml:space="preserve">34,8%</w:t>
            </w:r>
          </w:p>
        </w:tc>
        <w:tc>
          <w:tcPr>
            <w:tcW w:w="1247" w:type="dxa"/>
            <w:vAlign w:val="center"/>
            <w:tcBorders>
              <w:top w:val="single" w:sz="4"/>
              <w:left w:val="nil"/>
              <w:bottom w:val="nil"/>
              <w:right w:val="single" w:sz="4"/>
            </w:tcBorders>
          </w:tcPr>
          <w:p>
            <w:pPr>
              <w:pStyle w:val="0"/>
              <w:jc w:val="center"/>
            </w:pPr>
            <w:r>
              <w:rPr>
                <w:sz w:val="20"/>
              </w:rPr>
              <w:t xml:space="preserve">49,6%</w:t>
            </w:r>
          </w:p>
        </w:tc>
      </w:tr>
      <w:tr>
        <w:tc>
          <w:tcPr>
            <w:tcW w:w="907" w:type="dxa"/>
            <w:vAlign w:val="center"/>
            <w:tcBorders>
              <w:top w:val="nil"/>
              <w:left w:val="nil"/>
              <w:bottom w:val="nil"/>
              <w:right w:val="nil"/>
            </w:tcBorders>
          </w:tcPr>
          <w:p>
            <w:pPr>
              <w:pStyle w:val="0"/>
              <w:jc w:val="center"/>
            </w:pPr>
            <w:hyperlink w:history="0" r:id="rId9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16.2</w:t>
              </w:r>
            </w:hyperlink>
          </w:p>
        </w:tc>
        <w:tc>
          <w:tcPr>
            <w:tcW w:w="1927" w:type="dxa"/>
            <w:vAlign w:val="center"/>
            <w:tcBorders>
              <w:top w:val="nil"/>
              <w:left w:val="nil"/>
              <w:bottom w:val="nil"/>
              <w:right w:val="nil"/>
            </w:tcBorders>
          </w:tcPr>
          <w:p>
            <w:pPr>
              <w:pStyle w:val="0"/>
              <w:jc w:val="both"/>
            </w:pPr>
            <w:r>
              <w:rPr>
                <w:sz w:val="20"/>
              </w:rPr>
              <w:t xml:space="preserve">Производство изделий из дерева, пробки, соломки и материалов для плетения</w:t>
            </w:r>
          </w:p>
        </w:tc>
        <w:tc>
          <w:tcPr>
            <w:tcW w:w="1247" w:type="dxa"/>
            <w:vAlign w:val="center"/>
            <w:tcBorders>
              <w:top w:val="nil"/>
              <w:left w:val="nil"/>
              <w:bottom w:val="nil"/>
              <w:right w:val="nil"/>
            </w:tcBorders>
          </w:tcPr>
          <w:p>
            <w:pPr>
              <w:pStyle w:val="0"/>
              <w:jc w:val="center"/>
            </w:pPr>
            <w:r>
              <w:rPr>
                <w:sz w:val="20"/>
              </w:rPr>
              <w:t xml:space="preserve">18,5</w:t>
            </w:r>
          </w:p>
        </w:tc>
        <w:tc>
          <w:tcPr>
            <w:tcW w:w="1247" w:type="dxa"/>
            <w:vAlign w:val="center"/>
            <w:tcBorders>
              <w:top w:val="nil"/>
              <w:left w:val="nil"/>
              <w:bottom w:val="nil"/>
              <w:right w:val="nil"/>
            </w:tcBorders>
          </w:tcPr>
          <w:p>
            <w:pPr>
              <w:pStyle w:val="0"/>
              <w:jc w:val="center"/>
            </w:pPr>
            <w:r>
              <w:rPr>
                <w:sz w:val="20"/>
              </w:rPr>
              <w:t xml:space="preserve">28,2%</w:t>
            </w:r>
          </w:p>
        </w:tc>
        <w:tc>
          <w:tcPr>
            <w:tcW w:w="1247" w:type="dxa"/>
            <w:vAlign w:val="center"/>
            <w:tcBorders>
              <w:top w:val="nil"/>
              <w:left w:val="nil"/>
              <w:bottom w:val="nil"/>
              <w:right w:val="single" w:sz="4"/>
            </w:tcBorders>
          </w:tcPr>
          <w:p>
            <w:pPr>
              <w:pStyle w:val="0"/>
              <w:jc w:val="center"/>
            </w:pPr>
            <w:r>
              <w:rPr>
                <w:sz w:val="20"/>
              </w:rPr>
              <w:t xml:space="preserve">20,9%</w:t>
            </w:r>
          </w:p>
        </w:tc>
        <w:tc>
          <w:tcPr>
            <w:tcW w:w="1247" w:type="dxa"/>
            <w:vAlign w:val="center"/>
            <w:tcBorders>
              <w:top w:val="nil"/>
              <w:left w:val="single" w:sz="4"/>
              <w:bottom w:val="nil"/>
              <w:right w:val="nil"/>
            </w:tcBorders>
          </w:tcPr>
          <w:p>
            <w:pPr>
              <w:pStyle w:val="0"/>
              <w:jc w:val="center"/>
            </w:pPr>
            <w:r>
              <w:rPr>
                <w:sz w:val="20"/>
              </w:rPr>
              <w:t xml:space="preserve">27,4%</w:t>
            </w:r>
          </w:p>
        </w:tc>
        <w:tc>
          <w:tcPr>
            <w:tcW w:w="1247" w:type="dxa"/>
            <w:vAlign w:val="center"/>
            <w:tcBorders>
              <w:top w:val="nil"/>
              <w:left w:val="nil"/>
              <w:bottom w:val="nil"/>
              <w:right w:val="single" w:sz="4"/>
            </w:tcBorders>
          </w:tcPr>
          <w:p>
            <w:pPr>
              <w:pStyle w:val="0"/>
              <w:jc w:val="center"/>
            </w:pPr>
            <w:r>
              <w:rPr>
                <w:sz w:val="20"/>
              </w:rPr>
              <w:t xml:space="preserve">23,5%</w:t>
            </w:r>
          </w:p>
        </w:tc>
      </w:tr>
      <w:tr>
        <w:tc>
          <w:tcPr>
            <w:tcW w:w="907" w:type="dxa"/>
            <w:vAlign w:val="center"/>
            <w:tcBorders>
              <w:top w:val="nil"/>
              <w:left w:val="nil"/>
              <w:bottom w:val="nil"/>
              <w:right w:val="nil"/>
            </w:tcBorders>
          </w:tcPr>
          <w:p>
            <w:pPr>
              <w:pStyle w:val="0"/>
              <w:jc w:val="center"/>
            </w:pPr>
            <w:hyperlink w:history="0" r:id="rId9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20.20</w:t>
              </w:r>
            </w:hyperlink>
          </w:p>
        </w:tc>
        <w:tc>
          <w:tcPr>
            <w:tcW w:w="1927" w:type="dxa"/>
            <w:vAlign w:val="center"/>
            <w:tcBorders>
              <w:top w:val="nil"/>
              <w:left w:val="nil"/>
              <w:bottom w:val="nil"/>
              <w:right w:val="nil"/>
            </w:tcBorders>
          </w:tcPr>
          <w:p>
            <w:pPr>
              <w:pStyle w:val="0"/>
              <w:jc w:val="both"/>
            </w:pPr>
            <w:r>
              <w:rPr>
                <w:sz w:val="20"/>
              </w:rPr>
              <w:t xml:space="preserve">Производство пестицидов и прочих агрохимических продуктов</w:t>
            </w:r>
          </w:p>
        </w:tc>
        <w:tc>
          <w:tcPr>
            <w:tcW w:w="1247" w:type="dxa"/>
            <w:vAlign w:val="center"/>
            <w:tcBorders>
              <w:top w:val="nil"/>
              <w:left w:val="nil"/>
              <w:bottom w:val="nil"/>
              <w:right w:val="nil"/>
            </w:tcBorders>
          </w:tcPr>
          <w:p>
            <w:pPr>
              <w:pStyle w:val="0"/>
              <w:jc w:val="center"/>
            </w:pPr>
            <w:r>
              <w:rPr>
                <w:sz w:val="20"/>
              </w:rPr>
              <w:t xml:space="preserve">10,1</w:t>
            </w:r>
          </w:p>
        </w:tc>
        <w:tc>
          <w:tcPr>
            <w:tcW w:w="1247" w:type="dxa"/>
            <w:vAlign w:val="center"/>
            <w:tcBorders>
              <w:top w:val="nil"/>
              <w:left w:val="nil"/>
              <w:bottom w:val="nil"/>
              <w:right w:val="nil"/>
            </w:tcBorders>
          </w:tcPr>
          <w:p>
            <w:pPr>
              <w:pStyle w:val="0"/>
              <w:jc w:val="center"/>
            </w:pPr>
            <w:r>
              <w:rPr>
                <w:sz w:val="20"/>
              </w:rPr>
              <w:t xml:space="preserve">27,5%</w:t>
            </w:r>
          </w:p>
        </w:tc>
        <w:tc>
          <w:tcPr>
            <w:tcW w:w="1247" w:type="dxa"/>
            <w:vAlign w:val="center"/>
            <w:tcBorders>
              <w:top w:val="nil"/>
              <w:left w:val="nil"/>
              <w:bottom w:val="nil"/>
              <w:right w:val="single" w:sz="4"/>
            </w:tcBorders>
          </w:tcPr>
          <w:p>
            <w:pPr>
              <w:pStyle w:val="0"/>
              <w:jc w:val="center"/>
            </w:pPr>
            <w:r>
              <w:rPr>
                <w:sz w:val="20"/>
              </w:rPr>
              <w:t xml:space="preserve">28,1%</w:t>
            </w:r>
          </w:p>
        </w:tc>
        <w:tc>
          <w:tcPr>
            <w:tcW w:w="1247" w:type="dxa"/>
            <w:vAlign w:val="center"/>
            <w:tcBorders>
              <w:top w:val="nil"/>
              <w:left w:val="single" w:sz="4"/>
              <w:bottom w:val="nil"/>
              <w:right w:val="nil"/>
            </w:tcBorders>
          </w:tcPr>
          <w:p>
            <w:pPr>
              <w:pStyle w:val="0"/>
              <w:jc w:val="center"/>
            </w:pPr>
            <w:r>
              <w:rPr>
                <w:sz w:val="20"/>
              </w:rPr>
              <w:t xml:space="preserve">26,2%</w:t>
            </w:r>
          </w:p>
        </w:tc>
        <w:tc>
          <w:tcPr>
            <w:tcW w:w="1247" w:type="dxa"/>
            <w:vAlign w:val="center"/>
            <w:tcBorders>
              <w:top w:val="nil"/>
              <w:left w:val="nil"/>
              <w:bottom w:val="nil"/>
              <w:right w:val="single" w:sz="4"/>
            </w:tcBorders>
          </w:tcPr>
          <w:p>
            <w:pPr>
              <w:pStyle w:val="0"/>
              <w:jc w:val="center"/>
            </w:pPr>
            <w:r>
              <w:rPr>
                <w:sz w:val="20"/>
              </w:rPr>
              <w:t xml:space="preserve">25,4%</w:t>
            </w:r>
          </w:p>
        </w:tc>
      </w:tr>
      <w:tr>
        <w:tc>
          <w:tcPr>
            <w:tcW w:w="907" w:type="dxa"/>
            <w:vAlign w:val="center"/>
            <w:tcBorders>
              <w:top w:val="nil"/>
              <w:left w:val="nil"/>
              <w:bottom w:val="nil"/>
              <w:right w:val="nil"/>
            </w:tcBorders>
          </w:tcPr>
          <w:p>
            <w:pPr>
              <w:pStyle w:val="0"/>
              <w:jc w:val="center"/>
            </w:pPr>
            <w:hyperlink w:history="0" r:id="rId10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26.20</w:t>
              </w:r>
            </w:hyperlink>
          </w:p>
        </w:tc>
        <w:tc>
          <w:tcPr>
            <w:tcW w:w="1927" w:type="dxa"/>
            <w:vAlign w:val="center"/>
            <w:tcBorders>
              <w:top w:val="nil"/>
              <w:left w:val="nil"/>
              <w:bottom w:val="nil"/>
              <w:right w:val="nil"/>
            </w:tcBorders>
          </w:tcPr>
          <w:p>
            <w:pPr>
              <w:pStyle w:val="0"/>
            </w:pPr>
            <w:r>
              <w:rPr>
                <w:sz w:val="20"/>
              </w:rPr>
              <w:t xml:space="preserve">Производство компьютеров и периферийного оборудования</w:t>
            </w:r>
          </w:p>
        </w:tc>
        <w:tc>
          <w:tcPr>
            <w:tcW w:w="1247" w:type="dxa"/>
            <w:vAlign w:val="center"/>
            <w:tcBorders>
              <w:top w:val="nil"/>
              <w:left w:val="nil"/>
              <w:bottom w:val="nil"/>
              <w:right w:val="nil"/>
            </w:tcBorders>
          </w:tcPr>
          <w:p>
            <w:pPr>
              <w:pStyle w:val="0"/>
              <w:jc w:val="center"/>
            </w:pPr>
            <w:r>
              <w:rPr>
                <w:sz w:val="20"/>
              </w:rPr>
              <w:t xml:space="preserve">7,5</w:t>
            </w:r>
          </w:p>
        </w:tc>
        <w:tc>
          <w:tcPr>
            <w:tcW w:w="1247" w:type="dxa"/>
            <w:vAlign w:val="center"/>
            <w:tcBorders>
              <w:top w:val="nil"/>
              <w:left w:val="nil"/>
              <w:bottom w:val="nil"/>
              <w:right w:val="nil"/>
            </w:tcBorders>
          </w:tcPr>
          <w:p>
            <w:pPr>
              <w:pStyle w:val="0"/>
              <w:jc w:val="center"/>
            </w:pPr>
            <w:r>
              <w:rPr>
                <w:sz w:val="20"/>
              </w:rPr>
              <w:t xml:space="preserve">24,3%</w:t>
            </w:r>
          </w:p>
        </w:tc>
        <w:tc>
          <w:tcPr>
            <w:tcW w:w="1247" w:type="dxa"/>
            <w:vAlign w:val="center"/>
            <w:tcBorders>
              <w:top w:val="nil"/>
              <w:left w:val="nil"/>
              <w:bottom w:val="nil"/>
              <w:right w:val="single" w:sz="4"/>
            </w:tcBorders>
          </w:tcPr>
          <w:p>
            <w:pPr>
              <w:pStyle w:val="0"/>
              <w:jc w:val="center"/>
            </w:pPr>
            <w:r>
              <w:rPr>
                <w:sz w:val="20"/>
              </w:rPr>
              <w:t xml:space="preserve">54,8%</w:t>
            </w:r>
          </w:p>
        </w:tc>
        <w:tc>
          <w:tcPr>
            <w:tcW w:w="1247" w:type="dxa"/>
            <w:vAlign w:val="center"/>
            <w:tcBorders>
              <w:top w:val="nil"/>
              <w:left w:val="single" w:sz="4"/>
              <w:bottom w:val="nil"/>
              <w:right w:val="nil"/>
            </w:tcBorders>
          </w:tcPr>
          <w:p>
            <w:pPr>
              <w:pStyle w:val="0"/>
              <w:jc w:val="center"/>
            </w:pPr>
            <w:r>
              <w:rPr>
                <w:sz w:val="20"/>
              </w:rPr>
              <w:t xml:space="preserve">16,0%</w:t>
            </w:r>
          </w:p>
        </w:tc>
        <w:tc>
          <w:tcPr>
            <w:tcW w:w="1247" w:type="dxa"/>
            <w:vAlign w:val="center"/>
            <w:tcBorders>
              <w:top w:val="nil"/>
              <w:left w:val="nil"/>
              <w:bottom w:val="nil"/>
              <w:right w:val="single" w:sz="4"/>
            </w:tcBorders>
          </w:tcPr>
          <w:p>
            <w:pPr>
              <w:pStyle w:val="0"/>
              <w:jc w:val="center"/>
            </w:pPr>
            <w:r>
              <w:rPr>
                <w:sz w:val="20"/>
              </w:rPr>
              <w:t xml:space="preserve">31,4%</w:t>
            </w:r>
          </w:p>
        </w:tc>
      </w:tr>
      <w:tr>
        <w:tc>
          <w:tcPr>
            <w:tcW w:w="907" w:type="dxa"/>
            <w:vAlign w:val="center"/>
            <w:tcBorders>
              <w:top w:val="nil"/>
              <w:left w:val="nil"/>
              <w:bottom w:val="single" w:sz="4"/>
              <w:right w:val="nil"/>
            </w:tcBorders>
          </w:tcPr>
          <w:p>
            <w:pPr>
              <w:pStyle w:val="0"/>
              <w:jc w:val="center"/>
            </w:pPr>
            <w:hyperlink w:history="0" r:id="rId10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26.60</w:t>
              </w:r>
            </w:hyperlink>
          </w:p>
        </w:tc>
        <w:tc>
          <w:tcPr>
            <w:tcW w:w="1927" w:type="dxa"/>
            <w:vAlign w:val="center"/>
            <w:tcBorders>
              <w:top w:val="nil"/>
              <w:left w:val="nil"/>
              <w:bottom w:val="single" w:sz="4"/>
              <w:right w:val="nil"/>
            </w:tcBorders>
          </w:tcPr>
          <w:p>
            <w:pPr>
              <w:pStyle w:val="0"/>
              <w:jc w:val="both"/>
            </w:pPr>
            <w:r>
              <w:rPr>
                <w:sz w:val="20"/>
              </w:rPr>
              <w:t xml:space="preserve">Производство облучающего и электротерапевтического оборудования, применяемого в медицинских целях</w:t>
            </w:r>
          </w:p>
        </w:tc>
        <w:tc>
          <w:tcPr>
            <w:tcW w:w="1247" w:type="dxa"/>
            <w:vAlign w:val="center"/>
            <w:tcBorders>
              <w:top w:val="nil"/>
              <w:left w:val="nil"/>
              <w:bottom w:val="single" w:sz="4"/>
              <w:right w:val="nil"/>
            </w:tcBorders>
          </w:tcPr>
          <w:p>
            <w:pPr>
              <w:pStyle w:val="0"/>
              <w:jc w:val="center"/>
            </w:pPr>
            <w:r>
              <w:rPr>
                <w:sz w:val="20"/>
              </w:rPr>
              <w:t xml:space="preserve">7,1</w:t>
            </w:r>
          </w:p>
        </w:tc>
        <w:tc>
          <w:tcPr>
            <w:tcW w:w="1247" w:type="dxa"/>
            <w:vAlign w:val="center"/>
            <w:tcBorders>
              <w:top w:val="nil"/>
              <w:left w:val="nil"/>
              <w:bottom w:val="single" w:sz="4"/>
              <w:right w:val="nil"/>
            </w:tcBorders>
          </w:tcPr>
          <w:p>
            <w:pPr>
              <w:pStyle w:val="0"/>
              <w:jc w:val="center"/>
            </w:pPr>
            <w:r>
              <w:rPr>
                <w:sz w:val="20"/>
              </w:rPr>
              <w:t xml:space="preserve">14,6%</w:t>
            </w:r>
          </w:p>
        </w:tc>
        <w:tc>
          <w:tcPr>
            <w:tcW w:w="1247" w:type="dxa"/>
            <w:vAlign w:val="center"/>
            <w:tcBorders>
              <w:top w:val="nil"/>
              <w:left w:val="nil"/>
              <w:bottom w:val="single" w:sz="4"/>
              <w:right w:val="single" w:sz="4"/>
            </w:tcBorders>
          </w:tcPr>
          <w:p>
            <w:pPr>
              <w:pStyle w:val="0"/>
              <w:jc w:val="center"/>
            </w:pPr>
            <w:r>
              <w:rPr>
                <w:sz w:val="20"/>
              </w:rPr>
              <w:t xml:space="preserve">20,3%</w:t>
            </w:r>
          </w:p>
        </w:tc>
        <w:tc>
          <w:tcPr>
            <w:tcW w:w="1247" w:type="dxa"/>
            <w:vAlign w:val="center"/>
            <w:tcBorders>
              <w:top w:val="nil"/>
              <w:left w:val="single" w:sz="4"/>
              <w:bottom w:val="single" w:sz="4"/>
              <w:right w:val="nil"/>
            </w:tcBorders>
          </w:tcPr>
          <w:p>
            <w:pPr>
              <w:pStyle w:val="0"/>
              <w:jc w:val="center"/>
            </w:pPr>
            <w:r>
              <w:rPr>
                <w:sz w:val="20"/>
              </w:rPr>
              <w:t xml:space="preserve">12,6%</w:t>
            </w:r>
          </w:p>
        </w:tc>
        <w:tc>
          <w:tcPr>
            <w:tcW w:w="1247" w:type="dxa"/>
            <w:vAlign w:val="center"/>
            <w:tcBorders>
              <w:top w:val="nil"/>
              <w:left w:val="nil"/>
              <w:bottom w:val="single" w:sz="4"/>
              <w:right w:val="single" w:sz="4"/>
            </w:tcBorders>
          </w:tcPr>
          <w:p>
            <w:pPr>
              <w:pStyle w:val="0"/>
              <w:jc w:val="center"/>
            </w:pPr>
            <w:r>
              <w:rPr>
                <w:sz w:val="20"/>
              </w:rPr>
              <w:t xml:space="preserve">22,6%</w:t>
            </w:r>
          </w:p>
        </w:tc>
      </w:tr>
    </w:tbl>
    <w:p>
      <w:pPr>
        <w:pStyle w:val="0"/>
        <w:jc w:val="both"/>
      </w:pPr>
      <w:r>
        <w:rPr>
          <w:sz w:val="20"/>
        </w:rPr>
      </w:r>
    </w:p>
    <w:p>
      <w:pPr>
        <w:pStyle w:val="0"/>
        <w:ind w:firstLine="540"/>
        <w:jc w:val="both"/>
      </w:pPr>
      <w:r>
        <w:rPr>
          <w:sz w:val="20"/>
        </w:rPr>
        <w:t xml:space="preserve">--------------------------------</w:t>
      </w:r>
    </w:p>
    <w:bookmarkStart w:id="4614" w:name="P4614"/>
    <w:bookmarkEnd w:id="4614"/>
    <w:p>
      <w:pPr>
        <w:pStyle w:val="0"/>
        <w:spacing w:before="200" w:line-rule="auto"/>
        <w:ind w:firstLine="540"/>
        <w:jc w:val="both"/>
      </w:pPr>
      <w:r>
        <w:rPr>
          <w:sz w:val="20"/>
        </w:rPr>
        <w:t xml:space="preserve">&lt;*&gt; сумма средних значений выручки в рамках отрасли по всем резидентам за период анализа</w:t>
      </w:r>
    </w:p>
    <w:bookmarkStart w:id="4615" w:name="P4615"/>
    <w:bookmarkEnd w:id="4615"/>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4616" w:name="P4616"/>
    <w:bookmarkEnd w:id="4616"/>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Таким образом, режим ОЭЗ требует "донастройки", например, для новых резидентов в части ограничения видов деятельности, которые могут пользоваться налоговыми льготами и неналоговыми мерами поддержки.</w:t>
      </w:r>
    </w:p>
    <w:p>
      <w:pPr>
        <w:pStyle w:val="0"/>
        <w:spacing w:before="200" w:line-rule="auto"/>
        <w:ind w:firstLine="540"/>
        <w:jc w:val="both"/>
      </w:pPr>
      <w:r>
        <w:rPr>
          <w:sz w:val="20"/>
        </w:rPr>
        <w:t xml:space="preserve">Также отмечаем, что на основе результатов анализа эффективности ИНЛ Минфином России подготовлены предложения по внесению изменений в Налоговый </w:t>
      </w:r>
      <w:hyperlink w:history="0" r:id="rId102"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кодекс</w:t>
        </w:r>
      </w:hyperlink>
      <w:r>
        <w:rPr>
          <w:sz w:val="20"/>
        </w:rPr>
        <w:t xml:space="preserve"> Российской Федерации, направленные на совершенствование налогового регулирования режима ОЭЗ (более подробно см. "</w:t>
      </w:r>
      <w:hyperlink w:history="0" w:anchor="P4168" w:tooltip="Результаты анализа эффективности ИНЛ">
        <w:r>
          <w:rPr>
            <w:sz w:val="20"/>
            <w:color w:val="0000ff"/>
          </w:rPr>
          <w:t xml:space="preserve">Результаты анализа</w:t>
        </w:r>
      </w:hyperlink>
      <w:r>
        <w:rPr>
          <w:sz w:val="20"/>
        </w:rPr>
        <w:t xml:space="preserve"> эффективности ИНЛ").</w:t>
      </w:r>
    </w:p>
    <w:p>
      <w:pPr>
        <w:pStyle w:val="0"/>
        <w:spacing w:before="200" w:line-rule="auto"/>
        <w:ind w:firstLine="540"/>
        <w:jc w:val="both"/>
      </w:pPr>
      <w:r>
        <w:rPr>
          <w:sz w:val="20"/>
        </w:rPr>
        <w:t xml:space="preserve">Дополнительно отмечаем, что в настоящее время наблюдается низкий уровень ответственности ключевых инвесторов по реализации проектов, в том числе требующих вложений в инфраструктуру со стороны государства (например, создается дорогостоящая инфраструктура, при этом в случае отказа якорного резидента ОЭЗ от реализации инвестиционного проекта или изменения его индикативных условий, указанная инфраструктура остается невостребованной).</w:t>
      </w:r>
    </w:p>
    <w:p>
      <w:pPr>
        <w:pStyle w:val="0"/>
        <w:jc w:val="both"/>
      </w:pPr>
      <w:r>
        <w:rPr>
          <w:sz w:val="20"/>
        </w:rPr>
      </w:r>
    </w:p>
    <w:p>
      <w:pPr>
        <w:pStyle w:val="2"/>
        <w:outlineLvl w:val="1"/>
        <w:ind w:firstLine="540"/>
        <w:jc w:val="both"/>
      </w:pPr>
      <w:r>
        <w:rPr>
          <w:sz w:val="20"/>
        </w:rPr>
        <w:t xml:space="preserve">Свободный порт Владивосток (СПВ)</w:t>
      </w:r>
    </w:p>
    <w:p>
      <w:pPr>
        <w:pStyle w:val="0"/>
        <w:jc w:val="both"/>
      </w:pPr>
      <w:r>
        <w:rPr>
          <w:sz w:val="20"/>
        </w:rPr>
      </w:r>
    </w:p>
    <w:p>
      <w:pPr>
        <w:pStyle w:val="0"/>
        <w:ind w:firstLine="540"/>
        <w:jc w:val="both"/>
      </w:pPr>
      <w:r>
        <w:rPr>
          <w:sz w:val="20"/>
        </w:rPr>
        <w:t xml:space="preserve">Таблица 11.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7"/>
        <w:gridCol w:w="340"/>
        <w:gridCol w:w="5952"/>
      </w:tblGrid>
      <w:tr>
        <w:tblPrEx>
          <w:tblBorders>
            <w:insideH w:val="single" w:sz="4"/>
          </w:tblBorders>
        </w:tblPrEx>
        <w:tc>
          <w:tcPr>
            <w:tcW w:w="2777" w:type="dxa"/>
            <w:tcBorders>
              <w:top w:val="single" w:sz="4"/>
              <w:left w:val="nil"/>
              <w:bottom w:val="single" w:sz="4"/>
              <w:right w:val="nil"/>
            </w:tcBorders>
          </w:tcPr>
          <w:p>
            <w:pPr>
              <w:pStyle w:val="0"/>
              <w:jc w:val="center"/>
            </w:pPr>
            <w:r>
              <w:rPr>
                <w:sz w:val="20"/>
              </w:rPr>
              <w:t xml:space="preserve">Показатель</w:t>
            </w:r>
          </w:p>
        </w:tc>
        <w:tc>
          <w:tcPr>
            <w:gridSpan w:val="2"/>
            <w:tcW w:w="6292" w:type="dxa"/>
            <w:tcBorders>
              <w:top w:val="single" w:sz="4"/>
              <w:left w:val="nil"/>
              <w:bottom w:val="single" w:sz="4"/>
              <w:right w:val="nil"/>
            </w:tcBorders>
          </w:tcPr>
          <w:p>
            <w:pPr>
              <w:pStyle w:val="0"/>
              <w:jc w:val="center"/>
            </w:pPr>
            <w:r>
              <w:rPr>
                <w:sz w:val="20"/>
              </w:rPr>
              <w:t xml:space="preserve">Описание</w:t>
            </w:r>
          </w:p>
        </w:tc>
      </w:tr>
      <w:tr>
        <w:tc>
          <w:tcPr>
            <w:tcW w:w="2777" w:type="dxa"/>
            <w:vAlign w:val="center"/>
            <w:tcBorders>
              <w:top w:val="single" w:sz="4"/>
              <w:left w:val="nil"/>
              <w:bottom w:val="nil"/>
              <w:right w:val="nil"/>
            </w:tcBorders>
          </w:tcPr>
          <w:p>
            <w:pPr>
              <w:pStyle w:val="0"/>
            </w:pPr>
            <w:r>
              <w:rPr>
                <w:sz w:val="20"/>
              </w:rPr>
              <w:t xml:space="preserve">Срок действия режима</w:t>
            </w:r>
          </w:p>
        </w:tc>
        <w:tc>
          <w:tcPr>
            <w:gridSpan w:val="2"/>
            <w:tcW w:w="6292" w:type="dxa"/>
            <w:vAlign w:val="center"/>
            <w:tcBorders>
              <w:top w:val="single" w:sz="4"/>
              <w:left w:val="nil"/>
              <w:bottom w:val="nil"/>
              <w:right w:val="nil"/>
            </w:tcBorders>
          </w:tcPr>
          <w:p>
            <w:pPr>
              <w:pStyle w:val="0"/>
            </w:pPr>
            <w:r>
              <w:rPr>
                <w:sz w:val="20"/>
              </w:rPr>
              <w:t xml:space="preserve">Действует с 12.10.2015 сроком на 70 лет.</w:t>
            </w:r>
          </w:p>
        </w:tc>
      </w:tr>
      <w:tr>
        <w:tc>
          <w:tcPr>
            <w:tcW w:w="2777" w:type="dxa"/>
            <w:vAlign w:val="center"/>
            <w:tcBorders>
              <w:top w:val="nil"/>
              <w:left w:val="nil"/>
              <w:bottom w:val="nil"/>
              <w:right w:val="nil"/>
            </w:tcBorders>
            <w:vMerge w:val="restart"/>
          </w:tcPr>
          <w:p>
            <w:pPr>
              <w:pStyle w:val="0"/>
            </w:pPr>
            <w:r>
              <w:rPr>
                <w:sz w:val="20"/>
              </w:rPr>
              <w:t xml:space="preserve">Налоговые льготы режима</w:t>
            </w:r>
          </w:p>
        </w:tc>
        <w:tc>
          <w:tcPr>
            <w:tcW w:w="340" w:type="dxa"/>
            <w:tcBorders>
              <w:top w:val="nil"/>
              <w:left w:val="nil"/>
              <w:bottom w:val="nil"/>
              <w:right w:val="nil"/>
            </w:tcBorders>
          </w:tcPr>
          <w:p>
            <w:pPr>
              <w:pStyle w:val="0"/>
              <w:jc w:val="center"/>
            </w:pPr>
            <w:r>
              <w:rPr>
                <w:sz w:val="20"/>
              </w:rPr>
              <w:t xml:space="preserve">-</w:t>
            </w:r>
          </w:p>
        </w:tc>
        <w:tc>
          <w:tcPr>
            <w:tcW w:w="5952" w:type="dxa"/>
            <w:vAlign w:val="center"/>
            <w:tcBorders>
              <w:top w:val="nil"/>
              <w:left w:val="nil"/>
              <w:bottom w:val="nil"/>
              <w:right w:val="nil"/>
            </w:tcBorders>
          </w:tcPr>
          <w:p>
            <w:pPr>
              <w:pStyle w:val="0"/>
              <w:jc w:val="both"/>
            </w:pPr>
            <w:r>
              <w:rPr>
                <w:sz w:val="20"/>
              </w:rPr>
              <w:t xml:space="preserve">пониженные ставки по налогу на прибыль в ФБ и РБ (в соответствии с законами субъектов РФ),</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jc w:val="center"/>
            </w:pPr>
            <w:r>
              <w:rPr>
                <w:sz w:val="20"/>
              </w:rPr>
              <w:t xml:space="preserve">-</w:t>
            </w:r>
          </w:p>
        </w:tc>
        <w:tc>
          <w:tcPr>
            <w:tcW w:w="5952" w:type="dxa"/>
            <w:vAlign w:val="center"/>
            <w:tcBorders>
              <w:top w:val="nil"/>
              <w:left w:val="nil"/>
              <w:bottom w:val="nil"/>
              <w:right w:val="nil"/>
            </w:tcBorders>
          </w:tcPr>
          <w:p>
            <w:pPr>
              <w:pStyle w:val="0"/>
            </w:pPr>
            <w:r>
              <w:rPr>
                <w:sz w:val="20"/>
              </w:rPr>
              <w:t xml:space="preserve">пониженная ставка по налогу на имущество,</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jc w:val="center"/>
            </w:pPr>
            <w:r>
              <w:rPr>
                <w:sz w:val="20"/>
              </w:rPr>
              <w:t xml:space="preserve">-</w:t>
            </w:r>
          </w:p>
        </w:tc>
        <w:tc>
          <w:tcPr>
            <w:tcW w:w="5952" w:type="dxa"/>
            <w:vAlign w:val="center"/>
            <w:tcBorders>
              <w:top w:val="nil"/>
              <w:left w:val="nil"/>
              <w:bottom w:val="nil"/>
              <w:right w:val="nil"/>
            </w:tcBorders>
          </w:tcPr>
          <w:p>
            <w:pPr>
              <w:pStyle w:val="0"/>
            </w:pPr>
            <w:r>
              <w:rPr>
                <w:sz w:val="20"/>
              </w:rPr>
              <w:t xml:space="preserve">освобождение от уплаты земельного налога,</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jc w:val="center"/>
            </w:pPr>
            <w:r>
              <w:rPr>
                <w:sz w:val="20"/>
              </w:rPr>
              <w:t xml:space="preserve">-</w:t>
            </w:r>
          </w:p>
        </w:tc>
        <w:tc>
          <w:tcPr>
            <w:tcW w:w="5952" w:type="dxa"/>
            <w:vAlign w:val="center"/>
            <w:tcBorders>
              <w:top w:val="nil"/>
              <w:left w:val="nil"/>
              <w:bottom w:val="nil"/>
              <w:right w:val="nil"/>
            </w:tcBorders>
          </w:tcPr>
          <w:p>
            <w:pPr>
              <w:pStyle w:val="0"/>
            </w:pPr>
            <w:r>
              <w:rPr>
                <w:sz w:val="20"/>
              </w:rPr>
              <w:t xml:space="preserve">пониженные тарифы страховых взносов.</w:t>
            </w:r>
          </w:p>
        </w:tc>
      </w:tr>
      <w:tr>
        <w:tc>
          <w:tcPr>
            <w:tcW w:w="2777" w:type="dxa"/>
            <w:vAlign w:val="center"/>
            <w:tcBorders>
              <w:top w:val="nil"/>
              <w:left w:val="nil"/>
              <w:bottom w:val="nil"/>
              <w:right w:val="nil"/>
            </w:tcBorders>
          </w:tcPr>
          <w:p>
            <w:pPr>
              <w:pStyle w:val="0"/>
              <w:jc w:val="both"/>
            </w:pPr>
            <w:r>
              <w:rPr>
                <w:sz w:val="20"/>
              </w:rPr>
              <w:t xml:space="preserve">Количество отраслей в режиме</w:t>
            </w:r>
          </w:p>
        </w:tc>
        <w:tc>
          <w:tcPr>
            <w:gridSpan w:val="2"/>
            <w:tcW w:w="6292" w:type="dxa"/>
            <w:vAlign w:val="center"/>
            <w:tcBorders>
              <w:top w:val="nil"/>
              <w:left w:val="nil"/>
              <w:bottom w:val="nil"/>
              <w:right w:val="nil"/>
            </w:tcBorders>
          </w:tcPr>
          <w:p>
            <w:pPr>
              <w:pStyle w:val="0"/>
            </w:pPr>
            <w:r>
              <w:rPr>
                <w:sz w:val="20"/>
              </w:rPr>
              <w:t xml:space="preserve">252</w:t>
            </w:r>
          </w:p>
        </w:tc>
      </w:tr>
      <w:tr>
        <w:tc>
          <w:tcPr>
            <w:tcW w:w="2777" w:type="dxa"/>
            <w:vAlign w:val="center"/>
            <w:tcBorders>
              <w:top w:val="nil"/>
              <w:left w:val="nil"/>
              <w:bottom w:val="single" w:sz="4"/>
              <w:right w:val="nil"/>
            </w:tcBorders>
          </w:tcPr>
          <w:p>
            <w:pPr>
              <w:pStyle w:val="0"/>
            </w:pPr>
            <w:r>
              <w:rPr>
                <w:sz w:val="20"/>
              </w:rPr>
              <w:t xml:space="preserve">Наличие обязательств</w:t>
            </w:r>
          </w:p>
        </w:tc>
        <w:tc>
          <w:tcPr>
            <w:gridSpan w:val="2"/>
            <w:tcW w:w="6292" w:type="dxa"/>
            <w:vAlign w:val="center"/>
            <w:tcBorders>
              <w:top w:val="nil"/>
              <w:left w:val="nil"/>
              <w:bottom w:val="single" w:sz="4"/>
              <w:right w:val="nil"/>
            </w:tcBorders>
          </w:tcPr>
          <w:p>
            <w:pPr>
              <w:pStyle w:val="0"/>
              <w:jc w:val="both"/>
            </w:pPr>
            <w:r>
              <w:rPr>
                <w:sz w:val="20"/>
              </w:rPr>
              <w:t xml:space="preserve">Да (объем инвестиций не менее 500 тыс. руб. в течение 3 лет с даты получения статуса резидента).</w:t>
            </w:r>
          </w:p>
        </w:tc>
      </w:tr>
    </w:tbl>
    <w:p>
      <w:pPr>
        <w:pStyle w:val="0"/>
        <w:jc w:val="both"/>
      </w:pPr>
      <w:r>
        <w:rPr>
          <w:sz w:val="20"/>
        </w:rPr>
      </w:r>
    </w:p>
    <w:p>
      <w:pPr>
        <w:pStyle w:val="0"/>
        <w:ind w:firstLine="540"/>
        <w:jc w:val="both"/>
      </w:pPr>
      <w:r>
        <w:rPr>
          <w:sz w:val="20"/>
        </w:rPr>
        <w:t xml:space="preserve">За период анализа (2017 - 2022 годы) общее количество резидентов &lt;14&gt; СПВ составило 2340, из которых в периметр анализа на базе АС "Эффективность льгот" вошли 1164 &lt;15&gt; резидентов.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Количество резидентов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&lt;15&gt; Прочие резиденты не вошли в анализ по причине отсутствия налоговых деклараций или бухгалтерской отчетности (183 резидента), или нулевого значения показателя выручки (993 резидента).</w:t>
      </w:r>
    </w:p>
    <w:p>
      <w:pPr>
        <w:pStyle w:val="0"/>
        <w:jc w:val="both"/>
      </w:pPr>
      <w:r>
        <w:rPr>
          <w:sz w:val="20"/>
        </w:rPr>
      </w:r>
    </w:p>
    <w:p>
      <w:pPr>
        <w:pStyle w:val="0"/>
        <w:jc w:val="center"/>
      </w:pPr>
      <w:r>
        <w:rPr>
          <w:position w:val="-103"/>
        </w:rPr>
        <w:drawing>
          <wp:inline distT="0" distB="0" distL="0" distR="0">
            <wp:extent cx="5045710" cy="14357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045710" cy="1435735"/>
                    </a:xfrm>
                    <a:prstGeom prst="rect">
                      <a:avLst/>
                    </a:prstGeom>
                    <a:noFill/>
                    <a:ln>
                      <a:noFill/>
                    </a:ln>
                  </pic:spPr>
                </pic:pic>
              </a:graphicData>
            </a:graphic>
          </wp:inline>
        </w:drawing>
      </w:r>
    </w:p>
    <w:p>
      <w:pPr>
        <w:pStyle w:val="0"/>
        <w:jc w:val="both"/>
      </w:pPr>
      <w:r>
        <w:rPr>
          <w:sz w:val="20"/>
        </w:rPr>
      </w:r>
    </w:p>
    <w:p>
      <w:pPr>
        <w:pStyle w:val="0"/>
        <w:jc w:val="center"/>
      </w:pPr>
      <w:r>
        <w:rPr>
          <w:position w:val="-110"/>
        </w:rPr>
        <w:drawing>
          <wp:inline distT="0" distB="0" distL="0" distR="0">
            <wp:extent cx="5031105" cy="1534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031105" cy="153479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выручки резидентов СПВ, вошедших в периметр анализа, с 2017 года по 2022 год вырос в 4,1 раза, количество резидентов - в 2,3 раза, величина капитальных вложений - в 2,1 раза, численность сотрудников - в 2,3 раза. При этом в 2022 году несмотря на рост числа резидентов и увеличение численности сотрудников на 8,5% по сравнению с 2021 годом, совокупный объем капитальных вложений за аналогичный период снизился на 19,1%.</w:t>
      </w:r>
    </w:p>
    <w:p>
      <w:pPr>
        <w:pStyle w:val="0"/>
        <w:spacing w:before="200" w:line-rule="auto"/>
        <w:ind w:firstLine="540"/>
        <w:jc w:val="both"/>
      </w:pPr>
      <w:r>
        <w:rPr>
          <w:sz w:val="20"/>
        </w:rPr>
        <w:t xml:space="preserve">С 2017 года по 2022 год общая величина выпадающих доходов бюджетов бюджетной системы Российской Федерации (по резидентам ИНЛ, вошедшим в периметр анализа) в связи с предоставлением ИНЛ, увеличилась с 0,5 млрд руб. до 12,3 млрд руб. (в 24,1 раза), в том числе с 0,5 млрд руб. до 11,9 млрд руб. (в 24,7 раза) по налоговым льготам и с 0 млрд руб. до 0,4 млрд руб. по неналоговым мерам поддержки (в 13,2 раза). Таким образом, за 2022 год доля налоговых льгот и неналоговых мер поддержки в общей величине выпадающих доходов бюджетов бюджетной системы Российской Федерации для резидентов данной ИНЛ, вошедших в периметр анализа, составляла 97,1% и 2,9% соответственно.</w:t>
      </w:r>
    </w:p>
    <w:p>
      <w:pPr>
        <w:pStyle w:val="0"/>
        <w:spacing w:before="200" w:line-rule="auto"/>
        <w:ind w:firstLine="540"/>
        <w:jc w:val="both"/>
      </w:pPr>
      <w:r>
        <w:rPr>
          <w:sz w:val="20"/>
        </w:rPr>
        <w:t xml:space="preserve">В ТОП-3 отраслей по объему выручки за период анализа вошли отрасли по транспортной обработке грузов (17,4%), рыболовство морское (14,4%), а также деятельность в области инженерных изысканий (10,2%).</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выросла по сравнению с анализом за прошлый год с 48,0% до 53,9%. При дальнейшей отраслевой дифференциации выявлены отрасли (всего 67 </w:t>
      </w:r>
      <w:hyperlink w:history="0" r:id="rId105"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с наиболее прибыльными компаниями, применяющими режим.</w:t>
      </w:r>
    </w:p>
    <w:p>
      <w:pPr>
        <w:pStyle w:val="0"/>
        <w:jc w:val="both"/>
      </w:pPr>
      <w:r>
        <w:rPr>
          <w:sz w:val="20"/>
        </w:rPr>
      </w:r>
    </w:p>
    <w:p>
      <w:pPr>
        <w:pStyle w:val="0"/>
        <w:ind w:firstLine="540"/>
        <w:jc w:val="both"/>
      </w:pPr>
      <w:r>
        <w:rPr>
          <w:sz w:val="20"/>
        </w:rPr>
        <w:t xml:space="preserve">Таблица 12. ТОП-5 по выручке отраслей, в которых выявлена сверхдоходность или низкая инвестиционная активность</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907"/>
        <w:gridCol w:w="1927"/>
        <w:gridCol w:w="1247"/>
        <w:gridCol w:w="1247"/>
        <w:gridCol w:w="1247"/>
        <w:gridCol w:w="1247"/>
        <w:gridCol w:w="1247"/>
      </w:tblGrid>
      <w:tr>
        <w:tblPrEx>
          <w:tblBorders>
            <w:insideH w:val="single" w:sz="4"/>
          </w:tblBorders>
        </w:tblPrEx>
        <w:tc>
          <w:tcPr>
            <w:tcW w:w="907" w:type="dxa"/>
            <w:tcBorders>
              <w:top w:val="single" w:sz="4"/>
              <w:left w:val="nil"/>
              <w:bottom w:val="single" w:sz="4"/>
              <w:right w:val="nil"/>
            </w:tcBorders>
          </w:tcPr>
          <w:p>
            <w:pPr>
              <w:pStyle w:val="0"/>
              <w:jc w:val="center"/>
            </w:pPr>
            <w:hyperlink w:history="0" r:id="rId106"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1927" w:type="dxa"/>
            <w:tcBorders>
              <w:top w:val="single" w:sz="4"/>
              <w:left w:val="nil"/>
              <w:bottom w:val="single" w:sz="4"/>
              <w:right w:val="nil"/>
            </w:tcBorders>
          </w:tcPr>
          <w:p>
            <w:pPr>
              <w:pStyle w:val="0"/>
              <w:jc w:val="center"/>
            </w:pPr>
            <w:r>
              <w:rPr>
                <w:sz w:val="20"/>
              </w:rPr>
              <w:t xml:space="preserve">Наименование отрасли</w:t>
            </w:r>
          </w:p>
        </w:tc>
        <w:tc>
          <w:tcPr>
            <w:tcW w:w="1247" w:type="dxa"/>
            <w:tcBorders>
              <w:top w:val="single" w:sz="4"/>
              <w:left w:val="nil"/>
              <w:bottom w:val="single" w:sz="4"/>
              <w:right w:val="nil"/>
            </w:tcBorders>
          </w:tcPr>
          <w:p>
            <w:pPr>
              <w:pStyle w:val="0"/>
              <w:jc w:val="center"/>
            </w:pPr>
            <w:r>
              <w:rPr>
                <w:sz w:val="20"/>
              </w:rPr>
              <w:t xml:space="preserve">Выручка по отрасли </w:t>
            </w:r>
            <w:hyperlink w:history="0" w:anchor="P4704" w:tooltip="&lt;*&gt; сумма средних значений выручки в рамках отрасли по всем резидентам за период анализа">
              <w:r>
                <w:rPr>
                  <w:sz w:val="20"/>
                  <w:color w:val="0000ff"/>
                </w:rPr>
                <w:t xml:space="preserve">&lt;*&gt;</w:t>
              </w:r>
            </w:hyperlink>
            <w:r>
              <w:rPr>
                <w:sz w:val="20"/>
              </w:rPr>
              <w:t xml:space="preserve"> млрд </w:t>
            </w:r>
            <w:r>
              <w:rPr>
                <w:position w:val="-6"/>
              </w:rPr>
              <w:drawing>
                <wp:inline distT="0" distB="0" distL="0" distR="0">
                  <wp:extent cx="14351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 cy="215265"/>
                          </a:xfrm>
                          <a:prstGeom prst="rect">
                            <a:avLst/>
                          </a:prstGeom>
                          <a:noFill/>
                          <a:ln>
                            <a:noFill/>
                          </a:ln>
                        </pic:spPr>
                      </pic:pic>
                    </a:graphicData>
                  </a:graphic>
                </wp:inline>
              </w:drawing>
            </w:r>
          </w:p>
        </w:tc>
        <w:tc>
          <w:tcPr>
            <w:tcW w:w="1247"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4705"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24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4706" w:tooltip="&lt;***&gt; средневзвешенная по выручке на основе данных за весь период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907" w:type="dxa"/>
            <w:vAlign w:val="center"/>
            <w:tcBorders>
              <w:top w:val="single" w:sz="4"/>
              <w:left w:val="nil"/>
              <w:bottom w:val="nil"/>
              <w:right w:val="nil"/>
            </w:tcBorders>
          </w:tcPr>
          <w:p>
            <w:pPr>
              <w:pStyle w:val="0"/>
              <w:jc w:val="center"/>
            </w:pPr>
            <w:hyperlink w:history="0" r:id="rId107"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52.24</w:t>
              </w:r>
            </w:hyperlink>
          </w:p>
        </w:tc>
        <w:tc>
          <w:tcPr>
            <w:tcW w:w="1927" w:type="dxa"/>
            <w:tcBorders>
              <w:top w:val="single" w:sz="4"/>
              <w:left w:val="nil"/>
              <w:bottom w:val="nil"/>
              <w:right w:val="nil"/>
            </w:tcBorders>
          </w:tcPr>
          <w:p>
            <w:pPr>
              <w:pStyle w:val="0"/>
              <w:jc w:val="both"/>
            </w:pPr>
            <w:r>
              <w:rPr>
                <w:sz w:val="20"/>
              </w:rPr>
              <w:t xml:space="preserve">Транспортная обработка грузов</w:t>
            </w:r>
          </w:p>
        </w:tc>
        <w:tc>
          <w:tcPr>
            <w:tcW w:w="1247" w:type="dxa"/>
            <w:vAlign w:val="center"/>
            <w:tcBorders>
              <w:top w:val="single" w:sz="4"/>
              <w:left w:val="nil"/>
              <w:bottom w:val="nil"/>
              <w:right w:val="nil"/>
            </w:tcBorders>
          </w:tcPr>
          <w:p>
            <w:pPr>
              <w:pStyle w:val="0"/>
              <w:jc w:val="center"/>
            </w:pPr>
            <w:r>
              <w:rPr>
                <w:sz w:val="20"/>
              </w:rPr>
              <w:t xml:space="preserve">40,9</w:t>
            </w:r>
          </w:p>
        </w:tc>
        <w:tc>
          <w:tcPr>
            <w:tcW w:w="1247" w:type="dxa"/>
            <w:vAlign w:val="center"/>
            <w:tcBorders>
              <w:top w:val="single" w:sz="4"/>
              <w:left w:val="nil"/>
              <w:bottom w:val="nil"/>
              <w:right w:val="nil"/>
            </w:tcBorders>
          </w:tcPr>
          <w:p>
            <w:pPr>
              <w:pStyle w:val="0"/>
              <w:jc w:val="center"/>
            </w:pPr>
            <w:r>
              <w:rPr>
                <w:sz w:val="20"/>
              </w:rPr>
              <w:t xml:space="preserve">46,8%</w:t>
            </w:r>
          </w:p>
        </w:tc>
        <w:tc>
          <w:tcPr>
            <w:tcW w:w="1247" w:type="dxa"/>
            <w:vAlign w:val="center"/>
            <w:tcBorders>
              <w:top w:val="single" w:sz="4"/>
              <w:left w:val="nil"/>
              <w:bottom w:val="nil"/>
              <w:right w:val="single" w:sz="4"/>
            </w:tcBorders>
          </w:tcPr>
          <w:p>
            <w:pPr>
              <w:pStyle w:val="0"/>
              <w:jc w:val="center"/>
            </w:pPr>
            <w:r>
              <w:rPr>
                <w:sz w:val="20"/>
              </w:rPr>
              <w:t xml:space="preserve">24,9%</w:t>
            </w:r>
          </w:p>
        </w:tc>
        <w:tc>
          <w:tcPr>
            <w:tcW w:w="1247" w:type="dxa"/>
            <w:vAlign w:val="center"/>
            <w:tcBorders>
              <w:top w:val="single" w:sz="4"/>
              <w:left w:val="single" w:sz="4"/>
              <w:bottom w:val="nil"/>
              <w:right w:val="nil"/>
            </w:tcBorders>
          </w:tcPr>
          <w:p>
            <w:pPr>
              <w:pStyle w:val="0"/>
              <w:jc w:val="center"/>
            </w:pPr>
            <w:r>
              <w:rPr>
                <w:sz w:val="20"/>
              </w:rPr>
              <w:t xml:space="preserve">46,0%</w:t>
            </w:r>
          </w:p>
        </w:tc>
        <w:tc>
          <w:tcPr>
            <w:tcW w:w="1247" w:type="dxa"/>
            <w:vAlign w:val="center"/>
            <w:tcBorders>
              <w:top w:val="single" w:sz="4"/>
              <w:left w:val="nil"/>
              <w:bottom w:val="nil"/>
              <w:right w:val="single" w:sz="4"/>
            </w:tcBorders>
          </w:tcPr>
          <w:p>
            <w:pPr>
              <w:pStyle w:val="0"/>
              <w:jc w:val="center"/>
            </w:pPr>
            <w:r>
              <w:rPr>
                <w:sz w:val="20"/>
              </w:rPr>
              <w:t xml:space="preserve">29,4%</w:t>
            </w:r>
          </w:p>
        </w:tc>
      </w:tr>
      <w:tr>
        <w:tc>
          <w:tcPr>
            <w:tcW w:w="907" w:type="dxa"/>
            <w:vAlign w:val="center"/>
            <w:tcBorders>
              <w:top w:val="nil"/>
              <w:left w:val="nil"/>
              <w:bottom w:val="nil"/>
              <w:right w:val="nil"/>
            </w:tcBorders>
          </w:tcPr>
          <w:p>
            <w:pPr>
              <w:pStyle w:val="0"/>
              <w:jc w:val="center"/>
            </w:pPr>
            <w:hyperlink w:history="0" r:id="rId10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03.11</w:t>
              </w:r>
            </w:hyperlink>
          </w:p>
        </w:tc>
        <w:tc>
          <w:tcPr>
            <w:tcW w:w="1927" w:type="dxa"/>
            <w:tcBorders>
              <w:top w:val="nil"/>
              <w:left w:val="nil"/>
              <w:bottom w:val="nil"/>
              <w:right w:val="nil"/>
            </w:tcBorders>
          </w:tcPr>
          <w:p>
            <w:pPr>
              <w:pStyle w:val="0"/>
              <w:jc w:val="both"/>
            </w:pPr>
            <w:r>
              <w:rPr>
                <w:sz w:val="20"/>
              </w:rPr>
              <w:t xml:space="preserve">Рыболовство морское</w:t>
            </w:r>
          </w:p>
        </w:tc>
        <w:tc>
          <w:tcPr>
            <w:tcW w:w="1247" w:type="dxa"/>
            <w:vAlign w:val="center"/>
            <w:tcBorders>
              <w:top w:val="nil"/>
              <w:left w:val="nil"/>
              <w:bottom w:val="nil"/>
              <w:right w:val="nil"/>
            </w:tcBorders>
          </w:tcPr>
          <w:p>
            <w:pPr>
              <w:pStyle w:val="0"/>
              <w:jc w:val="center"/>
            </w:pPr>
            <w:r>
              <w:rPr>
                <w:sz w:val="20"/>
              </w:rPr>
              <w:t xml:space="preserve">33,8</w:t>
            </w:r>
          </w:p>
        </w:tc>
        <w:tc>
          <w:tcPr>
            <w:tcW w:w="1247" w:type="dxa"/>
            <w:vAlign w:val="center"/>
            <w:tcBorders>
              <w:top w:val="nil"/>
              <w:left w:val="nil"/>
              <w:bottom w:val="nil"/>
              <w:right w:val="nil"/>
            </w:tcBorders>
          </w:tcPr>
          <w:p>
            <w:pPr>
              <w:pStyle w:val="0"/>
              <w:jc w:val="center"/>
            </w:pPr>
            <w:r>
              <w:rPr>
                <w:sz w:val="20"/>
              </w:rPr>
              <w:t xml:space="preserve">32,6%</w:t>
            </w:r>
          </w:p>
        </w:tc>
        <w:tc>
          <w:tcPr>
            <w:tcW w:w="1247" w:type="dxa"/>
            <w:vAlign w:val="center"/>
            <w:tcBorders>
              <w:top w:val="nil"/>
              <w:left w:val="nil"/>
              <w:bottom w:val="nil"/>
              <w:right w:val="single" w:sz="4"/>
            </w:tcBorders>
          </w:tcPr>
          <w:p>
            <w:pPr>
              <w:pStyle w:val="0"/>
              <w:jc w:val="center"/>
            </w:pPr>
            <w:r>
              <w:rPr>
                <w:sz w:val="20"/>
              </w:rPr>
              <w:t xml:space="preserve">11,8%</w:t>
            </w:r>
          </w:p>
        </w:tc>
        <w:tc>
          <w:tcPr>
            <w:tcW w:w="1247" w:type="dxa"/>
            <w:vAlign w:val="center"/>
            <w:tcBorders>
              <w:top w:val="nil"/>
              <w:left w:val="single" w:sz="4"/>
              <w:bottom w:val="nil"/>
              <w:right w:val="nil"/>
            </w:tcBorders>
          </w:tcPr>
          <w:p>
            <w:pPr>
              <w:pStyle w:val="0"/>
              <w:jc w:val="center"/>
            </w:pPr>
            <w:r>
              <w:rPr>
                <w:sz w:val="20"/>
              </w:rPr>
              <w:t xml:space="preserve">39,5%</w:t>
            </w:r>
          </w:p>
        </w:tc>
        <w:tc>
          <w:tcPr>
            <w:tcW w:w="1247" w:type="dxa"/>
            <w:vAlign w:val="center"/>
            <w:tcBorders>
              <w:top w:val="nil"/>
              <w:left w:val="nil"/>
              <w:bottom w:val="nil"/>
              <w:right w:val="single" w:sz="4"/>
            </w:tcBorders>
          </w:tcPr>
          <w:p>
            <w:pPr>
              <w:pStyle w:val="0"/>
              <w:jc w:val="center"/>
            </w:pPr>
            <w:r>
              <w:rPr>
                <w:sz w:val="20"/>
              </w:rPr>
              <w:t xml:space="preserve">19,4%</w:t>
            </w:r>
          </w:p>
        </w:tc>
      </w:tr>
      <w:tr>
        <w:tc>
          <w:tcPr>
            <w:tcW w:w="907" w:type="dxa"/>
            <w:vAlign w:val="center"/>
            <w:tcBorders>
              <w:top w:val="nil"/>
              <w:left w:val="nil"/>
              <w:bottom w:val="nil"/>
              <w:right w:val="nil"/>
            </w:tcBorders>
          </w:tcPr>
          <w:p>
            <w:pPr>
              <w:pStyle w:val="0"/>
              <w:jc w:val="center"/>
            </w:pPr>
            <w:hyperlink w:history="0" r:id="rId10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68.20</w:t>
              </w:r>
            </w:hyperlink>
          </w:p>
        </w:tc>
        <w:tc>
          <w:tcPr>
            <w:tcW w:w="1927" w:type="dxa"/>
            <w:tcBorders>
              <w:top w:val="nil"/>
              <w:left w:val="nil"/>
              <w:bottom w:val="nil"/>
              <w:right w:val="nil"/>
            </w:tcBorders>
          </w:tcPr>
          <w:p>
            <w:pPr>
              <w:pStyle w:val="0"/>
              <w:jc w:val="both"/>
            </w:pPr>
            <w:r>
              <w:rPr>
                <w:sz w:val="20"/>
              </w:rPr>
              <w:t xml:space="preserve">Аренда и управление собственным или арендованным недвижимым имуществом</w:t>
            </w:r>
          </w:p>
        </w:tc>
        <w:tc>
          <w:tcPr>
            <w:tcW w:w="1247" w:type="dxa"/>
            <w:vAlign w:val="center"/>
            <w:tcBorders>
              <w:top w:val="nil"/>
              <w:left w:val="nil"/>
              <w:bottom w:val="nil"/>
              <w:right w:val="nil"/>
            </w:tcBorders>
          </w:tcPr>
          <w:p>
            <w:pPr>
              <w:pStyle w:val="0"/>
              <w:jc w:val="center"/>
            </w:pPr>
            <w:r>
              <w:rPr>
                <w:sz w:val="20"/>
              </w:rPr>
              <w:t xml:space="preserve">2,6</w:t>
            </w:r>
          </w:p>
        </w:tc>
        <w:tc>
          <w:tcPr>
            <w:tcW w:w="1247" w:type="dxa"/>
            <w:vAlign w:val="center"/>
            <w:tcBorders>
              <w:top w:val="nil"/>
              <w:left w:val="nil"/>
              <w:bottom w:val="nil"/>
              <w:right w:val="nil"/>
            </w:tcBorders>
          </w:tcPr>
          <w:p>
            <w:pPr>
              <w:pStyle w:val="0"/>
              <w:jc w:val="center"/>
            </w:pPr>
            <w:r>
              <w:rPr>
                <w:sz w:val="20"/>
              </w:rPr>
              <w:t xml:space="preserve">51,1%</w:t>
            </w:r>
          </w:p>
        </w:tc>
        <w:tc>
          <w:tcPr>
            <w:tcW w:w="1247" w:type="dxa"/>
            <w:vAlign w:val="center"/>
            <w:tcBorders>
              <w:top w:val="nil"/>
              <w:left w:val="nil"/>
              <w:bottom w:val="nil"/>
              <w:right w:val="single" w:sz="4"/>
            </w:tcBorders>
          </w:tcPr>
          <w:p>
            <w:pPr>
              <w:pStyle w:val="0"/>
              <w:jc w:val="center"/>
            </w:pPr>
            <w:r>
              <w:rPr>
                <w:sz w:val="20"/>
              </w:rPr>
              <w:t xml:space="preserve">18,9%</w:t>
            </w:r>
          </w:p>
        </w:tc>
        <w:tc>
          <w:tcPr>
            <w:tcW w:w="1247" w:type="dxa"/>
            <w:vAlign w:val="center"/>
            <w:tcBorders>
              <w:top w:val="nil"/>
              <w:left w:val="single" w:sz="4"/>
              <w:bottom w:val="nil"/>
              <w:right w:val="nil"/>
            </w:tcBorders>
          </w:tcPr>
          <w:p>
            <w:pPr>
              <w:pStyle w:val="0"/>
              <w:jc w:val="center"/>
            </w:pPr>
            <w:r>
              <w:rPr>
                <w:sz w:val="20"/>
              </w:rPr>
              <w:t xml:space="preserve">28,5%</w:t>
            </w:r>
          </w:p>
        </w:tc>
        <w:tc>
          <w:tcPr>
            <w:tcW w:w="1247" w:type="dxa"/>
            <w:vAlign w:val="center"/>
            <w:tcBorders>
              <w:top w:val="nil"/>
              <w:left w:val="nil"/>
              <w:bottom w:val="nil"/>
              <w:right w:val="single" w:sz="4"/>
            </w:tcBorders>
          </w:tcPr>
          <w:p>
            <w:pPr>
              <w:pStyle w:val="0"/>
              <w:jc w:val="center"/>
            </w:pPr>
            <w:r>
              <w:rPr>
                <w:sz w:val="20"/>
              </w:rPr>
              <w:t xml:space="preserve">16,6%</w:t>
            </w:r>
          </w:p>
        </w:tc>
      </w:tr>
      <w:tr>
        <w:tc>
          <w:tcPr>
            <w:tcW w:w="907" w:type="dxa"/>
            <w:vAlign w:val="center"/>
            <w:tcBorders>
              <w:top w:val="nil"/>
              <w:left w:val="nil"/>
              <w:bottom w:val="nil"/>
              <w:right w:val="nil"/>
            </w:tcBorders>
          </w:tcPr>
          <w:p>
            <w:pPr>
              <w:pStyle w:val="0"/>
              <w:jc w:val="center"/>
            </w:pPr>
            <w:hyperlink w:history="0" r:id="rId11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25.61</w:t>
              </w:r>
            </w:hyperlink>
          </w:p>
        </w:tc>
        <w:tc>
          <w:tcPr>
            <w:tcW w:w="1927" w:type="dxa"/>
            <w:tcBorders>
              <w:top w:val="nil"/>
              <w:left w:val="nil"/>
              <w:bottom w:val="nil"/>
              <w:right w:val="nil"/>
            </w:tcBorders>
          </w:tcPr>
          <w:p>
            <w:pPr>
              <w:pStyle w:val="0"/>
              <w:jc w:val="both"/>
            </w:pPr>
            <w:r>
              <w:rPr>
                <w:sz w:val="20"/>
              </w:rPr>
              <w:t xml:space="preserve">Обработка металлов и нанесение покрытий на металлы</w:t>
            </w:r>
          </w:p>
        </w:tc>
        <w:tc>
          <w:tcPr>
            <w:tcW w:w="1247" w:type="dxa"/>
            <w:vAlign w:val="center"/>
            <w:tcBorders>
              <w:top w:val="nil"/>
              <w:left w:val="nil"/>
              <w:bottom w:val="nil"/>
              <w:right w:val="nil"/>
            </w:tcBorders>
          </w:tcPr>
          <w:p>
            <w:pPr>
              <w:pStyle w:val="0"/>
              <w:jc w:val="center"/>
            </w:pPr>
            <w:r>
              <w:rPr>
                <w:sz w:val="20"/>
              </w:rPr>
              <w:t xml:space="preserve">2,2</w:t>
            </w:r>
          </w:p>
        </w:tc>
        <w:tc>
          <w:tcPr>
            <w:tcW w:w="1247" w:type="dxa"/>
            <w:vAlign w:val="center"/>
            <w:tcBorders>
              <w:top w:val="nil"/>
              <w:left w:val="nil"/>
              <w:bottom w:val="nil"/>
              <w:right w:val="nil"/>
            </w:tcBorders>
          </w:tcPr>
          <w:p>
            <w:pPr>
              <w:pStyle w:val="0"/>
              <w:jc w:val="center"/>
            </w:pPr>
            <w:r>
              <w:rPr>
                <w:sz w:val="20"/>
              </w:rPr>
              <w:t xml:space="preserve">-8,9%</w:t>
            </w:r>
          </w:p>
        </w:tc>
        <w:tc>
          <w:tcPr>
            <w:tcW w:w="1247" w:type="dxa"/>
            <w:vAlign w:val="center"/>
            <w:tcBorders>
              <w:top w:val="nil"/>
              <w:left w:val="nil"/>
              <w:bottom w:val="nil"/>
              <w:right w:val="single" w:sz="4"/>
            </w:tcBorders>
          </w:tcPr>
          <w:p>
            <w:pPr>
              <w:pStyle w:val="0"/>
              <w:jc w:val="center"/>
            </w:pPr>
            <w:r>
              <w:rPr>
                <w:sz w:val="20"/>
              </w:rPr>
              <w:t xml:space="preserve">-7,0%</w:t>
            </w:r>
          </w:p>
        </w:tc>
        <w:tc>
          <w:tcPr>
            <w:tcW w:w="1247" w:type="dxa"/>
            <w:vAlign w:val="center"/>
            <w:tcBorders>
              <w:top w:val="nil"/>
              <w:left w:val="single" w:sz="4"/>
              <w:bottom w:val="nil"/>
              <w:right w:val="nil"/>
            </w:tcBorders>
          </w:tcPr>
          <w:p>
            <w:pPr>
              <w:pStyle w:val="0"/>
              <w:jc w:val="center"/>
            </w:pPr>
            <w:r>
              <w:rPr>
                <w:sz w:val="20"/>
              </w:rPr>
              <w:t xml:space="preserve">10,5%</w:t>
            </w:r>
          </w:p>
        </w:tc>
        <w:tc>
          <w:tcPr>
            <w:tcW w:w="1247" w:type="dxa"/>
            <w:vAlign w:val="center"/>
            <w:tcBorders>
              <w:top w:val="nil"/>
              <w:left w:val="nil"/>
              <w:bottom w:val="nil"/>
              <w:right w:val="single" w:sz="4"/>
            </w:tcBorders>
          </w:tcPr>
          <w:p>
            <w:pPr>
              <w:pStyle w:val="0"/>
              <w:jc w:val="center"/>
            </w:pPr>
            <w:r>
              <w:rPr>
                <w:sz w:val="20"/>
              </w:rPr>
              <w:t xml:space="preserve">32,6%</w:t>
            </w:r>
          </w:p>
        </w:tc>
      </w:tr>
      <w:tr>
        <w:tc>
          <w:tcPr>
            <w:tcW w:w="907" w:type="dxa"/>
            <w:vAlign w:val="center"/>
            <w:tcBorders>
              <w:top w:val="nil"/>
              <w:left w:val="nil"/>
              <w:bottom w:val="single" w:sz="4"/>
              <w:right w:val="nil"/>
            </w:tcBorders>
          </w:tcPr>
          <w:p>
            <w:pPr>
              <w:pStyle w:val="0"/>
              <w:jc w:val="center"/>
            </w:pPr>
            <w:hyperlink w:history="0" r:id="rId11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22.22</w:t>
              </w:r>
            </w:hyperlink>
          </w:p>
        </w:tc>
        <w:tc>
          <w:tcPr>
            <w:tcW w:w="1927" w:type="dxa"/>
            <w:tcBorders>
              <w:top w:val="nil"/>
              <w:left w:val="nil"/>
              <w:bottom w:val="single" w:sz="4"/>
              <w:right w:val="nil"/>
            </w:tcBorders>
          </w:tcPr>
          <w:p>
            <w:pPr>
              <w:pStyle w:val="0"/>
              <w:jc w:val="both"/>
            </w:pPr>
            <w:r>
              <w:rPr>
                <w:sz w:val="20"/>
              </w:rPr>
              <w:t xml:space="preserve">Производство пластмассовых изделий для упаковывания товаров</w:t>
            </w:r>
          </w:p>
        </w:tc>
        <w:tc>
          <w:tcPr>
            <w:tcW w:w="1247" w:type="dxa"/>
            <w:vAlign w:val="center"/>
            <w:tcBorders>
              <w:top w:val="nil"/>
              <w:left w:val="nil"/>
              <w:bottom w:val="single" w:sz="4"/>
              <w:right w:val="nil"/>
            </w:tcBorders>
          </w:tcPr>
          <w:p>
            <w:pPr>
              <w:pStyle w:val="0"/>
              <w:jc w:val="center"/>
            </w:pPr>
            <w:r>
              <w:rPr>
                <w:sz w:val="20"/>
              </w:rPr>
              <w:t xml:space="preserve">1,1</w:t>
            </w:r>
          </w:p>
        </w:tc>
        <w:tc>
          <w:tcPr>
            <w:tcW w:w="1247" w:type="dxa"/>
            <w:vAlign w:val="center"/>
            <w:tcBorders>
              <w:top w:val="nil"/>
              <w:left w:val="nil"/>
              <w:bottom w:val="single" w:sz="4"/>
              <w:right w:val="nil"/>
            </w:tcBorders>
          </w:tcPr>
          <w:p>
            <w:pPr>
              <w:pStyle w:val="0"/>
              <w:jc w:val="center"/>
            </w:pPr>
            <w:r>
              <w:rPr>
                <w:sz w:val="20"/>
              </w:rPr>
              <w:t xml:space="preserve">45,7%</w:t>
            </w:r>
          </w:p>
        </w:tc>
        <w:tc>
          <w:tcPr>
            <w:tcW w:w="1247" w:type="dxa"/>
            <w:vAlign w:val="center"/>
            <w:tcBorders>
              <w:top w:val="nil"/>
              <w:left w:val="nil"/>
              <w:bottom w:val="single" w:sz="4"/>
              <w:right w:val="single" w:sz="4"/>
            </w:tcBorders>
          </w:tcPr>
          <w:p>
            <w:pPr>
              <w:pStyle w:val="0"/>
              <w:jc w:val="center"/>
            </w:pPr>
            <w:r>
              <w:rPr>
                <w:sz w:val="20"/>
              </w:rPr>
              <w:t xml:space="preserve">60,4%</w:t>
            </w:r>
          </w:p>
        </w:tc>
        <w:tc>
          <w:tcPr>
            <w:tcW w:w="1247" w:type="dxa"/>
            <w:vAlign w:val="center"/>
            <w:tcBorders>
              <w:top w:val="nil"/>
              <w:left w:val="single" w:sz="4"/>
              <w:bottom w:val="single" w:sz="4"/>
              <w:right w:val="nil"/>
            </w:tcBorders>
          </w:tcPr>
          <w:p>
            <w:pPr>
              <w:pStyle w:val="0"/>
              <w:jc w:val="center"/>
            </w:pPr>
            <w:r>
              <w:rPr>
                <w:sz w:val="20"/>
              </w:rPr>
              <w:t xml:space="preserve">32,8%</w:t>
            </w:r>
          </w:p>
        </w:tc>
        <w:tc>
          <w:tcPr>
            <w:tcW w:w="1247" w:type="dxa"/>
            <w:vAlign w:val="center"/>
            <w:tcBorders>
              <w:top w:val="nil"/>
              <w:left w:val="nil"/>
              <w:bottom w:val="single" w:sz="4"/>
              <w:right w:val="single" w:sz="4"/>
            </w:tcBorders>
          </w:tcPr>
          <w:p>
            <w:pPr>
              <w:pStyle w:val="0"/>
              <w:jc w:val="center"/>
            </w:pPr>
            <w:r>
              <w:rPr>
                <w:sz w:val="20"/>
              </w:rPr>
              <w:t xml:space="preserve">45,1%</w:t>
            </w:r>
          </w:p>
        </w:tc>
      </w:tr>
    </w:tbl>
    <w:p>
      <w:pPr>
        <w:pStyle w:val="0"/>
        <w:jc w:val="both"/>
      </w:pPr>
      <w:r>
        <w:rPr>
          <w:sz w:val="20"/>
        </w:rPr>
      </w:r>
    </w:p>
    <w:p>
      <w:pPr>
        <w:pStyle w:val="0"/>
        <w:ind w:firstLine="540"/>
        <w:jc w:val="both"/>
      </w:pPr>
      <w:r>
        <w:rPr>
          <w:sz w:val="20"/>
        </w:rPr>
        <w:t xml:space="preserve">--------------------------------</w:t>
      </w:r>
    </w:p>
    <w:bookmarkStart w:id="4704" w:name="P4704"/>
    <w:bookmarkEnd w:id="4704"/>
    <w:p>
      <w:pPr>
        <w:pStyle w:val="0"/>
        <w:spacing w:before="200" w:line-rule="auto"/>
        <w:ind w:firstLine="540"/>
        <w:jc w:val="both"/>
      </w:pPr>
      <w:r>
        <w:rPr>
          <w:sz w:val="20"/>
        </w:rPr>
        <w:t xml:space="preserve">&lt;*&gt; сумма средних значений выручки в рамках отрасли по всем резидентам за период анализа</w:t>
      </w:r>
    </w:p>
    <w:bookmarkStart w:id="4705" w:name="P4705"/>
    <w:bookmarkEnd w:id="4705"/>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4706" w:name="P4706"/>
    <w:bookmarkEnd w:id="4706"/>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В отношении ТОП-5 по выручке отраслей, в которых выявлена сверхдоходность или низкая инвестиционная активность, стоит отметить, что отрасль по обработке металлов и нанесению покрытий на металлы в целом за период демонстрирует высокую доходность активов и низкую инвестиционную активность, несмотря на отрицательные значения операционной рентабельности и доходности активов в последние годы.</w:t>
      </w:r>
    </w:p>
    <w:p>
      <w:pPr>
        <w:pStyle w:val="0"/>
        <w:spacing w:before="200" w:line-rule="auto"/>
        <w:ind w:firstLine="540"/>
        <w:jc w:val="both"/>
      </w:pPr>
      <w:r>
        <w:rPr>
          <w:sz w:val="20"/>
        </w:rPr>
        <w:t xml:space="preserve">Таким образом, режим СПВ требует "донастройки", например, для новых резидентов в части ограничения видов деятельности, которые могут пользоваться налоговыми льготами и неналоговыми мерами поддержки.</w:t>
      </w:r>
    </w:p>
    <w:p>
      <w:pPr>
        <w:pStyle w:val="0"/>
        <w:spacing w:before="200" w:line-rule="auto"/>
        <w:ind w:firstLine="540"/>
        <w:jc w:val="both"/>
      </w:pPr>
      <w:r>
        <w:rPr>
          <w:sz w:val="20"/>
        </w:rPr>
        <w:t xml:space="preserve">Также отмечаем, что на основе результатов анализа эффективности ИНЛ Минфином России подготовлены предложения по внесению изменений в Налоговый </w:t>
      </w:r>
      <w:hyperlink w:history="0" r:id="rId112"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кодекс</w:t>
        </w:r>
      </w:hyperlink>
      <w:r>
        <w:rPr>
          <w:sz w:val="20"/>
        </w:rPr>
        <w:t xml:space="preserve"> Российской Федерации, направленные на совершенствование налогового регулирования режима СПВ (более подробно см. "</w:t>
      </w:r>
      <w:hyperlink w:history="0" w:anchor="P4168" w:tooltip="Результаты анализа эффективности ИНЛ">
        <w:r>
          <w:rPr>
            <w:sz w:val="20"/>
            <w:color w:val="0000ff"/>
          </w:rPr>
          <w:t xml:space="preserve">Результаты анализа</w:t>
        </w:r>
      </w:hyperlink>
      <w:r>
        <w:rPr>
          <w:sz w:val="20"/>
        </w:rPr>
        <w:t xml:space="preserve"> эффективности ИНЛ").</w:t>
      </w:r>
    </w:p>
    <w:p>
      <w:pPr>
        <w:pStyle w:val="0"/>
        <w:spacing w:before="200" w:line-rule="auto"/>
        <w:ind w:firstLine="540"/>
        <w:jc w:val="both"/>
      </w:pPr>
      <w:r>
        <w:rPr>
          <w:sz w:val="20"/>
        </w:rPr>
        <w:t xml:space="preserve">Дополнительно отмечаем, что:</w:t>
      </w:r>
    </w:p>
    <w:p>
      <w:pPr>
        <w:pStyle w:val="0"/>
        <w:spacing w:before="200" w:line-rule="auto"/>
        <w:ind w:firstLine="540"/>
        <w:jc w:val="both"/>
      </w:pPr>
      <w:r>
        <w:rPr>
          <w:sz w:val="20"/>
        </w:rPr>
        <w:t xml:space="preserve">- отсутствует система ответственности (в том числе финансовой) субъектов Российской Федерации и управляющей компании за недостижение показателей, ранее установленных в заключенных соглашениях,</w:t>
      </w:r>
    </w:p>
    <w:p>
      <w:pPr>
        <w:pStyle w:val="0"/>
        <w:spacing w:before="200" w:line-rule="auto"/>
        <w:ind w:firstLine="540"/>
        <w:jc w:val="both"/>
      </w:pPr>
      <w:r>
        <w:rPr>
          <w:sz w:val="20"/>
        </w:rPr>
        <w:t xml:space="preserve">- происходит неэффективное использование средств федерального бюджета ввиду строительства невостребованных объектов инфраструктуры, а также возникают риски для федерального бюджета в части предоставления налоговых льгот для проектов, вероятность успешной реализации которых низкая.</w:t>
      </w:r>
    </w:p>
    <w:p>
      <w:pPr>
        <w:pStyle w:val="0"/>
        <w:jc w:val="both"/>
      </w:pPr>
      <w:r>
        <w:rPr>
          <w:sz w:val="20"/>
        </w:rPr>
      </w:r>
    </w:p>
    <w:p>
      <w:pPr>
        <w:pStyle w:val="2"/>
        <w:outlineLvl w:val="1"/>
        <w:ind w:firstLine="540"/>
        <w:jc w:val="both"/>
      </w:pPr>
      <w:r>
        <w:rPr>
          <w:sz w:val="20"/>
        </w:rPr>
        <w:t xml:space="preserve">Особая экономическая зона в Калининградской области (ОЭЗ Калининград)</w:t>
      </w:r>
    </w:p>
    <w:p>
      <w:pPr>
        <w:pStyle w:val="0"/>
        <w:jc w:val="both"/>
      </w:pPr>
      <w:r>
        <w:rPr>
          <w:sz w:val="20"/>
        </w:rPr>
      </w:r>
    </w:p>
    <w:p>
      <w:pPr>
        <w:pStyle w:val="0"/>
        <w:ind w:firstLine="540"/>
        <w:jc w:val="both"/>
      </w:pPr>
      <w:r>
        <w:rPr>
          <w:sz w:val="20"/>
        </w:rPr>
        <w:t xml:space="preserve">Таблица 13.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7"/>
        <w:gridCol w:w="340"/>
        <w:gridCol w:w="5952"/>
      </w:tblGrid>
      <w:tr>
        <w:tblPrEx>
          <w:tblBorders>
            <w:insideH w:val="single" w:sz="4"/>
          </w:tblBorders>
        </w:tblPrEx>
        <w:tc>
          <w:tcPr>
            <w:tcW w:w="2777" w:type="dxa"/>
            <w:tcBorders>
              <w:top w:val="single" w:sz="4"/>
              <w:left w:val="nil"/>
              <w:bottom w:val="single" w:sz="4"/>
              <w:right w:val="nil"/>
            </w:tcBorders>
          </w:tcPr>
          <w:p>
            <w:pPr>
              <w:pStyle w:val="0"/>
              <w:jc w:val="center"/>
            </w:pPr>
            <w:r>
              <w:rPr>
                <w:sz w:val="20"/>
              </w:rPr>
              <w:t xml:space="preserve">Показатель</w:t>
            </w:r>
          </w:p>
        </w:tc>
        <w:tc>
          <w:tcPr>
            <w:gridSpan w:val="2"/>
            <w:tcW w:w="6292" w:type="dxa"/>
            <w:tcBorders>
              <w:top w:val="single" w:sz="4"/>
              <w:left w:val="nil"/>
              <w:bottom w:val="single" w:sz="4"/>
              <w:right w:val="nil"/>
            </w:tcBorders>
          </w:tcPr>
          <w:p>
            <w:pPr>
              <w:pStyle w:val="0"/>
              <w:jc w:val="center"/>
            </w:pPr>
            <w:r>
              <w:rPr>
                <w:sz w:val="20"/>
              </w:rPr>
              <w:t xml:space="preserve">Описание</w:t>
            </w:r>
          </w:p>
        </w:tc>
      </w:tr>
      <w:tr>
        <w:tc>
          <w:tcPr>
            <w:tcW w:w="2777" w:type="dxa"/>
            <w:vAlign w:val="center"/>
            <w:tcBorders>
              <w:top w:val="single" w:sz="4"/>
              <w:left w:val="nil"/>
              <w:bottom w:val="nil"/>
              <w:right w:val="nil"/>
            </w:tcBorders>
          </w:tcPr>
          <w:p>
            <w:pPr>
              <w:pStyle w:val="0"/>
            </w:pPr>
            <w:r>
              <w:rPr>
                <w:sz w:val="20"/>
              </w:rPr>
              <w:t xml:space="preserve">Срок действия режима</w:t>
            </w:r>
          </w:p>
        </w:tc>
        <w:tc>
          <w:tcPr>
            <w:gridSpan w:val="2"/>
            <w:tcW w:w="6292" w:type="dxa"/>
            <w:vAlign w:val="center"/>
            <w:tcBorders>
              <w:top w:val="single" w:sz="4"/>
              <w:left w:val="nil"/>
              <w:bottom w:val="nil"/>
              <w:right w:val="nil"/>
            </w:tcBorders>
          </w:tcPr>
          <w:p>
            <w:pPr>
              <w:pStyle w:val="0"/>
            </w:pPr>
            <w:r>
              <w:rPr>
                <w:sz w:val="20"/>
              </w:rPr>
              <w:t xml:space="preserve">Действуете 01.04.2006 по 31.12.2045.</w:t>
            </w:r>
          </w:p>
        </w:tc>
      </w:tr>
      <w:tr>
        <w:tc>
          <w:tcPr>
            <w:tcW w:w="2777" w:type="dxa"/>
            <w:vAlign w:val="center"/>
            <w:tcBorders>
              <w:top w:val="nil"/>
              <w:left w:val="nil"/>
              <w:bottom w:val="nil"/>
              <w:right w:val="nil"/>
            </w:tcBorders>
            <w:vMerge w:val="restart"/>
          </w:tcPr>
          <w:p>
            <w:pPr>
              <w:pStyle w:val="0"/>
            </w:pPr>
            <w:r>
              <w:rPr>
                <w:sz w:val="20"/>
              </w:rPr>
              <w:t xml:space="preserve">Налоговые льготы режима</w:t>
            </w:r>
          </w:p>
        </w:tc>
        <w:tc>
          <w:tcPr>
            <w:tcW w:w="340" w:type="dxa"/>
            <w:tcBorders>
              <w:top w:val="nil"/>
              <w:left w:val="nil"/>
              <w:bottom w:val="nil"/>
              <w:right w:val="nil"/>
            </w:tcBorders>
          </w:tcPr>
          <w:p>
            <w:pPr>
              <w:pStyle w:val="0"/>
              <w:jc w:val="center"/>
            </w:pPr>
            <w:r>
              <w:rPr>
                <w:sz w:val="20"/>
              </w:rPr>
              <w:t xml:space="preserve">-</w:t>
            </w:r>
          </w:p>
        </w:tc>
        <w:tc>
          <w:tcPr>
            <w:tcW w:w="5952" w:type="dxa"/>
            <w:tcBorders>
              <w:top w:val="nil"/>
              <w:left w:val="nil"/>
              <w:bottom w:val="nil"/>
              <w:right w:val="nil"/>
            </w:tcBorders>
          </w:tcPr>
          <w:p>
            <w:pPr>
              <w:pStyle w:val="0"/>
              <w:jc w:val="both"/>
            </w:pPr>
            <w:r>
              <w:rPr>
                <w:sz w:val="20"/>
              </w:rPr>
              <w:t xml:space="preserve">пониженные ставки по налогу на прибыль в ФБ и РБ (в соответствии с законами субъектов РФ),</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jc w:val="center"/>
            </w:pPr>
            <w:r>
              <w:rPr>
                <w:sz w:val="20"/>
              </w:rPr>
              <w:t xml:space="preserve">-</w:t>
            </w:r>
          </w:p>
        </w:tc>
        <w:tc>
          <w:tcPr>
            <w:tcW w:w="5952" w:type="dxa"/>
            <w:tcBorders>
              <w:top w:val="nil"/>
              <w:left w:val="nil"/>
              <w:bottom w:val="nil"/>
              <w:right w:val="nil"/>
            </w:tcBorders>
          </w:tcPr>
          <w:p>
            <w:pPr>
              <w:pStyle w:val="0"/>
            </w:pPr>
            <w:r>
              <w:rPr>
                <w:sz w:val="20"/>
              </w:rPr>
              <w:t xml:space="preserve">пониженная ставка по налогу на имущество,</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jc w:val="center"/>
            </w:pPr>
            <w:r>
              <w:rPr>
                <w:sz w:val="20"/>
              </w:rPr>
              <w:t xml:space="preserve">-</w:t>
            </w:r>
          </w:p>
        </w:tc>
        <w:tc>
          <w:tcPr>
            <w:tcW w:w="5952" w:type="dxa"/>
            <w:tcBorders>
              <w:top w:val="nil"/>
              <w:left w:val="nil"/>
              <w:bottom w:val="nil"/>
              <w:right w:val="nil"/>
            </w:tcBorders>
          </w:tcPr>
          <w:p>
            <w:pPr>
              <w:pStyle w:val="0"/>
            </w:pPr>
            <w:r>
              <w:rPr>
                <w:sz w:val="20"/>
              </w:rPr>
              <w:t xml:space="preserve">пониженные тарифы страховых взносов.</w:t>
            </w:r>
          </w:p>
        </w:tc>
      </w:tr>
      <w:tr>
        <w:tc>
          <w:tcPr>
            <w:tcW w:w="2777" w:type="dxa"/>
            <w:vAlign w:val="center"/>
            <w:tcBorders>
              <w:top w:val="nil"/>
              <w:left w:val="nil"/>
              <w:bottom w:val="nil"/>
              <w:right w:val="nil"/>
            </w:tcBorders>
          </w:tcPr>
          <w:p>
            <w:pPr>
              <w:pStyle w:val="0"/>
              <w:jc w:val="both"/>
            </w:pPr>
            <w:r>
              <w:rPr>
                <w:sz w:val="20"/>
              </w:rPr>
              <w:t xml:space="preserve">Количество отраслей в режиме</w:t>
            </w:r>
          </w:p>
        </w:tc>
        <w:tc>
          <w:tcPr>
            <w:gridSpan w:val="2"/>
            <w:tcW w:w="6292" w:type="dxa"/>
            <w:vAlign w:val="center"/>
            <w:tcBorders>
              <w:top w:val="nil"/>
              <w:left w:val="nil"/>
              <w:bottom w:val="nil"/>
              <w:right w:val="nil"/>
            </w:tcBorders>
          </w:tcPr>
          <w:p>
            <w:pPr>
              <w:pStyle w:val="0"/>
            </w:pPr>
            <w:r>
              <w:rPr>
                <w:sz w:val="20"/>
              </w:rPr>
              <w:t xml:space="preserve">123</w:t>
            </w:r>
          </w:p>
        </w:tc>
      </w:tr>
      <w:tr>
        <w:tc>
          <w:tcPr>
            <w:tcW w:w="2777" w:type="dxa"/>
            <w:vAlign w:val="center"/>
            <w:tcBorders>
              <w:top w:val="nil"/>
              <w:left w:val="nil"/>
              <w:bottom w:val="single" w:sz="4"/>
              <w:right w:val="nil"/>
            </w:tcBorders>
          </w:tcPr>
          <w:p>
            <w:pPr>
              <w:pStyle w:val="0"/>
            </w:pPr>
            <w:r>
              <w:rPr>
                <w:sz w:val="20"/>
              </w:rPr>
              <w:t xml:space="preserve">Наличие обязательств</w:t>
            </w:r>
          </w:p>
        </w:tc>
        <w:tc>
          <w:tcPr>
            <w:gridSpan w:val="2"/>
            <w:tcW w:w="6292" w:type="dxa"/>
            <w:vAlign w:val="center"/>
            <w:tcBorders>
              <w:top w:val="nil"/>
              <w:left w:val="nil"/>
              <w:bottom w:val="single" w:sz="4"/>
              <w:right w:val="nil"/>
            </w:tcBorders>
          </w:tcPr>
          <w:p>
            <w:pPr>
              <w:pStyle w:val="0"/>
              <w:jc w:val="both"/>
            </w:pPr>
            <w:r>
              <w:rPr>
                <w:sz w:val="20"/>
              </w:rPr>
              <w:t xml:space="preserve">Да (капитальные вложения в первые 3 года не менее 150 млн руб., в ряде отраслей - от 1 млн руб.)</w:t>
            </w:r>
          </w:p>
        </w:tc>
      </w:tr>
    </w:tbl>
    <w:p>
      <w:pPr>
        <w:pStyle w:val="0"/>
        <w:jc w:val="both"/>
      </w:pPr>
      <w:r>
        <w:rPr>
          <w:sz w:val="20"/>
        </w:rPr>
      </w:r>
    </w:p>
    <w:p>
      <w:pPr>
        <w:pStyle w:val="0"/>
        <w:ind w:firstLine="540"/>
        <w:jc w:val="both"/>
      </w:pPr>
      <w:r>
        <w:rPr>
          <w:sz w:val="20"/>
        </w:rPr>
        <w:t xml:space="preserve">За период анализа (2017 - 2022 годы) общее количество резидентов &lt;16&gt; ОЭЗ Калининград составило 357, из которых в периметр анализа на базе АС "Эффективность льгот" вошли 302 &lt;17&gt; резидента.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Количество резидентов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&lt;17&gt; Прочие резиденты не вошли в анализ по причине отсутствия налоговых деклараций или бухгалтерской отчетности (17 резидентов), или нулевого значения показателя выручки (38 резидентов).</w:t>
      </w:r>
    </w:p>
    <w:p>
      <w:pPr>
        <w:pStyle w:val="0"/>
        <w:jc w:val="both"/>
      </w:pPr>
      <w:r>
        <w:rPr>
          <w:sz w:val="20"/>
        </w:rPr>
      </w:r>
    </w:p>
    <w:p>
      <w:pPr>
        <w:pStyle w:val="0"/>
        <w:jc w:val="center"/>
      </w:pPr>
      <w:r>
        <w:rPr>
          <w:position w:val="-106"/>
        </w:rPr>
        <w:drawing>
          <wp:inline distT="0" distB="0" distL="0" distR="0">
            <wp:extent cx="5068570" cy="148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5068570" cy="1483360"/>
                    </a:xfrm>
                    <a:prstGeom prst="rect">
                      <a:avLst/>
                    </a:prstGeom>
                    <a:noFill/>
                    <a:ln>
                      <a:noFill/>
                    </a:ln>
                  </pic:spPr>
                </pic:pic>
              </a:graphicData>
            </a:graphic>
          </wp:inline>
        </w:drawing>
      </w:r>
    </w:p>
    <w:p>
      <w:pPr>
        <w:pStyle w:val="0"/>
        <w:jc w:val="both"/>
      </w:pPr>
      <w:r>
        <w:rPr>
          <w:sz w:val="20"/>
        </w:rPr>
      </w:r>
    </w:p>
    <w:p>
      <w:pPr>
        <w:pStyle w:val="0"/>
        <w:jc w:val="center"/>
      </w:pPr>
      <w:r>
        <w:rPr>
          <w:position w:val="-117"/>
        </w:rPr>
        <w:drawing>
          <wp:inline distT="0" distB="0" distL="0" distR="0">
            <wp:extent cx="5031105" cy="162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5031105" cy="162369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выручки резидентов ОЭЗ Калининград, вошедших в периметр анализа, с 2017 года по 2022 год вырос в 1,2 раза, количество резидентов - в 1,6 раза, величина капитальных вложений - в 2,1 раза, численность сотрудников - в 1,5 раза. При этом в 2022 году на фоне увеличения численности сотрудников на 3,1%, совокупный объем капитальных вложений за аналогичный период вырос на 17,5%.</w:t>
      </w:r>
    </w:p>
    <w:p>
      <w:pPr>
        <w:pStyle w:val="0"/>
        <w:spacing w:before="200" w:line-rule="auto"/>
        <w:ind w:firstLine="540"/>
        <w:jc w:val="both"/>
      </w:pPr>
      <w:r>
        <w:rPr>
          <w:sz w:val="20"/>
        </w:rPr>
        <w:t xml:space="preserve">С 2017 года по 2022 год общая величина выпадающих доходов бюджетов бюджетной системы Российской Федерации (по резидентам ИНЛ, вошедшим в периметр анализа) снизилась с 88 млрд руб. до 49 млрд руб. (в 1,8 раза) главным образом за счет неналоговых мер поддержки, которые уменьшились с 82 млрд руб. до 42 млрд руб. (в 1,9 раза), величина налоговых льгот сохранилась на уровне 6 млрд руб. Таким образом, за 2022 год доля налоговых льгот и неналоговых мер поддержки в общей величине выпадающих доходов бюджетов бюджетной системы Российской Федерации для резидентов данной ИНЛ, вошедших в периметр анализа, составляла 13,0% и 87,0% соответственно.</w:t>
      </w:r>
    </w:p>
    <w:p>
      <w:pPr>
        <w:pStyle w:val="0"/>
        <w:spacing w:before="200" w:line-rule="auto"/>
        <w:ind w:firstLine="540"/>
        <w:jc w:val="both"/>
      </w:pPr>
      <w:r>
        <w:rPr>
          <w:sz w:val="20"/>
        </w:rPr>
        <w:t xml:space="preserve">В ТОП-3 отраслей по объему выручки за период анализа вошли отрасли по производству автотранспортных средств (43,1%), кормов для животных (14,4%) и масел и жиров (10,4%).</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снизилась по сравнению с анализом за прошлый год с 21,5% до 11,3%. При дальнейшей отраслевой дифференциации выявлены отрасли (всего 29 </w:t>
      </w:r>
      <w:hyperlink w:history="0" r:id="rId115"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с наиболее прибыльными компаниями, применяющими режим.</w:t>
      </w:r>
    </w:p>
    <w:p>
      <w:pPr>
        <w:pStyle w:val="0"/>
        <w:jc w:val="both"/>
      </w:pPr>
      <w:r>
        <w:rPr>
          <w:sz w:val="20"/>
        </w:rPr>
      </w:r>
    </w:p>
    <w:p>
      <w:pPr>
        <w:pStyle w:val="0"/>
        <w:ind w:firstLine="540"/>
        <w:jc w:val="both"/>
      </w:pPr>
      <w:r>
        <w:rPr>
          <w:sz w:val="20"/>
        </w:rPr>
        <w:t xml:space="preserve">Таблица 14. ТОП-5 по выручке отраслей, в которых выявлена сверхдоходность или низкая инвестиционная активность</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907"/>
        <w:gridCol w:w="1927"/>
        <w:gridCol w:w="1247"/>
        <w:gridCol w:w="1247"/>
        <w:gridCol w:w="1247"/>
        <w:gridCol w:w="1247"/>
        <w:gridCol w:w="1247"/>
      </w:tblGrid>
      <w:tr>
        <w:tblPrEx>
          <w:tblBorders>
            <w:insideH w:val="single" w:sz="4"/>
          </w:tblBorders>
        </w:tblPrEx>
        <w:tc>
          <w:tcPr>
            <w:tcW w:w="907" w:type="dxa"/>
            <w:tcBorders>
              <w:top w:val="single" w:sz="4"/>
              <w:left w:val="nil"/>
              <w:bottom w:val="single" w:sz="4"/>
              <w:right w:val="nil"/>
            </w:tcBorders>
          </w:tcPr>
          <w:p>
            <w:pPr>
              <w:pStyle w:val="0"/>
              <w:jc w:val="center"/>
            </w:pPr>
            <w:hyperlink w:history="0" r:id="rId116"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1927" w:type="dxa"/>
            <w:tcBorders>
              <w:top w:val="single" w:sz="4"/>
              <w:left w:val="nil"/>
              <w:bottom w:val="single" w:sz="4"/>
              <w:right w:val="nil"/>
            </w:tcBorders>
          </w:tcPr>
          <w:p>
            <w:pPr>
              <w:pStyle w:val="0"/>
              <w:jc w:val="center"/>
            </w:pPr>
            <w:r>
              <w:rPr>
                <w:sz w:val="20"/>
              </w:rPr>
              <w:t xml:space="preserve">Наименование отрасли</w:t>
            </w:r>
          </w:p>
        </w:tc>
        <w:tc>
          <w:tcPr>
            <w:tcW w:w="1247" w:type="dxa"/>
            <w:tcBorders>
              <w:top w:val="single" w:sz="4"/>
              <w:left w:val="nil"/>
              <w:bottom w:val="single" w:sz="4"/>
              <w:right w:val="nil"/>
            </w:tcBorders>
          </w:tcPr>
          <w:p>
            <w:pPr>
              <w:pStyle w:val="0"/>
              <w:jc w:val="center"/>
            </w:pPr>
            <w:r>
              <w:rPr>
                <w:sz w:val="20"/>
              </w:rPr>
              <w:t xml:space="preserve">Выручка по отрасли </w:t>
            </w:r>
            <w:hyperlink w:history="0" w:anchor="P4795" w:tooltip="&lt;*&gt; сумма средних значений выручки в рамках отрасли по всем резидентам за период анализа">
              <w:r>
                <w:rPr>
                  <w:sz w:val="20"/>
                  <w:color w:val="0000ff"/>
                </w:rPr>
                <w:t xml:space="preserve">&lt;*&gt;</w:t>
              </w:r>
            </w:hyperlink>
            <w:r>
              <w:rPr>
                <w:sz w:val="20"/>
              </w:rPr>
              <w:t xml:space="preserve"> млрд </w:t>
            </w:r>
            <w:r>
              <w:rPr>
                <w:position w:val="-6"/>
              </w:rPr>
              <w:drawing>
                <wp:inline distT="0" distB="0" distL="0" distR="0">
                  <wp:extent cx="14351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 cy="215265"/>
                          </a:xfrm>
                          <a:prstGeom prst="rect">
                            <a:avLst/>
                          </a:prstGeom>
                          <a:noFill/>
                          <a:ln>
                            <a:noFill/>
                          </a:ln>
                        </pic:spPr>
                      </pic:pic>
                    </a:graphicData>
                  </a:graphic>
                </wp:inline>
              </w:drawing>
            </w:r>
          </w:p>
        </w:tc>
        <w:tc>
          <w:tcPr>
            <w:tcW w:w="1247"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4796"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24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4797" w:tooltip="&lt;***&gt; средневзвешенная по выручке на основе данных за весь период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907" w:type="dxa"/>
            <w:vAlign w:val="center"/>
            <w:tcBorders>
              <w:top w:val="single" w:sz="4"/>
              <w:left w:val="nil"/>
              <w:bottom w:val="nil"/>
              <w:right w:val="nil"/>
            </w:tcBorders>
          </w:tcPr>
          <w:p>
            <w:pPr>
              <w:pStyle w:val="0"/>
              <w:jc w:val="center"/>
            </w:pPr>
            <w:hyperlink w:history="0" r:id="rId117"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68.20</w:t>
              </w:r>
            </w:hyperlink>
          </w:p>
        </w:tc>
        <w:tc>
          <w:tcPr>
            <w:tcW w:w="1927" w:type="dxa"/>
            <w:vAlign w:val="center"/>
            <w:tcBorders>
              <w:top w:val="single" w:sz="4"/>
              <w:left w:val="nil"/>
              <w:bottom w:val="nil"/>
              <w:right w:val="nil"/>
            </w:tcBorders>
          </w:tcPr>
          <w:p>
            <w:pPr>
              <w:pStyle w:val="0"/>
              <w:jc w:val="both"/>
            </w:pPr>
            <w:r>
              <w:rPr>
                <w:sz w:val="20"/>
              </w:rPr>
              <w:t xml:space="preserve">Аренда и управление собственным или арендованным недвижимым имуществом</w:t>
            </w:r>
          </w:p>
        </w:tc>
        <w:tc>
          <w:tcPr>
            <w:tcW w:w="1247" w:type="dxa"/>
            <w:vAlign w:val="center"/>
            <w:tcBorders>
              <w:top w:val="single" w:sz="4"/>
              <w:left w:val="nil"/>
              <w:bottom w:val="nil"/>
              <w:right w:val="nil"/>
            </w:tcBorders>
          </w:tcPr>
          <w:p>
            <w:pPr>
              <w:pStyle w:val="0"/>
              <w:jc w:val="center"/>
            </w:pPr>
            <w:r>
              <w:rPr>
                <w:sz w:val="20"/>
              </w:rPr>
              <w:t xml:space="preserve">10,6</w:t>
            </w:r>
          </w:p>
        </w:tc>
        <w:tc>
          <w:tcPr>
            <w:tcW w:w="1247" w:type="dxa"/>
            <w:vAlign w:val="center"/>
            <w:tcBorders>
              <w:top w:val="single" w:sz="4"/>
              <w:left w:val="nil"/>
              <w:bottom w:val="nil"/>
              <w:right w:val="nil"/>
            </w:tcBorders>
          </w:tcPr>
          <w:p>
            <w:pPr>
              <w:pStyle w:val="0"/>
              <w:jc w:val="center"/>
            </w:pPr>
            <w:r>
              <w:rPr>
                <w:sz w:val="20"/>
              </w:rPr>
              <w:t xml:space="preserve">67,0%</w:t>
            </w:r>
          </w:p>
        </w:tc>
        <w:tc>
          <w:tcPr>
            <w:tcW w:w="1247" w:type="dxa"/>
            <w:vAlign w:val="center"/>
            <w:tcBorders>
              <w:top w:val="single" w:sz="4"/>
              <w:left w:val="nil"/>
              <w:bottom w:val="nil"/>
              <w:right w:val="single" w:sz="4"/>
            </w:tcBorders>
          </w:tcPr>
          <w:p>
            <w:pPr>
              <w:pStyle w:val="0"/>
              <w:jc w:val="center"/>
            </w:pPr>
            <w:r>
              <w:rPr>
                <w:sz w:val="20"/>
              </w:rPr>
              <w:t xml:space="preserve">43,4%</w:t>
            </w:r>
          </w:p>
        </w:tc>
        <w:tc>
          <w:tcPr>
            <w:tcW w:w="1247" w:type="dxa"/>
            <w:vAlign w:val="center"/>
            <w:tcBorders>
              <w:top w:val="single" w:sz="4"/>
              <w:left w:val="single" w:sz="4"/>
              <w:bottom w:val="nil"/>
              <w:right w:val="nil"/>
            </w:tcBorders>
          </w:tcPr>
          <w:p>
            <w:pPr>
              <w:pStyle w:val="0"/>
              <w:jc w:val="center"/>
            </w:pPr>
            <w:r>
              <w:rPr>
                <w:sz w:val="20"/>
              </w:rPr>
              <w:t xml:space="preserve">71,4%</w:t>
            </w:r>
          </w:p>
        </w:tc>
        <w:tc>
          <w:tcPr>
            <w:tcW w:w="1247" w:type="dxa"/>
            <w:vAlign w:val="center"/>
            <w:tcBorders>
              <w:top w:val="single" w:sz="4"/>
              <w:left w:val="nil"/>
              <w:bottom w:val="nil"/>
              <w:right w:val="single" w:sz="4"/>
            </w:tcBorders>
          </w:tcPr>
          <w:p>
            <w:pPr>
              <w:pStyle w:val="0"/>
              <w:jc w:val="center"/>
            </w:pPr>
            <w:r>
              <w:rPr>
                <w:sz w:val="20"/>
              </w:rPr>
              <w:t xml:space="preserve">82,3%</w:t>
            </w:r>
          </w:p>
        </w:tc>
      </w:tr>
      <w:tr>
        <w:tc>
          <w:tcPr>
            <w:tcW w:w="907" w:type="dxa"/>
            <w:vAlign w:val="center"/>
            <w:tcBorders>
              <w:top w:val="nil"/>
              <w:left w:val="nil"/>
              <w:bottom w:val="nil"/>
              <w:right w:val="nil"/>
            </w:tcBorders>
          </w:tcPr>
          <w:p>
            <w:pPr>
              <w:pStyle w:val="0"/>
              <w:jc w:val="center"/>
            </w:pPr>
            <w:hyperlink w:history="0" r:id="rId11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52.29</w:t>
              </w:r>
            </w:hyperlink>
          </w:p>
        </w:tc>
        <w:tc>
          <w:tcPr>
            <w:tcW w:w="1927" w:type="dxa"/>
            <w:vAlign w:val="center"/>
            <w:tcBorders>
              <w:top w:val="nil"/>
              <w:left w:val="nil"/>
              <w:bottom w:val="nil"/>
              <w:right w:val="nil"/>
            </w:tcBorders>
          </w:tcPr>
          <w:p>
            <w:pPr>
              <w:pStyle w:val="0"/>
              <w:jc w:val="both"/>
            </w:pPr>
            <w:r>
              <w:rPr>
                <w:sz w:val="20"/>
              </w:rPr>
              <w:t xml:space="preserve">Деятельность вспомогательная прочая, связанная с перевозками</w:t>
            </w:r>
          </w:p>
        </w:tc>
        <w:tc>
          <w:tcPr>
            <w:tcW w:w="1247" w:type="dxa"/>
            <w:vAlign w:val="center"/>
            <w:tcBorders>
              <w:top w:val="nil"/>
              <w:left w:val="nil"/>
              <w:bottom w:val="nil"/>
              <w:right w:val="nil"/>
            </w:tcBorders>
          </w:tcPr>
          <w:p>
            <w:pPr>
              <w:pStyle w:val="0"/>
              <w:jc w:val="center"/>
            </w:pPr>
            <w:r>
              <w:rPr>
                <w:sz w:val="20"/>
              </w:rPr>
              <w:t xml:space="preserve">6,3</w:t>
            </w:r>
          </w:p>
        </w:tc>
        <w:tc>
          <w:tcPr>
            <w:tcW w:w="1247" w:type="dxa"/>
            <w:vAlign w:val="center"/>
            <w:tcBorders>
              <w:top w:val="nil"/>
              <w:left w:val="nil"/>
              <w:bottom w:val="nil"/>
              <w:right w:val="nil"/>
            </w:tcBorders>
          </w:tcPr>
          <w:p>
            <w:pPr>
              <w:pStyle w:val="0"/>
              <w:jc w:val="center"/>
            </w:pPr>
            <w:r>
              <w:rPr>
                <w:sz w:val="20"/>
              </w:rPr>
              <w:t xml:space="preserve">15,2%</w:t>
            </w:r>
          </w:p>
        </w:tc>
        <w:tc>
          <w:tcPr>
            <w:tcW w:w="1247" w:type="dxa"/>
            <w:vAlign w:val="center"/>
            <w:tcBorders>
              <w:top w:val="nil"/>
              <w:left w:val="nil"/>
              <w:bottom w:val="nil"/>
              <w:right w:val="single" w:sz="4"/>
            </w:tcBorders>
          </w:tcPr>
          <w:p>
            <w:pPr>
              <w:pStyle w:val="0"/>
              <w:jc w:val="center"/>
            </w:pPr>
            <w:r>
              <w:rPr>
                <w:sz w:val="20"/>
              </w:rPr>
              <w:t xml:space="preserve">11,9%</w:t>
            </w:r>
          </w:p>
        </w:tc>
        <w:tc>
          <w:tcPr>
            <w:tcW w:w="1247" w:type="dxa"/>
            <w:vAlign w:val="center"/>
            <w:tcBorders>
              <w:top w:val="nil"/>
              <w:left w:val="single" w:sz="4"/>
              <w:bottom w:val="nil"/>
              <w:right w:val="nil"/>
            </w:tcBorders>
          </w:tcPr>
          <w:p>
            <w:pPr>
              <w:pStyle w:val="0"/>
              <w:jc w:val="center"/>
            </w:pPr>
            <w:r>
              <w:rPr>
                <w:sz w:val="20"/>
              </w:rPr>
              <w:t xml:space="preserve">29,0%</w:t>
            </w:r>
          </w:p>
        </w:tc>
        <w:tc>
          <w:tcPr>
            <w:tcW w:w="1247" w:type="dxa"/>
            <w:vAlign w:val="center"/>
            <w:tcBorders>
              <w:top w:val="nil"/>
              <w:left w:val="nil"/>
              <w:bottom w:val="nil"/>
              <w:right w:val="single" w:sz="4"/>
            </w:tcBorders>
          </w:tcPr>
          <w:p>
            <w:pPr>
              <w:pStyle w:val="0"/>
              <w:jc w:val="center"/>
            </w:pPr>
            <w:r>
              <w:rPr>
                <w:sz w:val="20"/>
              </w:rPr>
              <w:t xml:space="preserve">31,1%</w:t>
            </w:r>
          </w:p>
        </w:tc>
      </w:tr>
      <w:tr>
        <w:tc>
          <w:tcPr>
            <w:tcW w:w="907" w:type="dxa"/>
            <w:vAlign w:val="center"/>
            <w:tcBorders>
              <w:top w:val="nil"/>
              <w:left w:val="nil"/>
              <w:bottom w:val="nil"/>
              <w:right w:val="nil"/>
            </w:tcBorders>
          </w:tcPr>
          <w:p>
            <w:pPr>
              <w:pStyle w:val="0"/>
              <w:jc w:val="center"/>
            </w:pPr>
            <w:hyperlink w:history="0" r:id="rId11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26.40</w:t>
              </w:r>
            </w:hyperlink>
          </w:p>
        </w:tc>
        <w:tc>
          <w:tcPr>
            <w:tcW w:w="1927" w:type="dxa"/>
            <w:vAlign w:val="center"/>
            <w:tcBorders>
              <w:top w:val="nil"/>
              <w:left w:val="nil"/>
              <w:bottom w:val="nil"/>
              <w:right w:val="nil"/>
            </w:tcBorders>
          </w:tcPr>
          <w:p>
            <w:pPr>
              <w:pStyle w:val="0"/>
              <w:jc w:val="both"/>
            </w:pPr>
            <w:r>
              <w:rPr>
                <w:sz w:val="20"/>
              </w:rPr>
              <w:t xml:space="preserve">Производство бытовой электроники</w:t>
            </w:r>
          </w:p>
        </w:tc>
        <w:tc>
          <w:tcPr>
            <w:tcW w:w="1247" w:type="dxa"/>
            <w:vAlign w:val="center"/>
            <w:tcBorders>
              <w:top w:val="nil"/>
              <w:left w:val="nil"/>
              <w:bottom w:val="nil"/>
              <w:right w:val="nil"/>
            </w:tcBorders>
          </w:tcPr>
          <w:p>
            <w:pPr>
              <w:pStyle w:val="0"/>
              <w:jc w:val="center"/>
            </w:pPr>
            <w:r>
              <w:rPr>
                <w:sz w:val="20"/>
              </w:rPr>
              <w:t xml:space="preserve">5,7</w:t>
            </w:r>
          </w:p>
        </w:tc>
        <w:tc>
          <w:tcPr>
            <w:tcW w:w="1247" w:type="dxa"/>
            <w:vAlign w:val="center"/>
            <w:tcBorders>
              <w:top w:val="nil"/>
              <w:left w:val="nil"/>
              <w:bottom w:val="nil"/>
              <w:right w:val="nil"/>
            </w:tcBorders>
          </w:tcPr>
          <w:p>
            <w:pPr>
              <w:pStyle w:val="0"/>
              <w:jc w:val="center"/>
            </w:pPr>
            <w:r>
              <w:rPr>
                <w:sz w:val="20"/>
              </w:rPr>
              <w:t xml:space="preserve">4,7%</w:t>
            </w:r>
          </w:p>
        </w:tc>
        <w:tc>
          <w:tcPr>
            <w:tcW w:w="1247" w:type="dxa"/>
            <w:vAlign w:val="center"/>
            <w:tcBorders>
              <w:top w:val="nil"/>
              <w:left w:val="nil"/>
              <w:bottom w:val="nil"/>
              <w:right w:val="single" w:sz="4"/>
            </w:tcBorders>
          </w:tcPr>
          <w:p>
            <w:pPr>
              <w:pStyle w:val="0"/>
              <w:jc w:val="center"/>
            </w:pPr>
            <w:r>
              <w:rPr>
                <w:sz w:val="20"/>
              </w:rPr>
              <w:t xml:space="preserve">10,6%</w:t>
            </w:r>
          </w:p>
        </w:tc>
        <w:tc>
          <w:tcPr>
            <w:tcW w:w="1247" w:type="dxa"/>
            <w:vAlign w:val="center"/>
            <w:tcBorders>
              <w:top w:val="nil"/>
              <w:left w:val="single" w:sz="4"/>
              <w:bottom w:val="nil"/>
              <w:right w:val="nil"/>
            </w:tcBorders>
          </w:tcPr>
          <w:p>
            <w:pPr>
              <w:pStyle w:val="0"/>
              <w:jc w:val="center"/>
            </w:pPr>
            <w:r>
              <w:rPr>
                <w:sz w:val="20"/>
              </w:rPr>
              <w:t xml:space="preserve">3,7%</w:t>
            </w:r>
          </w:p>
        </w:tc>
        <w:tc>
          <w:tcPr>
            <w:tcW w:w="1247" w:type="dxa"/>
            <w:vAlign w:val="center"/>
            <w:tcBorders>
              <w:top w:val="nil"/>
              <w:left w:val="nil"/>
              <w:bottom w:val="nil"/>
              <w:right w:val="single" w:sz="4"/>
            </w:tcBorders>
          </w:tcPr>
          <w:p>
            <w:pPr>
              <w:pStyle w:val="0"/>
              <w:jc w:val="center"/>
            </w:pPr>
            <w:r>
              <w:rPr>
                <w:sz w:val="20"/>
              </w:rPr>
              <w:t xml:space="preserve">10,8%</w:t>
            </w:r>
          </w:p>
        </w:tc>
      </w:tr>
      <w:tr>
        <w:tc>
          <w:tcPr>
            <w:tcW w:w="907" w:type="dxa"/>
            <w:vAlign w:val="center"/>
            <w:tcBorders>
              <w:top w:val="nil"/>
              <w:left w:val="nil"/>
              <w:bottom w:val="nil"/>
              <w:right w:val="nil"/>
            </w:tcBorders>
          </w:tcPr>
          <w:p>
            <w:pPr>
              <w:pStyle w:val="0"/>
              <w:jc w:val="center"/>
            </w:pPr>
            <w:hyperlink w:history="0" r:id="rId12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21.20</w:t>
              </w:r>
            </w:hyperlink>
          </w:p>
        </w:tc>
        <w:tc>
          <w:tcPr>
            <w:tcW w:w="1927" w:type="dxa"/>
            <w:vAlign w:val="center"/>
            <w:tcBorders>
              <w:top w:val="nil"/>
              <w:left w:val="nil"/>
              <w:bottom w:val="nil"/>
              <w:right w:val="nil"/>
            </w:tcBorders>
          </w:tcPr>
          <w:p>
            <w:pPr>
              <w:pStyle w:val="0"/>
              <w:jc w:val="both"/>
            </w:pPr>
            <w:r>
              <w:rPr>
                <w:sz w:val="20"/>
              </w:rPr>
              <w:t xml:space="preserve">Производство лекарственных препаратов и материалов, применяемых в медицинских целях</w:t>
            </w:r>
          </w:p>
        </w:tc>
        <w:tc>
          <w:tcPr>
            <w:tcW w:w="1247" w:type="dxa"/>
            <w:vAlign w:val="center"/>
            <w:tcBorders>
              <w:top w:val="nil"/>
              <w:left w:val="nil"/>
              <w:bottom w:val="nil"/>
              <w:right w:val="nil"/>
            </w:tcBorders>
          </w:tcPr>
          <w:p>
            <w:pPr>
              <w:pStyle w:val="0"/>
              <w:jc w:val="center"/>
            </w:pPr>
            <w:r>
              <w:rPr>
                <w:sz w:val="20"/>
              </w:rPr>
              <w:t xml:space="preserve">4,5</w:t>
            </w:r>
          </w:p>
        </w:tc>
        <w:tc>
          <w:tcPr>
            <w:tcW w:w="1247" w:type="dxa"/>
            <w:vAlign w:val="center"/>
            <w:tcBorders>
              <w:top w:val="nil"/>
              <w:left w:val="nil"/>
              <w:bottom w:val="nil"/>
              <w:right w:val="nil"/>
            </w:tcBorders>
          </w:tcPr>
          <w:p>
            <w:pPr>
              <w:pStyle w:val="0"/>
              <w:jc w:val="center"/>
            </w:pPr>
            <w:r>
              <w:rPr>
                <w:sz w:val="20"/>
              </w:rPr>
              <w:t xml:space="preserve">40,5%</w:t>
            </w:r>
          </w:p>
        </w:tc>
        <w:tc>
          <w:tcPr>
            <w:tcW w:w="1247" w:type="dxa"/>
            <w:vAlign w:val="center"/>
            <w:tcBorders>
              <w:top w:val="nil"/>
              <w:left w:val="nil"/>
              <w:bottom w:val="nil"/>
              <w:right w:val="single" w:sz="4"/>
            </w:tcBorders>
          </w:tcPr>
          <w:p>
            <w:pPr>
              <w:pStyle w:val="0"/>
              <w:jc w:val="center"/>
            </w:pPr>
            <w:r>
              <w:rPr>
                <w:sz w:val="20"/>
              </w:rPr>
              <w:t xml:space="preserve">35,7%</w:t>
            </w:r>
          </w:p>
        </w:tc>
        <w:tc>
          <w:tcPr>
            <w:tcW w:w="1247" w:type="dxa"/>
            <w:vAlign w:val="center"/>
            <w:tcBorders>
              <w:top w:val="nil"/>
              <w:left w:val="single" w:sz="4"/>
              <w:bottom w:val="nil"/>
              <w:right w:val="nil"/>
            </w:tcBorders>
          </w:tcPr>
          <w:p>
            <w:pPr>
              <w:pStyle w:val="0"/>
              <w:jc w:val="center"/>
            </w:pPr>
            <w:r>
              <w:rPr>
                <w:sz w:val="20"/>
              </w:rPr>
              <w:t xml:space="preserve">38,6%</w:t>
            </w:r>
          </w:p>
        </w:tc>
        <w:tc>
          <w:tcPr>
            <w:tcW w:w="1247" w:type="dxa"/>
            <w:vAlign w:val="center"/>
            <w:tcBorders>
              <w:top w:val="nil"/>
              <w:left w:val="nil"/>
              <w:bottom w:val="nil"/>
              <w:right w:val="single" w:sz="4"/>
            </w:tcBorders>
          </w:tcPr>
          <w:p>
            <w:pPr>
              <w:pStyle w:val="0"/>
              <w:jc w:val="center"/>
            </w:pPr>
            <w:r>
              <w:rPr>
                <w:sz w:val="20"/>
              </w:rPr>
              <w:t xml:space="preserve">44,7%</w:t>
            </w:r>
          </w:p>
        </w:tc>
      </w:tr>
      <w:tr>
        <w:tc>
          <w:tcPr>
            <w:tcW w:w="907" w:type="dxa"/>
            <w:vAlign w:val="center"/>
            <w:tcBorders>
              <w:top w:val="nil"/>
              <w:left w:val="nil"/>
              <w:bottom w:val="single" w:sz="4"/>
              <w:right w:val="nil"/>
            </w:tcBorders>
          </w:tcPr>
          <w:p>
            <w:pPr>
              <w:pStyle w:val="0"/>
              <w:jc w:val="center"/>
            </w:pPr>
            <w:hyperlink w:history="0" r:id="rId12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10.91</w:t>
              </w:r>
            </w:hyperlink>
          </w:p>
        </w:tc>
        <w:tc>
          <w:tcPr>
            <w:tcW w:w="1927" w:type="dxa"/>
            <w:vAlign w:val="center"/>
            <w:tcBorders>
              <w:top w:val="nil"/>
              <w:left w:val="nil"/>
              <w:bottom w:val="single" w:sz="4"/>
              <w:right w:val="nil"/>
            </w:tcBorders>
          </w:tcPr>
          <w:p>
            <w:pPr>
              <w:pStyle w:val="0"/>
              <w:jc w:val="both"/>
            </w:pPr>
            <w:r>
              <w:rPr>
                <w:sz w:val="20"/>
              </w:rPr>
              <w:t xml:space="preserve">Производство готовых кормов для животных, содержащихся на фермах</w:t>
            </w:r>
          </w:p>
        </w:tc>
        <w:tc>
          <w:tcPr>
            <w:tcW w:w="1247" w:type="dxa"/>
            <w:vAlign w:val="center"/>
            <w:tcBorders>
              <w:top w:val="nil"/>
              <w:left w:val="nil"/>
              <w:bottom w:val="single" w:sz="4"/>
              <w:right w:val="nil"/>
            </w:tcBorders>
          </w:tcPr>
          <w:p>
            <w:pPr>
              <w:pStyle w:val="0"/>
              <w:jc w:val="center"/>
            </w:pPr>
            <w:r>
              <w:rPr>
                <w:sz w:val="20"/>
              </w:rPr>
              <w:t xml:space="preserve">4,2</w:t>
            </w:r>
          </w:p>
        </w:tc>
        <w:tc>
          <w:tcPr>
            <w:tcW w:w="1247" w:type="dxa"/>
            <w:vAlign w:val="center"/>
            <w:tcBorders>
              <w:top w:val="nil"/>
              <w:left w:val="nil"/>
              <w:bottom w:val="single" w:sz="4"/>
              <w:right w:val="nil"/>
            </w:tcBorders>
          </w:tcPr>
          <w:p>
            <w:pPr>
              <w:pStyle w:val="0"/>
              <w:jc w:val="center"/>
            </w:pPr>
            <w:r>
              <w:rPr>
                <w:sz w:val="20"/>
              </w:rPr>
              <w:t xml:space="preserve">12,5%</w:t>
            </w:r>
          </w:p>
        </w:tc>
        <w:tc>
          <w:tcPr>
            <w:tcW w:w="1247" w:type="dxa"/>
            <w:vAlign w:val="center"/>
            <w:tcBorders>
              <w:top w:val="nil"/>
              <w:left w:val="nil"/>
              <w:bottom w:val="single" w:sz="4"/>
              <w:right w:val="single" w:sz="4"/>
            </w:tcBorders>
          </w:tcPr>
          <w:p>
            <w:pPr>
              <w:pStyle w:val="0"/>
              <w:jc w:val="center"/>
            </w:pPr>
            <w:r>
              <w:rPr>
                <w:sz w:val="20"/>
              </w:rPr>
              <w:t xml:space="preserve">19,0%</w:t>
            </w:r>
          </w:p>
        </w:tc>
        <w:tc>
          <w:tcPr>
            <w:tcW w:w="1247" w:type="dxa"/>
            <w:vAlign w:val="center"/>
            <w:tcBorders>
              <w:top w:val="nil"/>
              <w:left w:val="single" w:sz="4"/>
              <w:bottom w:val="single" w:sz="4"/>
              <w:right w:val="nil"/>
            </w:tcBorders>
          </w:tcPr>
          <w:p>
            <w:pPr>
              <w:pStyle w:val="0"/>
              <w:jc w:val="center"/>
            </w:pPr>
            <w:r>
              <w:rPr>
                <w:sz w:val="20"/>
              </w:rPr>
              <w:t xml:space="preserve">13,5%</w:t>
            </w:r>
          </w:p>
        </w:tc>
        <w:tc>
          <w:tcPr>
            <w:tcW w:w="1247" w:type="dxa"/>
            <w:vAlign w:val="center"/>
            <w:tcBorders>
              <w:top w:val="nil"/>
              <w:left w:val="nil"/>
              <w:bottom w:val="single" w:sz="4"/>
              <w:right w:val="single" w:sz="4"/>
            </w:tcBorders>
          </w:tcPr>
          <w:p>
            <w:pPr>
              <w:pStyle w:val="0"/>
              <w:jc w:val="center"/>
            </w:pPr>
            <w:r>
              <w:rPr>
                <w:sz w:val="20"/>
              </w:rPr>
              <w:t xml:space="preserve">19,7%</w:t>
            </w:r>
          </w:p>
        </w:tc>
      </w:tr>
    </w:tbl>
    <w:p>
      <w:pPr>
        <w:pStyle w:val="0"/>
        <w:jc w:val="both"/>
      </w:pPr>
      <w:r>
        <w:rPr>
          <w:sz w:val="20"/>
        </w:rPr>
      </w:r>
    </w:p>
    <w:p>
      <w:pPr>
        <w:pStyle w:val="0"/>
        <w:ind w:firstLine="540"/>
        <w:jc w:val="both"/>
      </w:pPr>
      <w:r>
        <w:rPr>
          <w:sz w:val="20"/>
        </w:rPr>
        <w:t xml:space="preserve">--------------------------------</w:t>
      </w:r>
    </w:p>
    <w:bookmarkStart w:id="4795" w:name="P4795"/>
    <w:bookmarkEnd w:id="4795"/>
    <w:p>
      <w:pPr>
        <w:pStyle w:val="0"/>
        <w:spacing w:before="200" w:line-rule="auto"/>
        <w:ind w:firstLine="540"/>
        <w:jc w:val="both"/>
      </w:pPr>
      <w:r>
        <w:rPr>
          <w:sz w:val="20"/>
        </w:rPr>
        <w:t xml:space="preserve">&lt;*&gt; сумма средних значений выручки в рамках отрасли по всем резидентам за период анализа</w:t>
      </w:r>
    </w:p>
    <w:bookmarkStart w:id="4796" w:name="P4796"/>
    <w:bookmarkEnd w:id="4796"/>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4797" w:name="P4797"/>
    <w:bookmarkEnd w:id="4797"/>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В отношении ТОП-5 по выручке отраслей, в которых выявлена сверхдоходность или низкая инвестиционная активность, стоит отметить, что отрасль по производству бытовой электроники хотя и не демонстрирует высокие уровни доходности активов и операционной рентабельности в сравнении с другими отраслями, но имеет низкий уровень инвестиционной активности: за период с 2017 по 2022 годы суммарный объем предоставленных мер господдержки в 4,7 раза превысил объемы капитальных вложений. Таким образом, режим ОЭЗ Калининград требует "донастройки", например, для новых резидентов в части ограничения видов деятельности, которые могут пользоваться налоговыми льготами и неналоговыми мерами поддержки.</w:t>
      </w:r>
    </w:p>
    <w:p>
      <w:pPr>
        <w:pStyle w:val="0"/>
        <w:spacing w:before="200" w:line-rule="auto"/>
        <w:ind w:firstLine="540"/>
        <w:jc w:val="both"/>
      </w:pPr>
      <w:r>
        <w:rPr>
          <w:sz w:val="20"/>
        </w:rPr>
        <w:t xml:space="preserve">Также отмечаем, что на основе результатов анализа эффективности ИНЛ Минфином России подготовлены предложения по внесению изменений в Налоговый </w:t>
      </w:r>
      <w:hyperlink w:history="0" r:id="rId122"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кодекс</w:t>
        </w:r>
      </w:hyperlink>
      <w:r>
        <w:rPr>
          <w:sz w:val="20"/>
        </w:rPr>
        <w:t xml:space="preserve"> Российской Федерации, направленные на совершенствование налогового регулирования режима ОЭЗ Калининград (более подробно см. "</w:t>
      </w:r>
      <w:hyperlink w:history="0" w:anchor="P4168" w:tooltip="Результаты анализа эффективности ИНЛ">
        <w:r>
          <w:rPr>
            <w:sz w:val="20"/>
            <w:color w:val="0000ff"/>
          </w:rPr>
          <w:t xml:space="preserve">Результаты анализа</w:t>
        </w:r>
      </w:hyperlink>
      <w:r>
        <w:rPr>
          <w:sz w:val="20"/>
        </w:rPr>
        <w:t xml:space="preserve"> эффективности ИНЛ").</w:t>
      </w:r>
    </w:p>
    <w:p>
      <w:pPr>
        <w:pStyle w:val="0"/>
        <w:spacing w:before="200" w:line-rule="auto"/>
        <w:ind w:firstLine="540"/>
        <w:jc w:val="both"/>
      </w:pPr>
      <w:r>
        <w:rPr>
          <w:sz w:val="20"/>
        </w:rPr>
        <w:t xml:space="preserve">Дополнительно отмечаем:</w:t>
      </w:r>
    </w:p>
    <w:p>
      <w:pPr>
        <w:pStyle w:val="0"/>
        <w:spacing w:before="200" w:line-rule="auto"/>
        <w:ind w:firstLine="540"/>
        <w:jc w:val="both"/>
      </w:pPr>
      <w:r>
        <w:rPr>
          <w:sz w:val="20"/>
        </w:rPr>
        <w:t xml:space="preserve">- короткий срок подтверждения объема заявленных инвестиций (в первые 3 года) по сравнению с периодом предоставления налоговых льгот в рамках режима.</w:t>
      </w:r>
    </w:p>
    <w:p>
      <w:pPr>
        <w:pStyle w:val="0"/>
        <w:spacing w:before="200" w:line-rule="auto"/>
        <w:ind w:firstLine="540"/>
        <w:jc w:val="both"/>
      </w:pPr>
      <w:r>
        <w:rPr>
          <w:sz w:val="20"/>
        </w:rPr>
        <w:t xml:space="preserve">Таким образом, у резидента отсутствуют обязательства по дальнейшему развитию производства и вложению инвестиций,</w:t>
      </w:r>
    </w:p>
    <w:p>
      <w:pPr>
        <w:pStyle w:val="0"/>
        <w:spacing w:before="200" w:line-rule="auto"/>
        <w:ind w:firstLine="540"/>
        <w:jc w:val="both"/>
      </w:pPr>
      <w:r>
        <w:rPr>
          <w:sz w:val="20"/>
        </w:rPr>
        <w:t xml:space="preserve">- учитывая эксклавное расположение Калининградской области, в целях недопущения необоснованного предоставления преференций резидентам-перевозчикам, требуется дополнительная проработка механизмов контроля за деятельностью юридических лиц, осуществляющих деятельность на территории Калининградской области, и резидентов ОЭЗ Калининград, в том числе необходимо разработать перечень показателей для оценки эффективности их деятельности. В целях недопущения возникновения дополнительных выпадающих доходов бюджетов бюджетной системы Российской Федерации целесообразно рассматривать предложения по нормативному регулированию режима ОЭЗ Калининград комплексно.</w:t>
      </w:r>
    </w:p>
    <w:p>
      <w:pPr>
        <w:pStyle w:val="0"/>
        <w:jc w:val="both"/>
      </w:pPr>
      <w:r>
        <w:rPr>
          <w:sz w:val="20"/>
        </w:rPr>
      </w:r>
    </w:p>
    <w:p>
      <w:pPr>
        <w:pStyle w:val="2"/>
        <w:outlineLvl w:val="1"/>
        <w:ind w:firstLine="540"/>
        <w:jc w:val="both"/>
      </w:pPr>
      <w:r>
        <w:rPr>
          <w:sz w:val="20"/>
        </w:rPr>
        <w:t xml:space="preserve">Особая экономическая зона в Магаданской области (ОЭЗ Магадан)</w:t>
      </w:r>
    </w:p>
    <w:p>
      <w:pPr>
        <w:pStyle w:val="0"/>
        <w:jc w:val="both"/>
      </w:pPr>
      <w:r>
        <w:rPr>
          <w:sz w:val="20"/>
        </w:rPr>
      </w:r>
    </w:p>
    <w:p>
      <w:pPr>
        <w:pStyle w:val="0"/>
        <w:ind w:firstLine="540"/>
        <w:jc w:val="both"/>
      </w:pPr>
      <w:r>
        <w:rPr>
          <w:sz w:val="20"/>
        </w:rPr>
        <w:t xml:space="preserve">Таблица 15.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664"/>
        <w:gridCol w:w="340"/>
        <w:gridCol w:w="340"/>
        <w:gridCol w:w="5725"/>
      </w:tblGrid>
      <w:tr>
        <w:tblPrEx>
          <w:tblBorders>
            <w:insideH w:val="single" w:sz="4"/>
          </w:tblBorders>
        </w:tblPrEx>
        <w:tc>
          <w:tcPr>
            <w:tcW w:w="2664" w:type="dxa"/>
            <w:tcBorders>
              <w:top w:val="single" w:sz="4"/>
              <w:left w:val="nil"/>
              <w:bottom w:val="single" w:sz="4"/>
              <w:right w:val="nil"/>
            </w:tcBorders>
          </w:tcPr>
          <w:p>
            <w:pPr>
              <w:pStyle w:val="0"/>
              <w:jc w:val="center"/>
            </w:pPr>
            <w:r>
              <w:rPr>
                <w:sz w:val="20"/>
              </w:rPr>
              <w:t xml:space="preserve">Показатель</w:t>
            </w:r>
          </w:p>
        </w:tc>
        <w:tc>
          <w:tcPr>
            <w:gridSpan w:val="3"/>
            <w:tcW w:w="6405" w:type="dxa"/>
            <w:tcBorders>
              <w:top w:val="single" w:sz="4"/>
              <w:left w:val="nil"/>
              <w:bottom w:val="single" w:sz="4"/>
              <w:right w:val="nil"/>
            </w:tcBorders>
          </w:tcPr>
          <w:p>
            <w:pPr>
              <w:pStyle w:val="0"/>
              <w:jc w:val="center"/>
            </w:pPr>
            <w:r>
              <w:rPr>
                <w:sz w:val="20"/>
              </w:rPr>
              <w:t xml:space="preserve">Описание</w:t>
            </w:r>
          </w:p>
        </w:tc>
      </w:tr>
      <w:tr>
        <w:tc>
          <w:tcPr>
            <w:tcW w:w="2664" w:type="dxa"/>
            <w:tcBorders>
              <w:top w:val="single" w:sz="4"/>
              <w:left w:val="nil"/>
              <w:bottom w:val="nil"/>
              <w:right w:val="nil"/>
            </w:tcBorders>
          </w:tcPr>
          <w:p>
            <w:pPr>
              <w:pStyle w:val="0"/>
            </w:pPr>
            <w:r>
              <w:rPr>
                <w:sz w:val="20"/>
              </w:rPr>
              <w:t xml:space="preserve">Срок действия режима</w:t>
            </w:r>
          </w:p>
        </w:tc>
        <w:tc>
          <w:tcPr>
            <w:gridSpan w:val="3"/>
            <w:tcW w:w="6405" w:type="dxa"/>
            <w:tcBorders>
              <w:top w:val="single" w:sz="4"/>
              <w:left w:val="nil"/>
              <w:bottom w:val="nil"/>
              <w:right w:val="nil"/>
            </w:tcBorders>
          </w:tcPr>
          <w:p>
            <w:pPr>
              <w:pStyle w:val="0"/>
            </w:pPr>
            <w:r>
              <w:rPr>
                <w:sz w:val="20"/>
              </w:rPr>
              <w:t xml:space="preserve">Действует с 07.07.1999 по 31.12.2025.</w:t>
            </w:r>
          </w:p>
        </w:tc>
      </w:tr>
      <w:tr>
        <w:tc>
          <w:tcPr>
            <w:tcW w:w="2664" w:type="dxa"/>
            <w:vAlign w:val="center"/>
            <w:tcBorders>
              <w:top w:val="nil"/>
              <w:left w:val="nil"/>
              <w:bottom w:val="nil"/>
              <w:right w:val="nil"/>
            </w:tcBorders>
            <w:vMerge w:val="restart"/>
          </w:tcPr>
          <w:p>
            <w:pPr>
              <w:pStyle w:val="0"/>
            </w:pPr>
            <w:r>
              <w:rPr>
                <w:sz w:val="20"/>
              </w:rPr>
              <w:t xml:space="preserve">Налоговые льготы режима</w:t>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jc w:val="center"/>
            </w:pPr>
            <w:r>
              <w:rPr>
                <w:sz w:val="20"/>
              </w:rPr>
              <w:t xml:space="preserve">-</w:t>
            </w:r>
          </w:p>
        </w:tc>
        <w:tc>
          <w:tcPr>
            <w:tcW w:w="5725" w:type="dxa"/>
            <w:vAlign w:val="center"/>
            <w:tcBorders>
              <w:top w:val="nil"/>
              <w:left w:val="nil"/>
              <w:bottom w:val="nil"/>
              <w:right w:val="nil"/>
            </w:tcBorders>
          </w:tcPr>
          <w:p>
            <w:pPr>
              <w:pStyle w:val="0"/>
              <w:jc w:val="both"/>
            </w:pPr>
            <w:r>
              <w:rPr>
                <w:sz w:val="20"/>
              </w:rPr>
              <w:t xml:space="preserve">пониженные ставки по налогу на прибыль в ФБ и РБ (не установлена законом субъекта РФ),</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jc w:val="center"/>
            </w:pPr>
            <w:r>
              <w:rPr>
                <w:sz w:val="20"/>
              </w:rPr>
              <w:t xml:space="preserve">-</w:t>
            </w:r>
          </w:p>
        </w:tc>
        <w:tc>
          <w:tcPr>
            <w:tcW w:w="5725" w:type="dxa"/>
            <w:vAlign w:val="center"/>
            <w:tcBorders>
              <w:top w:val="nil"/>
              <w:left w:val="nil"/>
              <w:bottom w:val="nil"/>
              <w:right w:val="nil"/>
            </w:tcBorders>
          </w:tcPr>
          <w:p>
            <w:pPr>
              <w:pStyle w:val="0"/>
            </w:pPr>
            <w:r>
              <w:rPr>
                <w:sz w:val="20"/>
              </w:rPr>
              <w:t xml:space="preserve">льгота по НДПИ - понижающий коэффициент 0,6.</w:t>
            </w:r>
          </w:p>
        </w:tc>
      </w:tr>
      <w:tr>
        <w:tc>
          <w:tcPr>
            <w:tcW w:w="2664" w:type="dxa"/>
            <w:vAlign w:val="center"/>
            <w:tcBorders>
              <w:top w:val="nil"/>
              <w:left w:val="nil"/>
              <w:bottom w:val="nil"/>
              <w:right w:val="nil"/>
            </w:tcBorders>
          </w:tcPr>
          <w:p>
            <w:pPr>
              <w:pStyle w:val="0"/>
              <w:jc w:val="both"/>
            </w:pPr>
            <w:r>
              <w:rPr>
                <w:sz w:val="20"/>
              </w:rPr>
              <w:t xml:space="preserve">Количество отраслей в режиме</w:t>
            </w:r>
          </w:p>
        </w:tc>
        <w:tc>
          <w:tcPr>
            <w:gridSpan w:val="3"/>
            <w:tcW w:w="6405" w:type="dxa"/>
            <w:vAlign w:val="center"/>
            <w:tcBorders>
              <w:top w:val="nil"/>
              <w:left w:val="nil"/>
              <w:bottom w:val="nil"/>
              <w:right w:val="nil"/>
            </w:tcBorders>
          </w:tcPr>
          <w:p>
            <w:pPr>
              <w:pStyle w:val="0"/>
            </w:pPr>
            <w:r>
              <w:rPr>
                <w:sz w:val="20"/>
              </w:rPr>
              <w:t xml:space="preserve">49</w:t>
            </w:r>
          </w:p>
        </w:tc>
      </w:tr>
      <w:tr>
        <w:tc>
          <w:tcPr>
            <w:tcW w:w="2664" w:type="dxa"/>
            <w:vAlign w:val="center"/>
            <w:tcBorders>
              <w:top w:val="nil"/>
              <w:left w:val="nil"/>
              <w:bottom w:val="single" w:sz="4"/>
              <w:right w:val="nil"/>
            </w:tcBorders>
          </w:tcPr>
          <w:p>
            <w:pPr>
              <w:pStyle w:val="0"/>
            </w:pPr>
            <w:r>
              <w:rPr>
                <w:sz w:val="20"/>
              </w:rPr>
              <w:t xml:space="preserve">Наличие обязательств</w:t>
            </w:r>
          </w:p>
        </w:tc>
        <w:tc>
          <w:tcPr>
            <w:gridSpan w:val="3"/>
            <w:tcW w:w="6405" w:type="dxa"/>
            <w:vAlign w:val="center"/>
            <w:tcBorders>
              <w:top w:val="nil"/>
              <w:left w:val="nil"/>
              <w:bottom w:val="single" w:sz="4"/>
              <w:right w:val="nil"/>
            </w:tcBorders>
          </w:tcPr>
          <w:p>
            <w:pPr>
              <w:pStyle w:val="0"/>
              <w:jc w:val="both"/>
            </w:pPr>
            <w:r>
              <w:rPr>
                <w:sz w:val="20"/>
              </w:rPr>
              <w:t xml:space="preserve">Да (в первые 3 года капитальные вложения 5 млн руб. при добыче полезных ископаемых и 3 млн руб. - иные виды деятельности).</w:t>
            </w:r>
          </w:p>
        </w:tc>
      </w:tr>
    </w:tbl>
    <w:p>
      <w:pPr>
        <w:pStyle w:val="0"/>
        <w:jc w:val="both"/>
      </w:pPr>
      <w:r>
        <w:rPr>
          <w:sz w:val="20"/>
        </w:rPr>
      </w:r>
    </w:p>
    <w:p>
      <w:pPr>
        <w:pStyle w:val="0"/>
        <w:ind w:firstLine="540"/>
        <w:jc w:val="both"/>
      </w:pPr>
      <w:r>
        <w:rPr>
          <w:sz w:val="20"/>
        </w:rPr>
        <w:t xml:space="preserve">За период анализа (2017 - 2022 годы) общее количество резидентов &lt;18&gt; ОЭЗ Магадан составило 97, из которых в периметр анализа на базе АС "Эффективность льгот" вошли 88 &lt;19&gt; резидентов.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Количество резидентов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&lt;19&gt; Прочие резиденты не вошли в анализ по причине отсутствия налоговых деклараций или бухгалтерской отчетности (2 резидента), или нулевого значения показателя выручки (7 резидентов).</w:t>
      </w:r>
    </w:p>
    <w:p>
      <w:pPr>
        <w:pStyle w:val="0"/>
        <w:jc w:val="both"/>
      </w:pPr>
      <w:r>
        <w:rPr>
          <w:sz w:val="20"/>
        </w:rPr>
      </w:r>
    </w:p>
    <w:p>
      <w:pPr>
        <w:pStyle w:val="0"/>
        <w:jc w:val="center"/>
      </w:pPr>
      <w:r>
        <w:rPr>
          <w:position w:val="-108"/>
        </w:rPr>
        <w:drawing>
          <wp:inline distT="0" distB="0" distL="0" distR="0">
            <wp:extent cx="5036185" cy="1506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036185" cy="1506220"/>
                    </a:xfrm>
                    <a:prstGeom prst="rect">
                      <a:avLst/>
                    </a:prstGeom>
                    <a:noFill/>
                    <a:ln>
                      <a:noFill/>
                    </a:ln>
                  </pic:spPr>
                </pic:pic>
              </a:graphicData>
            </a:graphic>
          </wp:inline>
        </w:drawing>
      </w:r>
    </w:p>
    <w:p>
      <w:pPr>
        <w:pStyle w:val="0"/>
        <w:jc w:val="both"/>
      </w:pPr>
      <w:r>
        <w:rPr>
          <w:sz w:val="20"/>
        </w:rPr>
      </w:r>
    </w:p>
    <w:p>
      <w:pPr>
        <w:pStyle w:val="0"/>
        <w:jc w:val="center"/>
      </w:pPr>
      <w:r>
        <w:rPr>
          <w:position w:val="-115"/>
        </w:rPr>
        <w:drawing>
          <wp:inline distT="0" distB="0" distL="0" distR="0">
            <wp:extent cx="5053965" cy="1598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5053965" cy="159829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выручки резидентов ОЭЗ Магадан, вошедших в периметр анализа, с 2017 года по 2022 год вырос в 1,9 раза, количество резидентов сохранилось на прежнем уровне (порядка 70 ед.), величина капитальных вложений - в 4,5 раза, численность сотрудников - в 1,3 раза. При этом в 2022 году на фоне увеличения численности сотрудников на 11,4% по сравнению с 2021 годом, совокупный объем капитальных вложений за аналогичный период вырос на 45,2%.</w:t>
      </w:r>
    </w:p>
    <w:p>
      <w:pPr>
        <w:pStyle w:val="0"/>
        <w:spacing w:before="200" w:line-rule="auto"/>
        <w:ind w:firstLine="540"/>
        <w:jc w:val="both"/>
      </w:pPr>
      <w:r>
        <w:rPr>
          <w:sz w:val="20"/>
        </w:rPr>
        <w:t xml:space="preserve">С 2017 года по 2022 год общая величина выпадающих доходов бюджетов бюджетной системы Российской Федерации (по резидентам ИНЛ, вошедшим в периметр анализа) увеличилась с 2,2 млрд руб. до 4,3 млрд руб. (в 1,9 раза), в том числе с 2,0 млрд руб. до 3,7 млрд руб. (в 1,9 раза) по налоговым льготам и с 0,2 млрд руб. до 0,6 млрд руб. по неналоговым мерам поддержки (в 2,3 раз). Таким образом, за 2022 год доля налоговых льгот и неналоговых мер поддержки в общей величине выпадающих доходов бюджетов бюджетной системы Российской Федерации для резидентов данной ИНЛ, вошедших в периметр анализа, составляла 86,8% и 13,2% соответственно.</w:t>
      </w:r>
    </w:p>
    <w:p>
      <w:pPr>
        <w:pStyle w:val="0"/>
        <w:spacing w:before="200" w:line-rule="auto"/>
        <w:ind w:firstLine="540"/>
        <w:jc w:val="both"/>
      </w:pPr>
      <w:r>
        <w:rPr>
          <w:sz w:val="20"/>
        </w:rPr>
        <w:t xml:space="preserve">В ТОП-3 отраслей по объему выручки за период анализа вошли отрасли по добыче руд прочих цветных металлов (64,1%), торговле оптовой твердым, жидким и газообразным топливом (12,9%), а также деятельность в области передачи электроэнергии (6,7%).</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снизилась по сравнению с анализом за прошлый год с 60,9% до 59,3%. При дальнейшей отраслевой дифференциации выявлены отрасли (всего 9 </w:t>
      </w:r>
      <w:hyperlink w:history="0" r:id="rId125"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с наиболее прибыльными компаниями, применяющими режим.</w:t>
      </w:r>
    </w:p>
    <w:p>
      <w:pPr>
        <w:pStyle w:val="0"/>
        <w:jc w:val="both"/>
      </w:pPr>
      <w:r>
        <w:rPr>
          <w:sz w:val="20"/>
        </w:rPr>
      </w:r>
    </w:p>
    <w:p>
      <w:pPr>
        <w:pStyle w:val="0"/>
        <w:ind w:firstLine="540"/>
        <w:jc w:val="both"/>
      </w:pPr>
      <w:r>
        <w:rPr>
          <w:sz w:val="20"/>
        </w:rPr>
        <w:t xml:space="preserve">Таблица 16. ТОП-5 по выручке отраслей, в которых выявлена сверхдоходность или низкая инвестиционная активность</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907"/>
        <w:gridCol w:w="1927"/>
        <w:gridCol w:w="1247"/>
        <w:gridCol w:w="1247"/>
        <w:gridCol w:w="1247"/>
        <w:gridCol w:w="1247"/>
        <w:gridCol w:w="1247"/>
      </w:tblGrid>
      <w:tr>
        <w:tblPrEx>
          <w:tblBorders>
            <w:insideH w:val="single" w:sz="4"/>
          </w:tblBorders>
        </w:tblPrEx>
        <w:tc>
          <w:tcPr>
            <w:tcW w:w="907" w:type="dxa"/>
            <w:tcBorders>
              <w:top w:val="single" w:sz="4"/>
              <w:left w:val="nil"/>
              <w:bottom w:val="single" w:sz="4"/>
              <w:right w:val="nil"/>
            </w:tcBorders>
          </w:tcPr>
          <w:p>
            <w:pPr>
              <w:pStyle w:val="0"/>
              <w:jc w:val="center"/>
            </w:pPr>
            <w:hyperlink w:history="0" r:id="rId126"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1927" w:type="dxa"/>
            <w:tcBorders>
              <w:top w:val="single" w:sz="4"/>
              <w:left w:val="nil"/>
              <w:bottom w:val="single" w:sz="4"/>
              <w:right w:val="nil"/>
            </w:tcBorders>
          </w:tcPr>
          <w:p>
            <w:pPr>
              <w:pStyle w:val="0"/>
              <w:jc w:val="center"/>
            </w:pPr>
            <w:r>
              <w:rPr>
                <w:sz w:val="20"/>
              </w:rPr>
              <w:t xml:space="preserve">Наименование отрасли</w:t>
            </w:r>
          </w:p>
        </w:tc>
        <w:tc>
          <w:tcPr>
            <w:tcW w:w="1247" w:type="dxa"/>
            <w:tcBorders>
              <w:top w:val="single" w:sz="4"/>
              <w:left w:val="nil"/>
              <w:bottom w:val="single" w:sz="4"/>
              <w:right w:val="nil"/>
            </w:tcBorders>
          </w:tcPr>
          <w:p>
            <w:pPr>
              <w:pStyle w:val="0"/>
              <w:jc w:val="center"/>
            </w:pPr>
            <w:r>
              <w:rPr>
                <w:sz w:val="20"/>
              </w:rPr>
              <w:t xml:space="preserve">Выручка по отрасли </w:t>
            </w:r>
            <w:hyperlink w:history="0" w:anchor="P4886" w:tooltip="&lt;*&gt; сумма средних значений выручки в рамках отрасли по всем резидентам за период анализа">
              <w:r>
                <w:rPr>
                  <w:sz w:val="20"/>
                  <w:color w:val="0000ff"/>
                </w:rPr>
                <w:t xml:space="preserve">&lt;*&gt;</w:t>
              </w:r>
            </w:hyperlink>
            <w:r>
              <w:rPr>
                <w:sz w:val="20"/>
              </w:rPr>
              <w:t xml:space="preserve"> млрд </w:t>
            </w:r>
            <w:r>
              <w:rPr>
                <w:position w:val="-6"/>
              </w:rPr>
              <w:drawing>
                <wp:inline distT="0" distB="0" distL="0" distR="0">
                  <wp:extent cx="14351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 cy="215265"/>
                          </a:xfrm>
                          <a:prstGeom prst="rect">
                            <a:avLst/>
                          </a:prstGeom>
                          <a:noFill/>
                          <a:ln>
                            <a:noFill/>
                          </a:ln>
                        </pic:spPr>
                      </pic:pic>
                    </a:graphicData>
                  </a:graphic>
                </wp:inline>
              </w:drawing>
            </w:r>
          </w:p>
        </w:tc>
        <w:tc>
          <w:tcPr>
            <w:tcW w:w="1247"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4887"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24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4888" w:tooltip="&lt;***&gt; средневзвешенная по выручке на основе данных за весь период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907" w:type="dxa"/>
            <w:vAlign w:val="center"/>
            <w:tcBorders>
              <w:top w:val="single" w:sz="4"/>
              <w:left w:val="nil"/>
              <w:bottom w:val="nil"/>
              <w:right w:val="nil"/>
            </w:tcBorders>
          </w:tcPr>
          <w:p>
            <w:pPr>
              <w:pStyle w:val="0"/>
              <w:jc w:val="center"/>
            </w:pPr>
            <w:hyperlink w:history="0" r:id="rId127"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07.29</w:t>
              </w:r>
            </w:hyperlink>
          </w:p>
        </w:tc>
        <w:tc>
          <w:tcPr>
            <w:tcW w:w="1927" w:type="dxa"/>
            <w:tcBorders>
              <w:top w:val="single" w:sz="4"/>
              <w:left w:val="nil"/>
              <w:bottom w:val="nil"/>
              <w:right w:val="nil"/>
            </w:tcBorders>
          </w:tcPr>
          <w:p>
            <w:pPr>
              <w:pStyle w:val="0"/>
              <w:jc w:val="both"/>
            </w:pPr>
            <w:r>
              <w:rPr>
                <w:sz w:val="20"/>
              </w:rPr>
              <w:t xml:space="preserve">Добыча руд прочих цветных металлов</w:t>
            </w:r>
          </w:p>
        </w:tc>
        <w:tc>
          <w:tcPr>
            <w:tcW w:w="1247" w:type="dxa"/>
            <w:vAlign w:val="center"/>
            <w:tcBorders>
              <w:top w:val="single" w:sz="4"/>
              <w:left w:val="nil"/>
              <w:bottom w:val="nil"/>
              <w:right w:val="nil"/>
            </w:tcBorders>
          </w:tcPr>
          <w:p>
            <w:pPr>
              <w:pStyle w:val="0"/>
              <w:jc w:val="center"/>
            </w:pPr>
            <w:r>
              <w:rPr>
                <w:sz w:val="20"/>
              </w:rPr>
              <w:t xml:space="preserve">127,9</w:t>
            </w:r>
          </w:p>
        </w:tc>
        <w:tc>
          <w:tcPr>
            <w:tcW w:w="1247" w:type="dxa"/>
            <w:vAlign w:val="center"/>
            <w:tcBorders>
              <w:top w:val="single" w:sz="4"/>
              <w:left w:val="nil"/>
              <w:bottom w:val="nil"/>
              <w:right w:val="nil"/>
            </w:tcBorders>
          </w:tcPr>
          <w:p>
            <w:pPr>
              <w:pStyle w:val="0"/>
              <w:jc w:val="center"/>
            </w:pPr>
            <w:r>
              <w:rPr>
                <w:sz w:val="20"/>
              </w:rPr>
              <w:t xml:space="preserve">17,0%</w:t>
            </w:r>
          </w:p>
        </w:tc>
        <w:tc>
          <w:tcPr>
            <w:tcW w:w="1247" w:type="dxa"/>
            <w:vAlign w:val="center"/>
            <w:tcBorders>
              <w:top w:val="single" w:sz="4"/>
              <w:left w:val="nil"/>
              <w:bottom w:val="nil"/>
              <w:right w:val="single" w:sz="4"/>
            </w:tcBorders>
          </w:tcPr>
          <w:p>
            <w:pPr>
              <w:pStyle w:val="0"/>
              <w:jc w:val="center"/>
            </w:pPr>
            <w:r>
              <w:rPr>
                <w:sz w:val="20"/>
              </w:rPr>
              <w:t xml:space="preserve">8,5%</w:t>
            </w:r>
          </w:p>
        </w:tc>
        <w:tc>
          <w:tcPr>
            <w:tcW w:w="1247" w:type="dxa"/>
            <w:vAlign w:val="center"/>
            <w:tcBorders>
              <w:top w:val="single" w:sz="4"/>
              <w:left w:val="single" w:sz="4"/>
              <w:bottom w:val="nil"/>
              <w:right w:val="nil"/>
            </w:tcBorders>
          </w:tcPr>
          <w:p>
            <w:pPr>
              <w:pStyle w:val="0"/>
              <w:jc w:val="center"/>
            </w:pPr>
            <w:r>
              <w:rPr>
                <w:sz w:val="20"/>
              </w:rPr>
              <w:t xml:space="preserve">24,8%</w:t>
            </w:r>
          </w:p>
        </w:tc>
        <w:tc>
          <w:tcPr>
            <w:tcW w:w="1247" w:type="dxa"/>
            <w:vAlign w:val="center"/>
            <w:tcBorders>
              <w:top w:val="single" w:sz="4"/>
              <w:left w:val="nil"/>
              <w:bottom w:val="nil"/>
              <w:right w:val="single" w:sz="4"/>
            </w:tcBorders>
          </w:tcPr>
          <w:p>
            <w:pPr>
              <w:pStyle w:val="0"/>
              <w:jc w:val="center"/>
            </w:pPr>
            <w:r>
              <w:rPr>
                <w:sz w:val="20"/>
              </w:rPr>
              <w:t xml:space="preserve">17,3%</w:t>
            </w:r>
          </w:p>
        </w:tc>
      </w:tr>
      <w:tr>
        <w:tc>
          <w:tcPr>
            <w:tcW w:w="907" w:type="dxa"/>
            <w:vAlign w:val="center"/>
            <w:tcBorders>
              <w:top w:val="nil"/>
              <w:left w:val="nil"/>
              <w:bottom w:val="nil"/>
              <w:right w:val="nil"/>
            </w:tcBorders>
          </w:tcPr>
          <w:p>
            <w:pPr>
              <w:pStyle w:val="0"/>
              <w:jc w:val="center"/>
            </w:pPr>
            <w:hyperlink w:history="0" r:id="rId12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03.11</w:t>
              </w:r>
            </w:hyperlink>
          </w:p>
        </w:tc>
        <w:tc>
          <w:tcPr>
            <w:tcW w:w="1927" w:type="dxa"/>
            <w:tcBorders>
              <w:top w:val="nil"/>
              <w:left w:val="nil"/>
              <w:bottom w:val="nil"/>
              <w:right w:val="nil"/>
            </w:tcBorders>
          </w:tcPr>
          <w:p>
            <w:pPr>
              <w:pStyle w:val="0"/>
              <w:jc w:val="both"/>
            </w:pPr>
            <w:r>
              <w:rPr>
                <w:sz w:val="20"/>
              </w:rPr>
              <w:t xml:space="preserve">Рыболовство морское</w:t>
            </w:r>
          </w:p>
        </w:tc>
        <w:tc>
          <w:tcPr>
            <w:tcW w:w="1247" w:type="dxa"/>
            <w:vAlign w:val="center"/>
            <w:tcBorders>
              <w:top w:val="nil"/>
              <w:left w:val="nil"/>
              <w:bottom w:val="nil"/>
              <w:right w:val="nil"/>
            </w:tcBorders>
          </w:tcPr>
          <w:p>
            <w:pPr>
              <w:pStyle w:val="0"/>
              <w:jc w:val="center"/>
            </w:pPr>
            <w:r>
              <w:rPr>
                <w:sz w:val="20"/>
              </w:rPr>
              <w:t xml:space="preserve">7,3</w:t>
            </w:r>
          </w:p>
        </w:tc>
        <w:tc>
          <w:tcPr>
            <w:tcW w:w="1247" w:type="dxa"/>
            <w:vAlign w:val="center"/>
            <w:tcBorders>
              <w:top w:val="nil"/>
              <w:left w:val="nil"/>
              <w:bottom w:val="nil"/>
              <w:right w:val="nil"/>
            </w:tcBorders>
          </w:tcPr>
          <w:p>
            <w:pPr>
              <w:pStyle w:val="0"/>
              <w:jc w:val="center"/>
            </w:pPr>
            <w:r>
              <w:rPr>
                <w:sz w:val="20"/>
              </w:rPr>
              <w:t xml:space="preserve">-16,9%</w:t>
            </w:r>
          </w:p>
        </w:tc>
        <w:tc>
          <w:tcPr>
            <w:tcW w:w="1247" w:type="dxa"/>
            <w:vAlign w:val="center"/>
            <w:tcBorders>
              <w:top w:val="nil"/>
              <w:left w:val="nil"/>
              <w:bottom w:val="nil"/>
              <w:right w:val="single" w:sz="4"/>
            </w:tcBorders>
          </w:tcPr>
          <w:p>
            <w:pPr>
              <w:pStyle w:val="0"/>
              <w:jc w:val="center"/>
            </w:pPr>
            <w:r>
              <w:rPr>
                <w:sz w:val="20"/>
              </w:rPr>
              <w:t xml:space="preserve">-4,6%</w:t>
            </w:r>
          </w:p>
        </w:tc>
        <w:tc>
          <w:tcPr>
            <w:tcW w:w="1247" w:type="dxa"/>
            <w:vAlign w:val="center"/>
            <w:tcBorders>
              <w:top w:val="nil"/>
              <w:left w:val="single" w:sz="4"/>
              <w:bottom w:val="nil"/>
              <w:right w:val="nil"/>
            </w:tcBorders>
          </w:tcPr>
          <w:p>
            <w:pPr>
              <w:pStyle w:val="0"/>
              <w:jc w:val="center"/>
            </w:pPr>
            <w:r>
              <w:rPr>
                <w:sz w:val="20"/>
              </w:rPr>
              <w:t xml:space="preserve">40,0%</w:t>
            </w:r>
          </w:p>
        </w:tc>
        <w:tc>
          <w:tcPr>
            <w:tcW w:w="1247" w:type="dxa"/>
            <w:vAlign w:val="center"/>
            <w:tcBorders>
              <w:top w:val="nil"/>
              <w:left w:val="nil"/>
              <w:bottom w:val="nil"/>
              <w:right w:val="single" w:sz="4"/>
            </w:tcBorders>
          </w:tcPr>
          <w:p>
            <w:pPr>
              <w:pStyle w:val="0"/>
              <w:jc w:val="center"/>
            </w:pPr>
            <w:r>
              <w:rPr>
                <w:sz w:val="20"/>
              </w:rPr>
              <w:t xml:space="preserve">29,1%</w:t>
            </w:r>
          </w:p>
        </w:tc>
      </w:tr>
      <w:tr>
        <w:tc>
          <w:tcPr>
            <w:tcW w:w="907" w:type="dxa"/>
            <w:vAlign w:val="center"/>
            <w:tcBorders>
              <w:top w:val="nil"/>
              <w:left w:val="nil"/>
              <w:bottom w:val="nil"/>
              <w:right w:val="nil"/>
            </w:tcBorders>
          </w:tcPr>
          <w:p>
            <w:pPr>
              <w:pStyle w:val="0"/>
              <w:jc w:val="center"/>
            </w:pPr>
            <w:hyperlink w:history="0" r:id="rId12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05.10</w:t>
              </w:r>
            </w:hyperlink>
          </w:p>
        </w:tc>
        <w:tc>
          <w:tcPr>
            <w:tcW w:w="1927" w:type="dxa"/>
            <w:tcBorders>
              <w:top w:val="nil"/>
              <w:left w:val="nil"/>
              <w:bottom w:val="nil"/>
              <w:right w:val="nil"/>
            </w:tcBorders>
          </w:tcPr>
          <w:p>
            <w:pPr>
              <w:pStyle w:val="0"/>
              <w:jc w:val="both"/>
            </w:pPr>
            <w:r>
              <w:rPr>
                <w:sz w:val="20"/>
              </w:rPr>
              <w:t xml:space="preserve">Добыча и обогащение угля и антрацита</w:t>
            </w:r>
          </w:p>
        </w:tc>
        <w:tc>
          <w:tcPr>
            <w:tcW w:w="1247" w:type="dxa"/>
            <w:vAlign w:val="center"/>
            <w:tcBorders>
              <w:top w:val="nil"/>
              <w:left w:val="nil"/>
              <w:bottom w:val="nil"/>
              <w:right w:val="nil"/>
            </w:tcBorders>
          </w:tcPr>
          <w:p>
            <w:pPr>
              <w:pStyle w:val="0"/>
              <w:jc w:val="center"/>
            </w:pPr>
            <w:r>
              <w:rPr>
                <w:sz w:val="20"/>
              </w:rPr>
              <w:t xml:space="preserve">1,5</w:t>
            </w:r>
          </w:p>
        </w:tc>
        <w:tc>
          <w:tcPr>
            <w:tcW w:w="1247" w:type="dxa"/>
            <w:vAlign w:val="center"/>
            <w:tcBorders>
              <w:top w:val="nil"/>
              <w:left w:val="nil"/>
              <w:bottom w:val="nil"/>
              <w:right w:val="nil"/>
            </w:tcBorders>
          </w:tcPr>
          <w:p>
            <w:pPr>
              <w:pStyle w:val="0"/>
              <w:jc w:val="center"/>
            </w:pPr>
            <w:r>
              <w:rPr>
                <w:sz w:val="20"/>
              </w:rPr>
              <w:t xml:space="preserve">11,7%</w:t>
            </w:r>
          </w:p>
        </w:tc>
        <w:tc>
          <w:tcPr>
            <w:tcW w:w="1247" w:type="dxa"/>
            <w:vAlign w:val="center"/>
            <w:tcBorders>
              <w:top w:val="nil"/>
              <w:left w:val="nil"/>
              <w:bottom w:val="nil"/>
              <w:right w:val="single" w:sz="4"/>
            </w:tcBorders>
          </w:tcPr>
          <w:p>
            <w:pPr>
              <w:pStyle w:val="0"/>
              <w:jc w:val="center"/>
            </w:pPr>
            <w:r>
              <w:rPr>
                <w:sz w:val="20"/>
              </w:rPr>
              <w:t xml:space="preserve">17,5%</w:t>
            </w:r>
          </w:p>
        </w:tc>
        <w:tc>
          <w:tcPr>
            <w:tcW w:w="1247" w:type="dxa"/>
            <w:vAlign w:val="center"/>
            <w:tcBorders>
              <w:top w:val="nil"/>
              <w:left w:val="single" w:sz="4"/>
              <w:bottom w:val="nil"/>
              <w:right w:val="nil"/>
            </w:tcBorders>
          </w:tcPr>
          <w:p>
            <w:pPr>
              <w:pStyle w:val="0"/>
              <w:jc w:val="center"/>
            </w:pPr>
            <w:r>
              <w:rPr>
                <w:sz w:val="20"/>
              </w:rPr>
              <w:t xml:space="preserve">9,7%</w:t>
            </w:r>
          </w:p>
        </w:tc>
        <w:tc>
          <w:tcPr>
            <w:tcW w:w="1247" w:type="dxa"/>
            <w:vAlign w:val="center"/>
            <w:tcBorders>
              <w:top w:val="nil"/>
              <w:left w:val="nil"/>
              <w:bottom w:val="nil"/>
              <w:right w:val="single" w:sz="4"/>
            </w:tcBorders>
          </w:tcPr>
          <w:p>
            <w:pPr>
              <w:pStyle w:val="0"/>
              <w:jc w:val="center"/>
            </w:pPr>
            <w:r>
              <w:rPr>
                <w:sz w:val="20"/>
              </w:rPr>
              <w:t xml:space="preserve">17,5%</w:t>
            </w:r>
          </w:p>
        </w:tc>
      </w:tr>
      <w:tr>
        <w:tc>
          <w:tcPr>
            <w:tcW w:w="907" w:type="dxa"/>
            <w:vAlign w:val="center"/>
            <w:tcBorders>
              <w:top w:val="nil"/>
              <w:left w:val="nil"/>
              <w:bottom w:val="nil"/>
              <w:right w:val="nil"/>
            </w:tcBorders>
          </w:tcPr>
          <w:p>
            <w:pPr>
              <w:pStyle w:val="0"/>
              <w:jc w:val="center"/>
            </w:pPr>
            <w:hyperlink w:history="0" r:id="rId13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52.24</w:t>
              </w:r>
            </w:hyperlink>
          </w:p>
        </w:tc>
        <w:tc>
          <w:tcPr>
            <w:tcW w:w="1927" w:type="dxa"/>
            <w:tcBorders>
              <w:top w:val="nil"/>
              <w:left w:val="nil"/>
              <w:bottom w:val="nil"/>
              <w:right w:val="nil"/>
            </w:tcBorders>
          </w:tcPr>
          <w:p>
            <w:pPr>
              <w:pStyle w:val="0"/>
              <w:jc w:val="both"/>
            </w:pPr>
            <w:r>
              <w:rPr>
                <w:sz w:val="20"/>
              </w:rPr>
              <w:t xml:space="preserve">Транспортная обработка грузов</w:t>
            </w:r>
          </w:p>
        </w:tc>
        <w:tc>
          <w:tcPr>
            <w:tcW w:w="1247" w:type="dxa"/>
            <w:vAlign w:val="center"/>
            <w:tcBorders>
              <w:top w:val="nil"/>
              <w:left w:val="nil"/>
              <w:bottom w:val="nil"/>
              <w:right w:val="nil"/>
            </w:tcBorders>
          </w:tcPr>
          <w:p>
            <w:pPr>
              <w:pStyle w:val="0"/>
              <w:jc w:val="center"/>
            </w:pPr>
            <w:r>
              <w:rPr>
                <w:sz w:val="20"/>
              </w:rPr>
              <w:t xml:space="preserve">1</w:t>
            </w:r>
          </w:p>
        </w:tc>
        <w:tc>
          <w:tcPr>
            <w:tcW w:w="1247" w:type="dxa"/>
            <w:vAlign w:val="center"/>
            <w:tcBorders>
              <w:top w:val="nil"/>
              <w:left w:val="nil"/>
              <w:bottom w:val="nil"/>
              <w:right w:val="nil"/>
            </w:tcBorders>
          </w:tcPr>
          <w:p>
            <w:pPr>
              <w:pStyle w:val="0"/>
              <w:jc w:val="center"/>
            </w:pPr>
            <w:r>
              <w:rPr>
                <w:sz w:val="20"/>
              </w:rPr>
              <w:t xml:space="preserve">35,7%</w:t>
            </w:r>
          </w:p>
        </w:tc>
        <w:tc>
          <w:tcPr>
            <w:tcW w:w="1247" w:type="dxa"/>
            <w:vAlign w:val="center"/>
            <w:tcBorders>
              <w:top w:val="nil"/>
              <w:left w:val="nil"/>
              <w:bottom w:val="nil"/>
              <w:right w:val="single" w:sz="4"/>
            </w:tcBorders>
          </w:tcPr>
          <w:p>
            <w:pPr>
              <w:pStyle w:val="0"/>
              <w:jc w:val="center"/>
            </w:pPr>
            <w:r>
              <w:rPr>
                <w:sz w:val="20"/>
              </w:rPr>
              <w:t xml:space="preserve">19,4%</w:t>
            </w:r>
          </w:p>
        </w:tc>
        <w:tc>
          <w:tcPr>
            <w:tcW w:w="1247" w:type="dxa"/>
            <w:vAlign w:val="center"/>
            <w:tcBorders>
              <w:top w:val="nil"/>
              <w:left w:val="single" w:sz="4"/>
              <w:bottom w:val="nil"/>
              <w:right w:val="nil"/>
            </w:tcBorders>
          </w:tcPr>
          <w:p>
            <w:pPr>
              <w:pStyle w:val="0"/>
              <w:jc w:val="center"/>
            </w:pPr>
            <w:r>
              <w:rPr>
                <w:sz w:val="20"/>
              </w:rPr>
              <w:t xml:space="preserve">21,9%</w:t>
            </w:r>
          </w:p>
        </w:tc>
        <w:tc>
          <w:tcPr>
            <w:tcW w:w="1247" w:type="dxa"/>
            <w:vAlign w:val="center"/>
            <w:tcBorders>
              <w:top w:val="nil"/>
              <w:left w:val="nil"/>
              <w:bottom w:val="nil"/>
              <w:right w:val="single" w:sz="4"/>
            </w:tcBorders>
          </w:tcPr>
          <w:p>
            <w:pPr>
              <w:pStyle w:val="0"/>
              <w:jc w:val="center"/>
            </w:pPr>
            <w:r>
              <w:rPr>
                <w:sz w:val="20"/>
              </w:rPr>
              <w:t xml:space="preserve">13,0%</w:t>
            </w:r>
          </w:p>
        </w:tc>
      </w:tr>
      <w:tr>
        <w:tc>
          <w:tcPr>
            <w:tcW w:w="907" w:type="dxa"/>
            <w:vAlign w:val="center"/>
            <w:tcBorders>
              <w:top w:val="nil"/>
              <w:left w:val="nil"/>
              <w:bottom w:val="single" w:sz="4"/>
              <w:right w:val="nil"/>
            </w:tcBorders>
          </w:tcPr>
          <w:p>
            <w:pPr>
              <w:pStyle w:val="0"/>
              <w:jc w:val="center"/>
            </w:pPr>
            <w:hyperlink w:history="0" r:id="rId13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61.10</w:t>
              </w:r>
            </w:hyperlink>
          </w:p>
        </w:tc>
        <w:tc>
          <w:tcPr>
            <w:tcW w:w="1927" w:type="dxa"/>
            <w:tcBorders>
              <w:top w:val="nil"/>
              <w:left w:val="nil"/>
              <w:bottom w:val="single" w:sz="4"/>
              <w:right w:val="nil"/>
            </w:tcBorders>
          </w:tcPr>
          <w:p>
            <w:pPr>
              <w:pStyle w:val="0"/>
              <w:jc w:val="both"/>
            </w:pPr>
            <w:r>
              <w:rPr>
                <w:sz w:val="20"/>
              </w:rPr>
              <w:t xml:space="preserve">Деятельность в области связи на базе проводных технологий</w:t>
            </w:r>
          </w:p>
        </w:tc>
        <w:tc>
          <w:tcPr>
            <w:tcW w:w="1247" w:type="dxa"/>
            <w:vAlign w:val="center"/>
            <w:tcBorders>
              <w:top w:val="nil"/>
              <w:left w:val="nil"/>
              <w:bottom w:val="single" w:sz="4"/>
              <w:right w:val="nil"/>
            </w:tcBorders>
          </w:tcPr>
          <w:p>
            <w:pPr>
              <w:pStyle w:val="0"/>
              <w:jc w:val="center"/>
            </w:pPr>
            <w:r>
              <w:rPr>
                <w:sz w:val="20"/>
              </w:rPr>
              <w:t xml:space="preserve">0,1</w:t>
            </w:r>
          </w:p>
        </w:tc>
        <w:tc>
          <w:tcPr>
            <w:tcW w:w="1247" w:type="dxa"/>
            <w:vAlign w:val="center"/>
            <w:tcBorders>
              <w:top w:val="nil"/>
              <w:left w:val="nil"/>
              <w:bottom w:val="single" w:sz="4"/>
              <w:right w:val="nil"/>
            </w:tcBorders>
          </w:tcPr>
          <w:p>
            <w:pPr>
              <w:pStyle w:val="0"/>
              <w:jc w:val="center"/>
            </w:pPr>
            <w:r>
              <w:rPr>
                <w:sz w:val="20"/>
              </w:rPr>
              <w:t xml:space="preserve">100,0%</w:t>
            </w:r>
          </w:p>
        </w:tc>
        <w:tc>
          <w:tcPr>
            <w:tcW w:w="1247" w:type="dxa"/>
            <w:vAlign w:val="center"/>
            <w:tcBorders>
              <w:top w:val="nil"/>
              <w:left w:val="nil"/>
              <w:bottom w:val="single" w:sz="4"/>
              <w:right w:val="single" w:sz="4"/>
            </w:tcBorders>
          </w:tcPr>
          <w:p>
            <w:pPr>
              <w:pStyle w:val="0"/>
              <w:jc w:val="center"/>
            </w:pPr>
            <w:r>
              <w:rPr>
                <w:sz w:val="20"/>
              </w:rPr>
              <w:t xml:space="preserve">46,6%</w:t>
            </w:r>
          </w:p>
        </w:tc>
        <w:tc>
          <w:tcPr>
            <w:tcW w:w="1247" w:type="dxa"/>
            <w:vAlign w:val="center"/>
            <w:tcBorders>
              <w:top w:val="nil"/>
              <w:left w:val="single" w:sz="4"/>
              <w:bottom w:val="single" w:sz="4"/>
              <w:right w:val="nil"/>
            </w:tcBorders>
          </w:tcPr>
          <w:p>
            <w:pPr>
              <w:pStyle w:val="0"/>
              <w:jc w:val="center"/>
            </w:pPr>
            <w:r>
              <w:rPr>
                <w:sz w:val="20"/>
              </w:rPr>
              <w:t xml:space="preserve">27,2%</w:t>
            </w:r>
          </w:p>
        </w:tc>
        <w:tc>
          <w:tcPr>
            <w:tcW w:w="1247" w:type="dxa"/>
            <w:vAlign w:val="center"/>
            <w:tcBorders>
              <w:top w:val="nil"/>
              <w:left w:val="nil"/>
              <w:bottom w:val="single" w:sz="4"/>
              <w:right w:val="single" w:sz="4"/>
            </w:tcBorders>
          </w:tcPr>
          <w:p>
            <w:pPr>
              <w:pStyle w:val="0"/>
              <w:jc w:val="center"/>
            </w:pPr>
            <w:r>
              <w:rPr>
                <w:sz w:val="20"/>
              </w:rPr>
              <w:t xml:space="preserve">69,2%</w:t>
            </w:r>
          </w:p>
        </w:tc>
      </w:tr>
    </w:tbl>
    <w:p>
      <w:pPr>
        <w:pStyle w:val="0"/>
        <w:jc w:val="both"/>
      </w:pPr>
      <w:r>
        <w:rPr>
          <w:sz w:val="20"/>
        </w:rPr>
      </w:r>
    </w:p>
    <w:p>
      <w:pPr>
        <w:pStyle w:val="0"/>
        <w:ind w:firstLine="540"/>
        <w:jc w:val="both"/>
      </w:pPr>
      <w:r>
        <w:rPr>
          <w:sz w:val="20"/>
        </w:rPr>
        <w:t xml:space="preserve">--------------------------------</w:t>
      </w:r>
    </w:p>
    <w:bookmarkStart w:id="4886" w:name="P4886"/>
    <w:bookmarkEnd w:id="4886"/>
    <w:p>
      <w:pPr>
        <w:pStyle w:val="0"/>
        <w:spacing w:before="200" w:line-rule="auto"/>
        <w:ind w:firstLine="540"/>
        <w:jc w:val="both"/>
      </w:pPr>
      <w:r>
        <w:rPr>
          <w:sz w:val="20"/>
        </w:rPr>
        <w:t xml:space="preserve">&lt;*&gt; сумма средних значений выручки в рамках отрасли по всем резидентам за период анализа</w:t>
      </w:r>
    </w:p>
    <w:bookmarkStart w:id="4887" w:name="P4887"/>
    <w:bookmarkEnd w:id="4887"/>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4888" w:name="P4888"/>
    <w:bookmarkEnd w:id="4888"/>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В отношении ТОП-5 по выручке отраслей, в которых выявлена сверхдоходность или низкая инвестиционная активность, стоит отметить, что отрасль рыболовство морское в целом за период демонстрирует высокую доходность активов, несмотря на отрицательные значения операционной рентабельности и доходности активов в последние годы.</w:t>
      </w:r>
    </w:p>
    <w:p>
      <w:pPr>
        <w:pStyle w:val="0"/>
        <w:spacing w:before="200" w:line-rule="auto"/>
        <w:ind w:firstLine="540"/>
        <w:jc w:val="both"/>
      </w:pPr>
      <w:r>
        <w:rPr>
          <w:sz w:val="20"/>
        </w:rPr>
        <w:t xml:space="preserve">Таким образом, режим ОЭЗ Магадан требует "донастройки", например, для новых резидентов в части ограничения видов деятельности, которые могут пользоваться налоговыми льготами и неналоговыми мерами поддержки.</w:t>
      </w:r>
    </w:p>
    <w:p>
      <w:pPr>
        <w:pStyle w:val="0"/>
        <w:spacing w:before="200" w:line-rule="auto"/>
        <w:ind w:firstLine="540"/>
        <w:jc w:val="both"/>
      </w:pPr>
      <w:r>
        <w:rPr>
          <w:sz w:val="20"/>
        </w:rPr>
        <w:t xml:space="preserve">Также отмечаем, что на основе результатов анализа эффективности ИНЛ Минфином России подготовлены предложения по внесению изменений в Налоговый </w:t>
      </w:r>
      <w:hyperlink w:history="0" r:id="rId132"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кодекс</w:t>
        </w:r>
      </w:hyperlink>
      <w:r>
        <w:rPr>
          <w:sz w:val="20"/>
        </w:rPr>
        <w:t xml:space="preserve"> Российской Федерации, направленные на совершенствование налогового регулирования режима ОЭЗ Магадан (более подробно см. "</w:t>
      </w:r>
      <w:hyperlink w:history="0" w:anchor="P4168" w:tooltip="Результаты анализа эффективности ИНЛ">
        <w:r>
          <w:rPr>
            <w:sz w:val="20"/>
            <w:color w:val="0000ff"/>
          </w:rPr>
          <w:t xml:space="preserve">Результаты анализа</w:t>
        </w:r>
      </w:hyperlink>
      <w:r>
        <w:rPr>
          <w:sz w:val="20"/>
        </w:rPr>
        <w:t xml:space="preserve"> эффективности ИНЛ").</w:t>
      </w:r>
    </w:p>
    <w:p>
      <w:pPr>
        <w:pStyle w:val="0"/>
        <w:jc w:val="both"/>
      </w:pPr>
      <w:r>
        <w:rPr>
          <w:sz w:val="20"/>
        </w:rPr>
      </w:r>
    </w:p>
    <w:p>
      <w:pPr>
        <w:pStyle w:val="2"/>
        <w:outlineLvl w:val="1"/>
        <w:ind w:firstLine="540"/>
        <w:jc w:val="both"/>
      </w:pPr>
      <w:r>
        <w:rPr>
          <w:sz w:val="20"/>
        </w:rPr>
        <w:t xml:space="preserve">Свободная экономическая зона на территориях Республики Крым и города федерального значения Севастополя (СЭЗ Крым)</w:t>
      </w:r>
    </w:p>
    <w:p>
      <w:pPr>
        <w:pStyle w:val="0"/>
        <w:jc w:val="both"/>
      </w:pPr>
      <w:r>
        <w:rPr>
          <w:sz w:val="20"/>
        </w:rPr>
      </w:r>
    </w:p>
    <w:p>
      <w:pPr>
        <w:pStyle w:val="0"/>
        <w:ind w:firstLine="540"/>
        <w:jc w:val="both"/>
      </w:pPr>
      <w:r>
        <w:rPr>
          <w:sz w:val="20"/>
        </w:rPr>
        <w:t xml:space="preserve">Таблица 17.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7"/>
        <w:gridCol w:w="340"/>
        <w:gridCol w:w="5952"/>
      </w:tblGrid>
      <w:tr>
        <w:tblPrEx>
          <w:tblBorders>
            <w:insideH w:val="single" w:sz="4"/>
          </w:tblBorders>
        </w:tblPrEx>
        <w:tc>
          <w:tcPr>
            <w:tcW w:w="2777" w:type="dxa"/>
            <w:tcBorders>
              <w:top w:val="single" w:sz="4"/>
              <w:left w:val="nil"/>
              <w:bottom w:val="single" w:sz="4"/>
              <w:right w:val="nil"/>
            </w:tcBorders>
          </w:tcPr>
          <w:p>
            <w:pPr>
              <w:pStyle w:val="0"/>
              <w:jc w:val="center"/>
            </w:pPr>
            <w:r>
              <w:rPr>
                <w:sz w:val="20"/>
              </w:rPr>
              <w:t xml:space="preserve">Показатель</w:t>
            </w:r>
          </w:p>
        </w:tc>
        <w:tc>
          <w:tcPr>
            <w:gridSpan w:val="2"/>
            <w:tcW w:w="6292" w:type="dxa"/>
            <w:tcBorders>
              <w:top w:val="single" w:sz="4"/>
              <w:left w:val="nil"/>
              <w:bottom w:val="single" w:sz="4"/>
              <w:right w:val="nil"/>
            </w:tcBorders>
          </w:tcPr>
          <w:p>
            <w:pPr>
              <w:pStyle w:val="0"/>
              <w:jc w:val="center"/>
            </w:pPr>
            <w:r>
              <w:rPr>
                <w:sz w:val="20"/>
              </w:rPr>
              <w:t xml:space="preserve">Описание</w:t>
            </w:r>
          </w:p>
        </w:tc>
      </w:tr>
      <w:tr>
        <w:tc>
          <w:tcPr>
            <w:tcW w:w="2777" w:type="dxa"/>
            <w:vAlign w:val="bottom"/>
            <w:tcBorders>
              <w:top w:val="single" w:sz="4"/>
              <w:left w:val="nil"/>
              <w:bottom w:val="nil"/>
              <w:right w:val="nil"/>
            </w:tcBorders>
          </w:tcPr>
          <w:p>
            <w:pPr>
              <w:pStyle w:val="0"/>
            </w:pPr>
            <w:r>
              <w:rPr>
                <w:sz w:val="20"/>
              </w:rPr>
              <w:t xml:space="preserve">Срок действия режима</w:t>
            </w:r>
          </w:p>
        </w:tc>
        <w:tc>
          <w:tcPr>
            <w:gridSpan w:val="2"/>
            <w:tcW w:w="6292" w:type="dxa"/>
            <w:vAlign w:val="bottom"/>
            <w:tcBorders>
              <w:top w:val="single" w:sz="4"/>
              <w:left w:val="nil"/>
              <w:bottom w:val="nil"/>
              <w:right w:val="nil"/>
            </w:tcBorders>
          </w:tcPr>
          <w:p>
            <w:pPr>
              <w:pStyle w:val="0"/>
            </w:pPr>
            <w:r>
              <w:rPr>
                <w:sz w:val="20"/>
              </w:rPr>
              <w:t xml:space="preserve">Действуете 01.01.2015 по 31.12.2039.</w:t>
            </w:r>
          </w:p>
        </w:tc>
      </w:tr>
      <w:tr>
        <w:tc>
          <w:tcPr>
            <w:tcW w:w="2777" w:type="dxa"/>
            <w:vAlign w:val="center"/>
            <w:tcBorders>
              <w:top w:val="nil"/>
              <w:left w:val="nil"/>
              <w:bottom w:val="nil"/>
              <w:right w:val="nil"/>
            </w:tcBorders>
            <w:vMerge w:val="restart"/>
          </w:tcPr>
          <w:p>
            <w:pPr>
              <w:pStyle w:val="0"/>
            </w:pPr>
            <w:r>
              <w:rPr>
                <w:sz w:val="20"/>
              </w:rPr>
              <w:t xml:space="preserve">Налоговые льготы режима</w:t>
            </w:r>
          </w:p>
        </w:tc>
        <w:tc>
          <w:tcPr>
            <w:tcW w:w="340" w:type="dxa"/>
            <w:tcBorders>
              <w:top w:val="nil"/>
              <w:left w:val="nil"/>
              <w:bottom w:val="nil"/>
              <w:right w:val="nil"/>
            </w:tcBorders>
          </w:tcPr>
          <w:p>
            <w:pPr>
              <w:pStyle w:val="0"/>
              <w:jc w:val="center"/>
            </w:pPr>
            <w:r>
              <w:rPr>
                <w:sz w:val="20"/>
              </w:rPr>
              <w:t xml:space="preserve">-</w:t>
            </w:r>
          </w:p>
        </w:tc>
        <w:tc>
          <w:tcPr>
            <w:tcW w:w="5952" w:type="dxa"/>
            <w:tcBorders>
              <w:top w:val="nil"/>
              <w:left w:val="nil"/>
              <w:bottom w:val="nil"/>
              <w:right w:val="nil"/>
            </w:tcBorders>
          </w:tcPr>
          <w:p>
            <w:pPr>
              <w:pStyle w:val="0"/>
              <w:jc w:val="both"/>
            </w:pPr>
            <w:r>
              <w:rPr>
                <w:sz w:val="20"/>
              </w:rPr>
              <w:t xml:space="preserve">пониженные ставки по налогу на прибыль в ФБ и РБ (в соответствии с законами субъектов РФ и с учетом определенных </w:t>
            </w:r>
            <w:hyperlink w:history="0" r:id="rId133"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jc w:val="center"/>
            </w:pPr>
            <w:r>
              <w:rPr>
                <w:sz w:val="20"/>
              </w:rPr>
              <w:t xml:space="preserve">-</w:t>
            </w:r>
          </w:p>
        </w:tc>
        <w:tc>
          <w:tcPr>
            <w:tcW w:w="5952" w:type="dxa"/>
            <w:tcBorders>
              <w:top w:val="nil"/>
              <w:left w:val="nil"/>
              <w:bottom w:val="nil"/>
              <w:right w:val="nil"/>
            </w:tcBorders>
          </w:tcPr>
          <w:p>
            <w:pPr>
              <w:pStyle w:val="0"/>
            </w:pPr>
            <w:r>
              <w:rPr>
                <w:sz w:val="20"/>
              </w:rPr>
              <w:t xml:space="preserve">освобождение от уплаты налога на имущество,</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jc w:val="center"/>
            </w:pPr>
            <w:r>
              <w:rPr>
                <w:sz w:val="20"/>
              </w:rPr>
              <w:t xml:space="preserve">-</w:t>
            </w:r>
          </w:p>
        </w:tc>
        <w:tc>
          <w:tcPr>
            <w:tcW w:w="5952" w:type="dxa"/>
            <w:tcBorders>
              <w:top w:val="nil"/>
              <w:left w:val="nil"/>
              <w:bottom w:val="nil"/>
              <w:right w:val="nil"/>
            </w:tcBorders>
          </w:tcPr>
          <w:p>
            <w:pPr>
              <w:pStyle w:val="0"/>
            </w:pPr>
            <w:r>
              <w:rPr>
                <w:sz w:val="20"/>
              </w:rPr>
              <w:t xml:space="preserve">освобождение от уплаты земельного налога,</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jc w:val="center"/>
            </w:pPr>
            <w:r>
              <w:rPr>
                <w:sz w:val="20"/>
              </w:rPr>
              <w:t xml:space="preserve">-</w:t>
            </w:r>
          </w:p>
        </w:tc>
        <w:tc>
          <w:tcPr>
            <w:tcW w:w="5952" w:type="dxa"/>
            <w:tcBorders>
              <w:top w:val="nil"/>
              <w:left w:val="nil"/>
              <w:bottom w:val="nil"/>
              <w:right w:val="nil"/>
            </w:tcBorders>
          </w:tcPr>
          <w:p>
            <w:pPr>
              <w:pStyle w:val="0"/>
            </w:pPr>
            <w:r>
              <w:rPr>
                <w:sz w:val="20"/>
              </w:rPr>
              <w:t xml:space="preserve">пониженные тарифы страховых взносов.</w:t>
            </w:r>
          </w:p>
        </w:tc>
      </w:tr>
      <w:tr>
        <w:tc>
          <w:tcPr>
            <w:tcW w:w="2777" w:type="dxa"/>
            <w:vAlign w:val="center"/>
            <w:tcBorders>
              <w:top w:val="nil"/>
              <w:left w:val="nil"/>
              <w:bottom w:val="nil"/>
              <w:right w:val="nil"/>
            </w:tcBorders>
          </w:tcPr>
          <w:p>
            <w:pPr>
              <w:pStyle w:val="0"/>
            </w:pPr>
            <w:r>
              <w:rPr>
                <w:sz w:val="20"/>
              </w:rPr>
              <w:t xml:space="preserve">Количество отраслей в режиме</w:t>
            </w:r>
          </w:p>
        </w:tc>
        <w:tc>
          <w:tcPr>
            <w:gridSpan w:val="2"/>
            <w:tcW w:w="6292" w:type="dxa"/>
            <w:vAlign w:val="center"/>
            <w:tcBorders>
              <w:top w:val="nil"/>
              <w:left w:val="nil"/>
              <w:bottom w:val="nil"/>
              <w:right w:val="nil"/>
            </w:tcBorders>
          </w:tcPr>
          <w:p>
            <w:pPr>
              <w:pStyle w:val="0"/>
            </w:pPr>
            <w:r>
              <w:rPr>
                <w:sz w:val="20"/>
              </w:rPr>
              <w:t xml:space="preserve">297</w:t>
            </w:r>
          </w:p>
        </w:tc>
      </w:tr>
      <w:tr>
        <w:tc>
          <w:tcPr>
            <w:tcW w:w="2777" w:type="dxa"/>
            <w:vAlign w:val="center"/>
            <w:tcBorders>
              <w:top w:val="nil"/>
              <w:left w:val="nil"/>
              <w:bottom w:val="single" w:sz="4"/>
              <w:right w:val="nil"/>
            </w:tcBorders>
          </w:tcPr>
          <w:p>
            <w:pPr>
              <w:pStyle w:val="0"/>
            </w:pPr>
            <w:r>
              <w:rPr>
                <w:sz w:val="20"/>
              </w:rPr>
              <w:t xml:space="preserve">Наличие обязательств</w:t>
            </w:r>
          </w:p>
        </w:tc>
        <w:tc>
          <w:tcPr>
            <w:gridSpan w:val="2"/>
            <w:tcW w:w="6292" w:type="dxa"/>
            <w:tcBorders>
              <w:top w:val="nil"/>
              <w:left w:val="nil"/>
              <w:bottom w:val="single" w:sz="4"/>
              <w:right w:val="nil"/>
            </w:tcBorders>
          </w:tcPr>
          <w:p>
            <w:pPr>
              <w:pStyle w:val="0"/>
              <w:jc w:val="both"/>
            </w:pPr>
            <w:r>
              <w:rPr>
                <w:sz w:val="20"/>
              </w:rPr>
              <w:t xml:space="preserve">Да (в первые 3 года капитальные вложения не менее 6 млн руб. для МСП, не менее 60 млн руб. для крупных предприятий; до 10.01.2022 размер 3 млн руб. и 30 млн руб. соответственно).</w:t>
            </w:r>
          </w:p>
        </w:tc>
      </w:tr>
    </w:tbl>
    <w:p>
      <w:pPr>
        <w:pStyle w:val="0"/>
        <w:jc w:val="both"/>
      </w:pPr>
      <w:r>
        <w:rPr>
          <w:sz w:val="20"/>
        </w:rPr>
      </w:r>
    </w:p>
    <w:p>
      <w:pPr>
        <w:pStyle w:val="0"/>
        <w:ind w:firstLine="540"/>
        <w:jc w:val="both"/>
      </w:pPr>
      <w:r>
        <w:rPr>
          <w:sz w:val="20"/>
        </w:rPr>
        <w:t xml:space="preserve">За период анализа (2017 - 2022 годы) общее количество участников &lt;20&gt; СЭЗ Крым составило 2072, из которых в периметр анализа на базе АС "Эффективность льгот" вошли 1780 &lt;21&gt; участников.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Количество участников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&lt;21&gt; Прочие участники не вошли в анализ по причине отсутствия налоговых деклараций или бухгалтерской отчетности (91 участник), или нулевого значения показателя выручки (201 участник).</w:t>
      </w:r>
    </w:p>
    <w:p>
      <w:pPr>
        <w:pStyle w:val="0"/>
        <w:jc w:val="both"/>
      </w:pPr>
      <w:r>
        <w:rPr>
          <w:sz w:val="20"/>
        </w:rPr>
      </w:r>
    </w:p>
    <w:p>
      <w:pPr>
        <w:pStyle w:val="0"/>
        <w:jc w:val="center"/>
      </w:pPr>
      <w:r>
        <w:rPr>
          <w:position w:val="-108"/>
        </w:rPr>
        <w:drawing>
          <wp:inline distT="0" distB="0" distL="0" distR="0">
            <wp:extent cx="5045710" cy="150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5045710" cy="1501775"/>
                    </a:xfrm>
                    <a:prstGeom prst="rect">
                      <a:avLst/>
                    </a:prstGeom>
                    <a:noFill/>
                    <a:ln>
                      <a:noFill/>
                    </a:ln>
                  </pic:spPr>
                </pic:pic>
              </a:graphicData>
            </a:graphic>
          </wp:inline>
        </w:drawing>
      </w:r>
    </w:p>
    <w:p>
      <w:pPr>
        <w:pStyle w:val="0"/>
        <w:jc w:val="center"/>
      </w:pPr>
      <w:r>
        <w:rPr>
          <w:position w:val="-114"/>
        </w:rPr>
        <w:drawing>
          <wp:inline distT="0" distB="0" distL="0" distR="0">
            <wp:extent cx="5022215" cy="1579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5022215" cy="15792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выручки участников СЭЗ Крым, вошедших в периметр анализа, с 2017 года по 2022 год вырос в 2,0 раза, количество участников сохранилось на прежнем уровне (порядка 1361 ед.), величина капитальных вложений - в 1,1 раза, численность сотрудников - в 1,5 раза. При этом в 2022 году на фоне сохранения численности сотрудников на уровне 114 тыс. человек, совокупный объем капитальных вложений по сравнению с 2021 годом вырос на 7,7%.</w:t>
      </w:r>
    </w:p>
    <w:p>
      <w:pPr>
        <w:pStyle w:val="0"/>
        <w:spacing w:before="200" w:line-rule="auto"/>
        <w:ind w:firstLine="540"/>
        <w:jc w:val="both"/>
      </w:pPr>
      <w:r>
        <w:rPr>
          <w:sz w:val="20"/>
        </w:rPr>
        <w:t xml:space="preserve">С 2017 года по 2022 год общая величина выпадающих доходов бюджетов бюджетной системы Российской Федерации (по участникам ИНЛ, вошедшим в периметр анализа) увеличилась с 9,4 млрд руб. до 16,3 млрд руб. (в 1,7 раза), главным образом за счет налоговых льгот, которые увеличилась с 8,6 млрд руб. до 16,2 млрд руб. (в 1,9 раза), величина неналоговых мер поддержки снизилась с 0,9 млрд руб. до 0,03 млрд руб. (в 28,8 раза). Таким образом, за 2022 год доля налоговых льгот и неналоговых мер поддержки в общей величине выпадающих доходов бюджетов бюджетной системы Российской Федерации для участников данной ИНЛ, вошедших в периметр анализа, составляла 99,8% и 0,2% соответственно.</w:t>
      </w:r>
    </w:p>
    <w:p>
      <w:pPr>
        <w:pStyle w:val="0"/>
        <w:spacing w:before="200" w:line-rule="auto"/>
        <w:ind w:firstLine="540"/>
        <w:jc w:val="both"/>
      </w:pPr>
      <w:r>
        <w:rPr>
          <w:sz w:val="20"/>
        </w:rPr>
        <w:t xml:space="preserve">В ТОП-3 отраслей по объему выручки за период анализа вошли отрасли по строительству жилых и нежилых зданий (8,6%), торговле розничной пищевыми продуктам (8,6%), а также торговле оптовой твердым, жидким и газообразным топливом (8,4%).</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выросла по сравнению с анализом за прошлый год с 37,2% до 37,7%. При дальнейшей отраслевой дифференциации выявлены отрасли (всего 73 </w:t>
      </w:r>
      <w:hyperlink w:history="0" r:id="rId136"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с наиболее прибыльными компаниями, применяющими режим.</w:t>
      </w:r>
    </w:p>
    <w:p>
      <w:pPr>
        <w:pStyle w:val="0"/>
        <w:jc w:val="both"/>
      </w:pPr>
      <w:r>
        <w:rPr>
          <w:sz w:val="20"/>
        </w:rPr>
      </w:r>
    </w:p>
    <w:p>
      <w:pPr>
        <w:pStyle w:val="0"/>
        <w:ind w:firstLine="540"/>
        <w:jc w:val="both"/>
      </w:pPr>
      <w:r>
        <w:rPr>
          <w:sz w:val="20"/>
        </w:rPr>
        <w:t xml:space="preserve">Таблица 18. ТОП-5 по выручке отраслей, в которых выявлена сверхдоходность или низкая инвестиционная активность</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907"/>
        <w:gridCol w:w="1927"/>
        <w:gridCol w:w="1247"/>
        <w:gridCol w:w="1247"/>
        <w:gridCol w:w="1247"/>
        <w:gridCol w:w="1247"/>
        <w:gridCol w:w="1247"/>
      </w:tblGrid>
      <w:tr>
        <w:tblPrEx>
          <w:tblBorders>
            <w:insideH w:val="single" w:sz="4"/>
          </w:tblBorders>
        </w:tblPrEx>
        <w:tc>
          <w:tcPr>
            <w:tcW w:w="907" w:type="dxa"/>
            <w:tcBorders>
              <w:top w:val="single" w:sz="4"/>
              <w:left w:val="nil"/>
              <w:bottom w:val="single" w:sz="4"/>
              <w:right w:val="nil"/>
            </w:tcBorders>
          </w:tcPr>
          <w:p>
            <w:pPr>
              <w:pStyle w:val="0"/>
              <w:jc w:val="center"/>
            </w:pPr>
            <w:hyperlink w:history="0" r:id="rId137"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1927" w:type="dxa"/>
            <w:tcBorders>
              <w:top w:val="single" w:sz="4"/>
              <w:left w:val="nil"/>
              <w:bottom w:val="single" w:sz="4"/>
              <w:right w:val="nil"/>
            </w:tcBorders>
          </w:tcPr>
          <w:p>
            <w:pPr>
              <w:pStyle w:val="0"/>
              <w:jc w:val="center"/>
            </w:pPr>
            <w:r>
              <w:rPr>
                <w:sz w:val="20"/>
              </w:rPr>
              <w:t xml:space="preserve">Наименование отрасли</w:t>
            </w:r>
          </w:p>
        </w:tc>
        <w:tc>
          <w:tcPr>
            <w:tcW w:w="1247" w:type="dxa"/>
            <w:tcBorders>
              <w:top w:val="single" w:sz="4"/>
              <w:left w:val="nil"/>
              <w:bottom w:val="single" w:sz="4"/>
              <w:right w:val="nil"/>
            </w:tcBorders>
          </w:tcPr>
          <w:p>
            <w:pPr>
              <w:pStyle w:val="0"/>
              <w:jc w:val="center"/>
            </w:pPr>
            <w:r>
              <w:rPr>
                <w:sz w:val="20"/>
              </w:rPr>
              <w:t xml:space="preserve">Выручка по отрасли </w:t>
            </w:r>
            <w:hyperlink w:history="0" w:anchor="P4975" w:tooltip="&lt;*&gt; сумма средних значений выручки в рамках отрасли по всем резидентам за период анализа">
              <w:r>
                <w:rPr>
                  <w:sz w:val="20"/>
                  <w:color w:val="0000ff"/>
                </w:rPr>
                <w:t xml:space="preserve">&lt;*&gt;</w:t>
              </w:r>
            </w:hyperlink>
            <w:r>
              <w:rPr>
                <w:sz w:val="20"/>
              </w:rPr>
              <w:t xml:space="preserve"> млрд </w:t>
            </w:r>
            <w:r>
              <w:rPr>
                <w:position w:val="-6"/>
              </w:rPr>
              <w:drawing>
                <wp:inline distT="0" distB="0" distL="0" distR="0">
                  <wp:extent cx="14351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 cy="215265"/>
                          </a:xfrm>
                          <a:prstGeom prst="rect">
                            <a:avLst/>
                          </a:prstGeom>
                          <a:noFill/>
                          <a:ln>
                            <a:noFill/>
                          </a:ln>
                        </pic:spPr>
                      </pic:pic>
                    </a:graphicData>
                  </a:graphic>
                </wp:inline>
              </w:drawing>
            </w:r>
          </w:p>
        </w:tc>
        <w:tc>
          <w:tcPr>
            <w:tcW w:w="1247"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4976"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24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4977" w:tooltip="&lt;***&gt; средневзвешенная по выручке на основе данных за весь период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907" w:type="dxa"/>
            <w:vAlign w:val="center"/>
            <w:tcBorders>
              <w:top w:val="single" w:sz="4"/>
              <w:left w:val="nil"/>
              <w:bottom w:val="nil"/>
              <w:right w:val="nil"/>
            </w:tcBorders>
          </w:tcPr>
          <w:p>
            <w:pPr>
              <w:pStyle w:val="0"/>
              <w:jc w:val="center"/>
            </w:pPr>
            <w:hyperlink w:history="0" r:id="rId13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71.12</w:t>
              </w:r>
            </w:hyperlink>
          </w:p>
        </w:tc>
        <w:tc>
          <w:tcPr>
            <w:tcW w:w="1927" w:type="dxa"/>
            <w:vAlign w:val="center"/>
            <w:tcBorders>
              <w:top w:val="single" w:sz="4"/>
              <w:left w:val="nil"/>
              <w:bottom w:val="nil"/>
              <w:right w:val="nil"/>
            </w:tcBorders>
          </w:tcPr>
          <w:p>
            <w:pPr>
              <w:pStyle w:val="0"/>
              <w:jc w:val="both"/>
            </w:pPr>
            <w:r>
              <w:rPr>
                <w:sz w:val="20"/>
              </w:rPr>
              <w:t xml:space="preserve">Деятельность в области инженерных изысканий, инженерно-технического проектирования, управления проектами строительства, выполнения строительного контроля и авторского надзора, предоставление технических консультаций в этих областях</w:t>
            </w:r>
          </w:p>
        </w:tc>
        <w:tc>
          <w:tcPr>
            <w:tcW w:w="1247" w:type="dxa"/>
            <w:vAlign w:val="center"/>
            <w:tcBorders>
              <w:top w:val="single" w:sz="4"/>
              <w:left w:val="nil"/>
              <w:bottom w:val="nil"/>
              <w:right w:val="nil"/>
            </w:tcBorders>
          </w:tcPr>
          <w:p>
            <w:pPr>
              <w:pStyle w:val="0"/>
              <w:jc w:val="center"/>
            </w:pPr>
            <w:r>
              <w:rPr>
                <w:sz w:val="20"/>
              </w:rPr>
              <w:t xml:space="preserve">7,8</w:t>
            </w:r>
          </w:p>
        </w:tc>
        <w:tc>
          <w:tcPr>
            <w:tcW w:w="1247" w:type="dxa"/>
            <w:vAlign w:val="center"/>
            <w:tcBorders>
              <w:top w:val="single" w:sz="4"/>
              <w:left w:val="nil"/>
              <w:bottom w:val="nil"/>
              <w:right w:val="nil"/>
            </w:tcBorders>
          </w:tcPr>
          <w:p>
            <w:pPr>
              <w:pStyle w:val="0"/>
              <w:jc w:val="center"/>
            </w:pPr>
            <w:r>
              <w:rPr>
                <w:sz w:val="20"/>
              </w:rPr>
              <w:t xml:space="preserve">22,7%</w:t>
            </w:r>
          </w:p>
        </w:tc>
        <w:tc>
          <w:tcPr>
            <w:tcW w:w="1247" w:type="dxa"/>
            <w:vAlign w:val="center"/>
            <w:tcBorders>
              <w:top w:val="single" w:sz="4"/>
              <w:left w:val="nil"/>
              <w:bottom w:val="nil"/>
              <w:right w:val="single" w:sz="4"/>
            </w:tcBorders>
          </w:tcPr>
          <w:p>
            <w:pPr>
              <w:pStyle w:val="0"/>
              <w:jc w:val="center"/>
            </w:pPr>
            <w:r>
              <w:rPr>
                <w:sz w:val="20"/>
              </w:rPr>
              <w:t xml:space="preserve">-17,0%</w:t>
            </w:r>
          </w:p>
        </w:tc>
        <w:tc>
          <w:tcPr>
            <w:tcW w:w="1247" w:type="dxa"/>
            <w:vAlign w:val="center"/>
            <w:tcBorders>
              <w:top w:val="single" w:sz="4"/>
              <w:left w:val="single" w:sz="4"/>
              <w:bottom w:val="nil"/>
              <w:right w:val="nil"/>
            </w:tcBorders>
          </w:tcPr>
          <w:p>
            <w:pPr>
              <w:pStyle w:val="0"/>
              <w:jc w:val="center"/>
            </w:pPr>
            <w:r>
              <w:rPr>
                <w:sz w:val="20"/>
              </w:rPr>
              <w:t xml:space="preserve">27,7%</w:t>
            </w:r>
          </w:p>
        </w:tc>
        <w:tc>
          <w:tcPr>
            <w:tcW w:w="1247" w:type="dxa"/>
            <w:vAlign w:val="center"/>
            <w:tcBorders>
              <w:top w:val="single" w:sz="4"/>
              <w:left w:val="nil"/>
              <w:bottom w:val="nil"/>
              <w:right w:val="single" w:sz="4"/>
            </w:tcBorders>
          </w:tcPr>
          <w:p>
            <w:pPr>
              <w:pStyle w:val="0"/>
              <w:jc w:val="center"/>
            </w:pPr>
            <w:r>
              <w:rPr>
                <w:sz w:val="20"/>
              </w:rPr>
              <w:t xml:space="preserve">-6,2%</w:t>
            </w:r>
          </w:p>
        </w:tc>
      </w:tr>
      <w:tr>
        <w:tc>
          <w:tcPr>
            <w:tcW w:w="907" w:type="dxa"/>
            <w:vAlign w:val="center"/>
            <w:tcBorders>
              <w:top w:val="nil"/>
              <w:left w:val="nil"/>
              <w:bottom w:val="nil"/>
              <w:right w:val="nil"/>
            </w:tcBorders>
          </w:tcPr>
          <w:p>
            <w:pPr>
              <w:pStyle w:val="0"/>
              <w:jc w:val="center"/>
            </w:pPr>
            <w:hyperlink w:history="0" r:id="rId13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10.12</w:t>
              </w:r>
            </w:hyperlink>
          </w:p>
        </w:tc>
        <w:tc>
          <w:tcPr>
            <w:tcW w:w="1927" w:type="dxa"/>
            <w:vAlign w:val="center"/>
            <w:tcBorders>
              <w:top w:val="nil"/>
              <w:left w:val="nil"/>
              <w:bottom w:val="nil"/>
              <w:right w:val="nil"/>
            </w:tcBorders>
          </w:tcPr>
          <w:p>
            <w:pPr>
              <w:pStyle w:val="0"/>
              <w:jc w:val="both"/>
            </w:pPr>
            <w:r>
              <w:rPr>
                <w:sz w:val="20"/>
              </w:rPr>
              <w:t xml:space="preserve">Производство и консервирование мяса птицы</w:t>
            </w:r>
          </w:p>
        </w:tc>
        <w:tc>
          <w:tcPr>
            <w:tcW w:w="1247" w:type="dxa"/>
            <w:vAlign w:val="center"/>
            <w:tcBorders>
              <w:top w:val="nil"/>
              <w:left w:val="nil"/>
              <w:bottom w:val="nil"/>
              <w:right w:val="nil"/>
            </w:tcBorders>
          </w:tcPr>
          <w:p>
            <w:pPr>
              <w:pStyle w:val="0"/>
              <w:jc w:val="center"/>
            </w:pPr>
            <w:r>
              <w:rPr>
                <w:sz w:val="20"/>
              </w:rPr>
              <w:t xml:space="preserve">6,8</w:t>
            </w:r>
          </w:p>
        </w:tc>
        <w:tc>
          <w:tcPr>
            <w:tcW w:w="1247" w:type="dxa"/>
            <w:vAlign w:val="center"/>
            <w:tcBorders>
              <w:top w:val="nil"/>
              <w:left w:val="nil"/>
              <w:bottom w:val="nil"/>
              <w:right w:val="nil"/>
            </w:tcBorders>
          </w:tcPr>
          <w:p>
            <w:pPr>
              <w:pStyle w:val="0"/>
              <w:jc w:val="center"/>
            </w:pPr>
            <w:r>
              <w:rPr>
                <w:sz w:val="20"/>
              </w:rPr>
              <w:t xml:space="preserve">8,8%</w:t>
            </w:r>
          </w:p>
        </w:tc>
        <w:tc>
          <w:tcPr>
            <w:tcW w:w="1247" w:type="dxa"/>
            <w:vAlign w:val="center"/>
            <w:tcBorders>
              <w:top w:val="nil"/>
              <w:left w:val="nil"/>
              <w:bottom w:val="nil"/>
              <w:right w:val="single" w:sz="4"/>
            </w:tcBorders>
          </w:tcPr>
          <w:p>
            <w:pPr>
              <w:pStyle w:val="0"/>
              <w:jc w:val="center"/>
            </w:pPr>
            <w:r>
              <w:rPr>
                <w:sz w:val="20"/>
              </w:rPr>
              <w:t xml:space="preserve">7,9%</w:t>
            </w:r>
          </w:p>
        </w:tc>
        <w:tc>
          <w:tcPr>
            <w:tcW w:w="1247" w:type="dxa"/>
            <w:vAlign w:val="center"/>
            <w:tcBorders>
              <w:top w:val="nil"/>
              <w:left w:val="single" w:sz="4"/>
              <w:bottom w:val="nil"/>
              <w:right w:val="nil"/>
            </w:tcBorders>
          </w:tcPr>
          <w:p>
            <w:pPr>
              <w:pStyle w:val="0"/>
              <w:jc w:val="center"/>
            </w:pPr>
            <w:r>
              <w:rPr>
                <w:sz w:val="20"/>
              </w:rPr>
              <w:t xml:space="preserve">10,0%</w:t>
            </w:r>
          </w:p>
        </w:tc>
        <w:tc>
          <w:tcPr>
            <w:tcW w:w="1247" w:type="dxa"/>
            <w:vAlign w:val="center"/>
            <w:tcBorders>
              <w:top w:val="nil"/>
              <w:left w:val="nil"/>
              <w:bottom w:val="nil"/>
              <w:right w:val="single" w:sz="4"/>
            </w:tcBorders>
          </w:tcPr>
          <w:p>
            <w:pPr>
              <w:pStyle w:val="0"/>
              <w:jc w:val="center"/>
            </w:pPr>
            <w:r>
              <w:rPr>
                <w:sz w:val="20"/>
              </w:rPr>
              <w:t xml:space="preserve">14,0%</w:t>
            </w:r>
          </w:p>
        </w:tc>
      </w:tr>
      <w:tr>
        <w:tc>
          <w:tcPr>
            <w:tcW w:w="907" w:type="dxa"/>
            <w:vAlign w:val="center"/>
            <w:tcBorders>
              <w:top w:val="nil"/>
              <w:left w:val="nil"/>
              <w:bottom w:val="nil"/>
              <w:right w:val="nil"/>
            </w:tcBorders>
          </w:tcPr>
          <w:p>
            <w:pPr>
              <w:pStyle w:val="0"/>
              <w:jc w:val="center"/>
            </w:pPr>
            <w:hyperlink w:history="0" r:id="rId14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52.23</w:t>
              </w:r>
            </w:hyperlink>
          </w:p>
        </w:tc>
        <w:tc>
          <w:tcPr>
            <w:tcW w:w="1927" w:type="dxa"/>
            <w:vAlign w:val="center"/>
            <w:tcBorders>
              <w:top w:val="nil"/>
              <w:left w:val="nil"/>
              <w:bottom w:val="nil"/>
              <w:right w:val="nil"/>
            </w:tcBorders>
          </w:tcPr>
          <w:p>
            <w:pPr>
              <w:pStyle w:val="0"/>
              <w:jc w:val="both"/>
            </w:pPr>
            <w:r>
              <w:rPr>
                <w:sz w:val="20"/>
              </w:rPr>
              <w:t xml:space="preserve">Деятельность вспомогательная, связанная с воздушным и космическим транспортом</w:t>
            </w:r>
          </w:p>
        </w:tc>
        <w:tc>
          <w:tcPr>
            <w:tcW w:w="1247" w:type="dxa"/>
            <w:vAlign w:val="center"/>
            <w:tcBorders>
              <w:top w:val="nil"/>
              <w:left w:val="nil"/>
              <w:bottom w:val="nil"/>
              <w:right w:val="nil"/>
            </w:tcBorders>
          </w:tcPr>
          <w:p>
            <w:pPr>
              <w:pStyle w:val="0"/>
              <w:jc w:val="center"/>
            </w:pPr>
            <w:r>
              <w:rPr>
                <w:sz w:val="20"/>
              </w:rPr>
              <w:t xml:space="preserve">5,7</w:t>
            </w:r>
          </w:p>
        </w:tc>
        <w:tc>
          <w:tcPr>
            <w:tcW w:w="1247" w:type="dxa"/>
            <w:vAlign w:val="center"/>
            <w:tcBorders>
              <w:top w:val="nil"/>
              <w:left w:val="nil"/>
              <w:bottom w:val="nil"/>
              <w:right w:val="nil"/>
            </w:tcBorders>
          </w:tcPr>
          <w:p>
            <w:pPr>
              <w:pStyle w:val="0"/>
              <w:jc w:val="center"/>
            </w:pPr>
            <w:r>
              <w:rPr>
                <w:sz w:val="20"/>
              </w:rPr>
              <w:t xml:space="preserve">-364,2%</w:t>
            </w:r>
          </w:p>
        </w:tc>
        <w:tc>
          <w:tcPr>
            <w:tcW w:w="1247" w:type="dxa"/>
            <w:vAlign w:val="center"/>
            <w:tcBorders>
              <w:top w:val="nil"/>
              <w:left w:val="nil"/>
              <w:bottom w:val="nil"/>
              <w:right w:val="single" w:sz="4"/>
            </w:tcBorders>
          </w:tcPr>
          <w:p>
            <w:pPr>
              <w:pStyle w:val="0"/>
              <w:jc w:val="center"/>
            </w:pPr>
            <w:r>
              <w:rPr>
                <w:sz w:val="20"/>
              </w:rPr>
              <w:t xml:space="preserve">-12,5%</w:t>
            </w:r>
          </w:p>
        </w:tc>
        <w:tc>
          <w:tcPr>
            <w:tcW w:w="1247" w:type="dxa"/>
            <w:vAlign w:val="center"/>
            <w:tcBorders>
              <w:top w:val="nil"/>
              <w:left w:val="single" w:sz="4"/>
              <w:bottom w:val="nil"/>
              <w:right w:val="nil"/>
            </w:tcBorders>
          </w:tcPr>
          <w:p>
            <w:pPr>
              <w:pStyle w:val="0"/>
              <w:jc w:val="center"/>
            </w:pPr>
            <w:r>
              <w:rPr>
                <w:sz w:val="20"/>
              </w:rPr>
              <w:t xml:space="preserve">37,5%</w:t>
            </w:r>
          </w:p>
        </w:tc>
        <w:tc>
          <w:tcPr>
            <w:tcW w:w="1247" w:type="dxa"/>
            <w:vAlign w:val="center"/>
            <w:tcBorders>
              <w:top w:val="nil"/>
              <w:left w:val="nil"/>
              <w:bottom w:val="nil"/>
              <w:right w:val="single" w:sz="4"/>
            </w:tcBorders>
          </w:tcPr>
          <w:p>
            <w:pPr>
              <w:pStyle w:val="0"/>
              <w:jc w:val="center"/>
            </w:pPr>
            <w:r>
              <w:rPr>
                <w:sz w:val="20"/>
              </w:rPr>
              <w:t xml:space="preserve">14,8%</w:t>
            </w:r>
          </w:p>
        </w:tc>
      </w:tr>
      <w:tr>
        <w:tc>
          <w:tcPr>
            <w:tcW w:w="907" w:type="dxa"/>
            <w:vAlign w:val="center"/>
            <w:tcBorders>
              <w:top w:val="nil"/>
              <w:left w:val="nil"/>
              <w:bottom w:val="nil"/>
              <w:right w:val="nil"/>
            </w:tcBorders>
          </w:tcPr>
          <w:p>
            <w:pPr>
              <w:pStyle w:val="0"/>
              <w:jc w:val="center"/>
            </w:pPr>
            <w:hyperlink w:history="0" r:id="rId14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47.52</w:t>
              </w:r>
            </w:hyperlink>
          </w:p>
        </w:tc>
        <w:tc>
          <w:tcPr>
            <w:tcW w:w="1927" w:type="dxa"/>
            <w:vAlign w:val="center"/>
            <w:tcBorders>
              <w:top w:val="nil"/>
              <w:left w:val="nil"/>
              <w:bottom w:val="nil"/>
              <w:right w:val="nil"/>
            </w:tcBorders>
          </w:tcPr>
          <w:p>
            <w:pPr>
              <w:pStyle w:val="0"/>
              <w:jc w:val="both"/>
            </w:pPr>
            <w:r>
              <w:rPr>
                <w:sz w:val="20"/>
              </w:rPr>
              <w:t xml:space="preserve">Торговля розничная скобяными изделиями, лакокрасочными материалами и стеклом в специализированных магазинах</w:t>
            </w:r>
          </w:p>
        </w:tc>
        <w:tc>
          <w:tcPr>
            <w:tcW w:w="1247" w:type="dxa"/>
            <w:vAlign w:val="center"/>
            <w:tcBorders>
              <w:top w:val="nil"/>
              <w:left w:val="nil"/>
              <w:bottom w:val="nil"/>
              <w:right w:val="nil"/>
            </w:tcBorders>
          </w:tcPr>
          <w:p>
            <w:pPr>
              <w:pStyle w:val="0"/>
              <w:jc w:val="center"/>
            </w:pPr>
            <w:r>
              <w:rPr>
                <w:sz w:val="20"/>
              </w:rPr>
              <w:t xml:space="preserve">3,3</w:t>
            </w:r>
          </w:p>
        </w:tc>
        <w:tc>
          <w:tcPr>
            <w:tcW w:w="1247" w:type="dxa"/>
            <w:vAlign w:val="center"/>
            <w:tcBorders>
              <w:top w:val="nil"/>
              <w:left w:val="nil"/>
              <w:bottom w:val="nil"/>
              <w:right w:val="nil"/>
            </w:tcBorders>
          </w:tcPr>
          <w:p>
            <w:pPr>
              <w:pStyle w:val="0"/>
              <w:jc w:val="center"/>
            </w:pPr>
            <w:r>
              <w:rPr>
                <w:sz w:val="20"/>
              </w:rPr>
              <w:t xml:space="preserve">9,1%</w:t>
            </w:r>
          </w:p>
        </w:tc>
        <w:tc>
          <w:tcPr>
            <w:tcW w:w="1247" w:type="dxa"/>
            <w:vAlign w:val="center"/>
            <w:tcBorders>
              <w:top w:val="nil"/>
              <w:left w:val="nil"/>
              <w:bottom w:val="nil"/>
              <w:right w:val="single" w:sz="4"/>
            </w:tcBorders>
          </w:tcPr>
          <w:p>
            <w:pPr>
              <w:pStyle w:val="0"/>
              <w:jc w:val="center"/>
            </w:pPr>
            <w:r>
              <w:rPr>
                <w:sz w:val="20"/>
              </w:rPr>
              <w:t xml:space="preserve">24,7%</w:t>
            </w:r>
          </w:p>
        </w:tc>
        <w:tc>
          <w:tcPr>
            <w:tcW w:w="1247" w:type="dxa"/>
            <w:vAlign w:val="center"/>
            <w:tcBorders>
              <w:top w:val="nil"/>
              <w:left w:val="single" w:sz="4"/>
              <w:bottom w:val="nil"/>
              <w:right w:val="nil"/>
            </w:tcBorders>
          </w:tcPr>
          <w:p>
            <w:pPr>
              <w:pStyle w:val="0"/>
              <w:jc w:val="center"/>
            </w:pPr>
            <w:r>
              <w:rPr>
                <w:sz w:val="20"/>
              </w:rPr>
              <w:t xml:space="preserve">7,5%</w:t>
            </w:r>
          </w:p>
        </w:tc>
        <w:tc>
          <w:tcPr>
            <w:tcW w:w="1247" w:type="dxa"/>
            <w:vAlign w:val="center"/>
            <w:tcBorders>
              <w:top w:val="nil"/>
              <w:left w:val="nil"/>
              <w:bottom w:val="nil"/>
              <w:right w:val="single" w:sz="4"/>
            </w:tcBorders>
          </w:tcPr>
          <w:p>
            <w:pPr>
              <w:pStyle w:val="0"/>
              <w:jc w:val="center"/>
            </w:pPr>
            <w:r>
              <w:rPr>
                <w:sz w:val="20"/>
              </w:rPr>
              <w:t xml:space="preserve">21,3%</w:t>
            </w:r>
          </w:p>
        </w:tc>
      </w:tr>
      <w:tr>
        <w:tc>
          <w:tcPr>
            <w:tcW w:w="907" w:type="dxa"/>
            <w:vAlign w:val="center"/>
            <w:tcBorders>
              <w:top w:val="nil"/>
              <w:left w:val="nil"/>
              <w:bottom w:val="single" w:sz="4"/>
              <w:right w:val="nil"/>
            </w:tcBorders>
          </w:tcPr>
          <w:p>
            <w:pPr>
              <w:pStyle w:val="0"/>
              <w:jc w:val="center"/>
            </w:pPr>
            <w:hyperlink w:history="0" r:id="rId142"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46.90</w:t>
              </w:r>
            </w:hyperlink>
          </w:p>
        </w:tc>
        <w:tc>
          <w:tcPr>
            <w:tcW w:w="1927" w:type="dxa"/>
            <w:vAlign w:val="center"/>
            <w:tcBorders>
              <w:top w:val="nil"/>
              <w:left w:val="nil"/>
              <w:bottom w:val="single" w:sz="4"/>
              <w:right w:val="nil"/>
            </w:tcBorders>
          </w:tcPr>
          <w:p>
            <w:pPr>
              <w:pStyle w:val="0"/>
              <w:jc w:val="both"/>
            </w:pPr>
            <w:r>
              <w:rPr>
                <w:sz w:val="20"/>
              </w:rPr>
              <w:t xml:space="preserve">Торговля оптовая неспециализированная</w:t>
            </w:r>
          </w:p>
        </w:tc>
        <w:tc>
          <w:tcPr>
            <w:tcW w:w="1247" w:type="dxa"/>
            <w:vAlign w:val="center"/>
            <w:tcBorders>
              <w:top w:val="nil"/>
              <w:left w:val="nil"/>
              <w:bottom w:val="single" w:sz="4"/>
              <w:right w:val="nil"/>
            </w:tcBorders>
          </w:tcPr>
          <w:p>
            <w:pPr>
              <w:pStyle w:val="0"/>
              <w:jc w:val="center"/>
            </w:pPr>
            <w:r>
              <w:rPr>
                <w:sz w:val="20"/>
              </w:rPr>
              <w:t xml:space="preserve">3,2</w:t>
            </w:r>
          </w:p>
        </w:tc>
        <w:tc>
          <w:tcPr>
            <w:tcW w:w="1247" w:type="dxa"/>
            <w:vAlign w:val="center"/>
            <w:tcBorders>
              <w:top w:val="nil"/>
              <w:left w:val="nil"/>
              <w:bottom w:val="single" w:sz="4"/>
              <w:right w:val="nil"/>
            </w:tcBorders>
          </w:tcPr>
          <w:p>
            <w:pPr>
              <w:pStyle w:val="0"/>
              <w:jc w:val="center"/>
            </w:pPr>
            <w:r>
              <w:rPr>
                <w:sz w:val="20"/>
              </w:rPr>
              <w:t xml:space="preserve">10,8%</w:t>
            </w:r>
          </w:p>
        </w:tc>
        <w:tc>
          <w:tcPr>
            <w:tcW w:w="1247" w:type="dxa"/>
            <w:vAlign w:val="center"/>
            <w:tcBorders>
              <w:top w:val="nil"/>
              <w:left w:val="nil"/>
              <w:bottom w:val="single" w:sz="4"/>
              <w:right w:val="single" w:sz="4"/>
            </w:tcBorders>
          </w:tcPr>
          <w:p>
            <w:pPr>
              <w:pStyle w:val="0"/>
              <w:jc w:val="center"/>
            </w:pPr>
            <w:r>
              <w:rPr>
                <w:sz w:val="20"/>
              </w:rPr>
              <w:t xml:space="preserve">28,9%</w:t>
            </w:r>
          </w:p>
        </w:tc>
        <w:tc>
          <w:tcPr>
            <w:tcW w:w="1247" w:type="dxa"/>
            <w:vAlign w:val="center"/>
            <w:tcBorders>
              <w:top w:val="nil"/>
              <w:left w:val="single" w:sz="4"/>
              <w:bottom w:val="single" w:sz="4"/>
              <w:right w:val="nil"/>
            </w:tcBorders>
          </w:tcPr>
          <w:p>
            <w:pPr>
              <w:pStyle w:val="0"/>
              <w:jc w:val="center"/>
            </w:pPr>
            <w:r>
              <w:rPr>
                <w:sz w:val="20"/>
              </w:rPr>
              <w:t xml:space="preserve">12,2%</w:t>
            </w:r>
          </w:p>
        </w:tc>
        <w:tc>
          <w:tcPr>
            <w:tcW w:w="1247" w:type="dxa"/>
            <w:vAlign w:val="center"/>
            <w:tcBorders>
              <w:top w:val="nil"/>
              <w:left w:val="nil"/>
              <w:bottom w:val="single" w:sz="4"/>
              <w:right w:val="single" w:sz="4"/>
            </w:tcBorders>
          </w:tcPr>
          <w:p>
            <w:pPr>
              <w:pStyle w:val="0"/>
              <w:jc w:val="center"/>
            </w:pPr>
            <w:r>
              <w:rPr>
                <w:sz w:val="20"/>
              </w:rPr>
              <w:t xml:space="preserve">33,0%</w:t>
            </w:r>
          </w:p>
        </w:tc>
      </w:tr>
    </w:tbl>
    <w:p>
      <w:pPr>
        <w:pStyle w:val="0"/>
        <w:jc w:val="both"/>
      </w:pPr>
      <w:r>
        <w:rPr>
          <w:sz w:val="20"/>
        </w:rPr>
      </w:r>
    </w:p>
    <w:p>
      <w:pPr>
        <w:pStyle w:val="0"/>
        <w:ind w:firstLine="540"/>
        <w:jc w:val="both"/>
      </w:pPr>
      <w:r>
        <w:rPr>
          <w:sz w:val="20"/>
        </w:rPr>
        <w:t xml:space="preserve">--------------------------------</w:t>
      </w:r>
    </w:p>
    <w:bookmarkStart w:id="4975" w:name="P4975"/>
    <w:bookmarkEnd w:id="4975"/>
    <w:p>
      <w:pPr>
        <w:pStyle w:val="0"/>
        <w:spacing w:before="200" w:line-rule="auto"/>
        <w:ind w:firstLine="540"/>
        <w:jc w:val="both"/>
      </w:pPr>
      <w:r>
        <w:rPr>
          <w:sz w:val="20"/>
        </w:rPr>
        <w:t xml:space="preserve">&lt;*&gt; сумма средних значений выручки в рамках отрасли по всем резидентам за период анализа</w:t>
      </w:r>
    </w:p>
    <w:bookmarkStart w:id="4976" w:name="P4976"/>
    <w:bookmarkEnd w:id="4976"/>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4977" w:name="P4977"/>
    <w:bookmarkEnd w:id="4977"/>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В отношении ТОП-5 по выручке отраслей, в которых выявлена сверхдоходность или низкая инвестиционная активность, стоит отметить, что несмотря на невысокие значения операционной рентабельности и/или доходности активов, уровень инвестиционной активности у налогоплательщиков из данных отраслей является невысоким:</w:t>
      </w:r>
    </w:p>
    <w:p>
      <w:pPr>
        <w:pStyle w:val="0"/>
        <w:spacing w:before="200" w:line-rule="auto"/>
        <w:ind w:firstLine="540"/>
        <w:jc w:val="both"/>
      </w:pPr>
      <w:r>
        <w:rPr>
          <w:sz w:val="20"/>
        </w:rPr>
        <w:t xml:space="preserve">- деятельность в области инженерных изысканий, инженерно-технического проектирования, управления проектами строительства, выполнения строительного контроля и авторского надзора, предоставление технических консультаций в этих областях,</w:t>
      </w:r>
    </w:p>
    <w:p>
      <w:pPr>
        <w:pStyle w:val="0"/>
        <w:spacing w:before="200" w:line-rule="auto"/>
        <w:ind w:firstLine="540"/>
        <w:jc w:val="both"/>
      </w:pPr>
      <w:r>
        <w:rPr>
          <w:sz w:val="20"/>
        </w:rPr>
        <w:t xml:space="preserve">- производство и консервирование мяса птицы,</w:t>
      </w:r>
    </w:p>
    <w:p>
      <w:pPr>
        <w:pStyle w:val="0"/>
        <w:spacing w:before="200" w:line-rule="auto"/>
        <w:ind w:firstLine="540"/>
        <w:jc w:val="both"/>
      </w:pPr>
      <w:r>
        <w:rPr>
          <w:sz w:val="20"/>
        </w:rPr>
        <w:t xml:space="preserve">- торговля розничная скобяными изделиями, лакокрасочными материалами и стеклом в специализированных магазинах.</w:t>
      </w:r>
    </w:p>
    <w:p>
      <w:pPr>
        <w:pStyle w:val="0"/>
        <w:spacing w:before="200" w:line-rule="auto"/>
        <w:ind w:firstLine="540"/>
        <w:jc w:val="both"/>
      </w:pPr>
      <w:r>
        <w:rPr>
          <w:sz w:val="20"/>
        </w:rPr>
        <w:t xml:space="preserve">В отношении деятельности вспомогательной, связанной с воздушным и космическим транспортом, стоит отметить, что в целом за период демонстрирует высокие уровни операционной рентабельности и доходности активов, несмотря на отрицательные значения в последние годы.</w:t>
      </w:r>
    </w:p>
    <w:p>
      <w:pPr>
        <w:pStyle w:val="0"/>
        <w:spacing w:before="200" w:line-rule="auto"/>
        <w:ind w:firstLine="540"/>
        <w:jc w:val="both"/>
      </w:pPr>
      <w:r>
        <w:rPr>
          <w:sz w:val="20"/>
        </w:rPr>
        <w:t xml:space="preserve">Таким образом, режим СЭЗ Крым требует "донастройки", например, для новых участников в части ограничения видов деятельности, которые могут пользоваться налоговыми льготами и неналоговыми мерами поддержки.</w:t>
      </w:r>
    </w:p>
    <w:p>
      <w:pPr>
        <w:pStyle w:val="0"/>
        <w:spacing w:before="200" w:line-rule="auto"/>
        <w:ind w:firstLine="540"/>
        <w:jc w:val="both"/>
      </w:pPr>
      <w:r>
        <w:rPr>
          <w:sz w:val="20"/>
        </w:rPr>
        <w:t xml:space="preserve">Также отмечаем, что на основе результатов анализа эффективности ИНЛ Минфином России подготовлены предложения по внесению изменений в Налоговый </w:t>
      </w:r>
      <w:hyperlink w:history="0" r:id="rId143"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кодекс</w:t>
        </w:r>
      </w:hyperlink>
      <w:r>
        <w:rPr>
          <w:sz w:val="20"/>
        </w:rPr>
        <w:t xml:space="preserve"> Российской Федерации, направленные на совершенствование налогового регулирования режима СЭЗ Крым (более подробно см. "</w:t>
      </w:r>
      <w:hyperlink w:history="0" w:anchor="P4168" w:tooltip="Результаты анализа эффективности ИНЛ">
        <w:r>
          <w:rPr>
            <w:sz w:val="20"/>
            <w:color w:val="0000ff"/>
          </w:rPr>
          <w:t xml:space="preserve">Результаты анализа</w:t>
        </w:r>
      </w:hyperlink>
      <w:r>
        <w:rPr>
          <w:sz w:val="20"/>
        </w:rPr>
        <w:t xml:space="preserve"> эффективности ИНЛ").</w:t>
      </w:r>
    </w:p>
    <w:p>
      <w:pPr>
        <w:pStyle w:val="0"/>
        <w:jc w:val="both"/>
      </w:pPr>
      <w:r>
        <w:rPr>
          <w:sz w:val="20"/>
        </w:rPr>
      </w:r>
    </w:p>
    <w:p>
      <w:pPr>
        <w:pStyle w:val="2"/>
        <w:outlineLvl w:val="1"/>
        <w:ind w:firstLine="540"/>
        <w:jc w:val="both"/>
      </w:pPr>
      <w:r>
        <w:rPr>
          <w:sz w:val="20"/>
        </w:rPr>
        <w:t xml:space="preserve">Специальный инвестиционный контракт (СПИК)</w:t>
      </w:r>
    </w:p>
    <w:p>
      <w:pPr>
        <w:pStyle w:val="0"/>
        <w:jc w:val="both"/>
      </w:pPr>
      <w:r>
        <w:rPr>
          <w:sz w:val="20"/>
        </w:rPr>
      </w:r>
    </w:p>
    <w:p>
      <w:pPr>
        <w:pStyle w:val="0"/>
        <w:ind w:firstLine="540"/>
        <w:jc w:val="both"/>
      </w:pPr>
      <w:r>
        <w:rPr>
          <w:sz w:val="20"/>
        </w:rPr>
        <w:t xml:space="preserve">Таблица 19.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7"/>
        <w:gridCol w:w="340"/>
        <w:gridCol w:w="5952"/>
      </w:tblGrid>
      <w:tr>
        <w:tblPrEx>
          <w:tblBorders>
            <w:insideH w:val="single" w:sz="4"/>
          </w:tblBorders>
        </w:tblPrEx>
        <w:tc>
          <w:tcPr>
            <w:tcW w:w="2777" w:type="dxa"/>
            <w:tcBorders>
              <w:top w:val="single" w:sz="4"/>
              <w:left w:val="nil"/>
              <w:bottom w:val="single" w:sz="4"/>
              <w:right w:val="nil"/>
            </w:tcBorders>
          </w:tcPr>
          <w:p>
            <w:pPr>
              <w:pStyle w:val="0"/>
              <w:jc w:val="center"/>
            </w:pPr>
            <w:r>
              <w:rPr>
                <w:sz w:val="20"/>
              </w:rPr>
              <w:t xml:space="preserve">Показатель</w:t>
            </w:r>
          </w:p>
        </w:tc>
        <w:tc>
          <w:tcPr>
            <w:gridSpan w:val="2"/>
            <w:tcW w:w="6292" w:type="dxa"/>
            <w:tcBorders>
              <w:top w:val="single" w:sz="4"/>
              <w:left w:val="nil"/>
              <w:bottom w:val="single" w:sz="4"/>
              <w:right w:val="nil"/>
            </w:tcBorders>
          </w:tcPr>
          <w:p>
            <w:pPr>
              <w:pStyle w:val="0"/>
              <w:jc w:val="center"/>
            </w:pPr>
            <w:r>
              <w:rPr>
                <w:sz w:val="20"/>
              </w:rPr>
              <w:t xml:space="preserve">Описание</w:t>
            </w:r>
          </w:p>
        </w:tc>
      </w:tr>
      <w:tr>
        <w:tc>
          <w:tcPr>
            <w:tcW w:w="2777" w:type="dxa"/>
            <w:vAlign w:val="center"/>
            <w:tcBorders>
              <w:top w:val="single" w:sz="4"/>
              <w:left w:val="nil"/>
              <w:bottom w:val="nil"/>
              <w:right w:val="nil"/>
            </w:tcBorders>
          </w:tcPr>
          <w:p>
            <w:pPr>
              <w:pStyle w:val="0"/>
            </w:pPr>
            <w:r>
              <w:rPr>
                <w:sz w:val="20"/>
              </w:rPr>
              <w:t xml:space="preserve">Срок действия режима</w:t>
            </w:r>
          </w:p>
        </w:tc>
        <w:tc>
          <w:tcPr>
            <w:gridSpan w:val="2"/>
            <w:tcW w:w="6292" w:type="dxa"/>
            <w:tcBorders>
              <w:top w:val="single" w:sz="4"/>
              <w:left w:val="nil"/>
              <w:bottom w:val="nil"/>
              <w:right w:val="nil"/>
            </w:tcBorders>
          </w:tcPr>
          <w:p>
            <w:pPr>
              <w:pStyle w:val="0"/>
              <w:jc w:val="both"/>
            </w:pPr>
            <w:r>
              <w:rPr>
                <w:sz w:val="20"/>
              </w:rPr>
              <w:t xml:space="preserve">СПИК 2.0 (с существенными регуляторными корректировками) с 01.01.2020. Заключается на срок не более 20 лет для реализации проектов с инвестициями более 50 млрд руб. или не более чем на 15 лет для проектов с инвестициями не более 50 млрд руб. СПИК заключаются не позднее 31.12.2030.</w:t>
            </w:r>
          </w:p>
        </w:tc>
      </w:tr>
      <w:tr>
        <w:tc>
          <w:tcPr>
            <w:tcW w:w="2777" w:type="dxa"/>
            <w:vAlign w:val="center"/>
            <w:tcBorders>
              <w:top w:val="nil"/>
              <w:left w:val="nil"/>
              <w:bottom w:val="nil"/>
              <w:right w:val="nil"/>
            </w:tcBorders>
            <w:vMerge w:val="restart"/>
          </w:tcPr>
          <w:p>
            <w:pPr>
              <w:pStyle w:val="0"/>
            </w:pPr>
            <w:r>
              <w:rPr>
                <w:sz w:val="20"/>
              </w:rPr>
              <w:t xml:space="preserve">Налоговые льготы режима</w:t>
            </w:r>
          </w:p>
        </w:tc>
        <w:tc>
          <w:tcPr>
            <w:tcW w:w="340" w:type="dxa"/>
            <w:tcBorders>
              <w:top w:val="nil"/>
              <w:left w:val="nil"/>
              <w:bottom w:val="nil"/>
              <w:right w:val="nil"/>
            </w:tcBorders>
          </w:tcPr>
          <w:p>
            <w:pPr>
              <w:pStyle w:val="0"/>
              <w:jc w:val="center"/>
            </w:pPr>
            <w:r>
              <w:rPr>
                <w:sz w:val="20"/>
              </w:rPr>
              <w:t xml:space="preserve">-</w:t>
            </w:r>
          </w:p>
        </w:tc>
        <w:tc>
          <w:tcPr>
            <w:tcW w:w="5952" w:type="dxa"/>
            <w:tcBorders>
              <w:top w:val="nil"/>
              <w:left w:val="nil"/>
              <w:bottom w:val="nil"/>
              <w:right w:val="nil"/>
            </w:tcBorders>
          </w:tcPr>
          <w:p>
            <w:pPr>
              <w:pStyle w:val="0"/>
              <w:jc w:val="both"/>
            </w:pPr>
            <w:r>
              <w:rPr>
                <w:sz w:val="20"/>
              </w:rPr>
              <w:t xml:space="preserve">пониженные ставки по налогу на прибыль в ФБ и РБ (в соответствии с законами субъектов РФ),</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jc w:val="center"/>
            </w:pPr>
            <w:r>
              <w:rPr>
                <w:sz w:val="20"/>
              </w:rPr>
              <w:t xml:space="preserve">-</w:t>
            </w:r>
          </w:p>
        </w:tc>
        <w:tc>
          <w:tcPr>
            <w:tcW w:w="5952" w:type="dxa"/>
            <w:tcBorders>
              <w:top w:val="nil"/>
              <w:left w:val="nil"/>
              <w:bottom w:val="nil"/>
              <w:right w:val="nil"/>
            </w:tcBorders>
          </w:tcPr>
          <w:p>
            <w:pPr>
              <w:pStyle w:val="0"/>
              <w:jc w:val="both"/>
            </w:pPr>
            <w:r>
              <w:rPr>
                <w:sz w:val="20"/>
              </w:rPr>
              <w:t xml:space="preserve">сумма всех льгот не может превышать 50% объема капитальных вложений.</w:t>
            </w:r>
          </w:p>
        </w:tc>
      </w:tr>
      <w:tr>
        <w:tc>
          <w:tcPr>
            <w:tcW w:w="2777" w:type="dxa"/>
            <w:vAlign w:val="center"/>
            <w:tcBorders>
              <w:top w:val="nil"/>
              <w:left w:val="nil"/>
              <w:bottom w:val="nil"/>
              <w:right w:val="nil"/>
            </w:tcBorders>
          </w:tcPr>
          <w:p>
            <w:pPr>
              <w:pStyle w:val="0"/>
              <w:jc w:val="both"/>
            </w:pPr>
            <w:r>
              <w:rPr>
                <w:sz w:val="20"/>
              </w:rPr>
              <w:t xml:space="preserve">Количество отраслей в режиме</w:t>
            </w:r>
          </w:p>
        </w:tc>
        <w:tc>
          <w:tcPr>
            <w:gridSpan w:val="2"/>
            <w:tcW w:w="6292" w:type="dxa"/>
            <w:vAlign w:val="center"/>
            <w:tcBorders>
              <w:top w:val="nil"/>
              <w:left w:val="nil"/>
              <w:bottom w:val="nil"/>
              <w:right w:val="nil"/>
            </w:tcBorders>
          </w:tcPr>
          <w:p>
            <w:pPr>
              <w:pStyle w:val="0"/>
            </w:pPr>
            <w:r>
              <w:rPr>
                <w:sz w:val="20"/>
              </w:rPr>
              <w:t xml:space="preserve">29</w:t>
            </w:r>
          </w:p>
        </w:tc>
      </w:tr>
      <w:tr>
        <w:tc>
          <w:tcPr>
            <w:tcW w:w="2777" w:type="dxa"/>
            <w:vAlign w:val="center"/>
            <w:tcBorders>
              <w:top w:val="nil"/>
              <w:left w:val="nil"/>
              <w:bottom w:val="single" w:sz="4"/>
              <w:right w:val="nil"/>
            </w:tcBorders>
          </w:tcPr>
          <w:p>
            <w:pPr>
              <w:pStyle w:val="0"/>
            </w:pPr>
            <w:r>
              <w:rPr>
                <w:sz w:val="20"/>
              </w:rPr>
              <w:t xml:space="preserve">Наличие обязательств</w:t>
            </w:r>
          </w:p>
        </w:tc>
        <w:tc>
          <w:tcPr>
            <w:gridSpan w:val="2"/>
            <w:tcW w:w="6292" w:type="dxa"/>
            <w:tcBorders>
              <w:top w:val="nil"/>
              <w:left w:val="nil"/>
              <w:bottom w:val="single" w:sz="4"/>
              <w:right w:val="nil"/>
            </w:tcBorders>
          </w:tcPr>
          <w:p>
            <w:pPr>
              <w:pStyle w:val="0"/>
            </w:pPr>
            <w:r>
              <w:rPr>
                <w:sz w:val="20"/>
              </w:rPr>
              <w:t xml:space="preserve">Да (капитальные вложения).</w:t>
            </w:r>
          </w:p>
        </w:tc>
      </w:tr>
    </w:tbl>
    <w:p>
      <w:pPr>
        <w:pStyle w:val="0"/>
        <w:jc w:val="both"/>
      </w:pPr>
      <w:r>
        <w:rPr>
          <w:sz w:val="20"/>
        </w:rPr>
      </w:r>
    </w:p>
    <w:p>
      <w:pPr>
        <w:pStyle w:val="0"/>
        <w:ind w:firstLine="540"/>
        <w:jc w:val="both"/>
      </w:pPr>
      <w:r>
        <w:rPr>
          <w:sz w:val="20"/>
        </w:rPr>
        <w:t xml:space="preserve">За период анализа (2020 - 2022 годы) общее количество резидентов &lt;22&gt; СПИК составило 65, из которых в периметр анализа на базе АС "Эффективность льгот" вошли 59 &lt;23&gt; резидентов.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Количество резидентов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&lt;23&gt; Прочие резиденты не вошли в анализ по причине отсутствия налоговых деклараций или бухгалтерской отчетности (1 резидент), или нулевого значения показателя выручки (5 резидентов).</w:t>
      </w:r>
    </w:p>
    <w:p>
      <w:pPr>
        <w:pStyle w:val="0"/>
        <w:jc w:val="both"/>
      </w:pPr>
      <w:r>
        <w:rPr>
          <w:sz w:val="20"/>
        </w:rPr>
      </w:r>
    </w:p>
    <w:p>
      <w:pPr>
        <w:pStyle w:val="0"/>
        <w:jc w:val="center"/>
      </w:pPr>
      <w:r>
        <w:rPr>
          <w:position w:val="-105"/>
        </w:rPr>
        <w:drawing>
          <wp:inline distT="0" distB="0" distL="0" distR="0">
            <wp:extent cx="5019675" cy="1467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5019675" cy="1467485"/>
                    </a:xfrm>
                    <a:prstGeom prst="rect">
                      <a:avLst/>
                    </a:prstGeom>
                    <a:noFill/>
                    <a:ln>
                      <a:noFill/>
                    </a:ln>
                  </pic:spPr>
                </pic:pic>
              </a:graphicData>
            </a:graphic>
          </wp:inline>
        </w:drawing>
      </w:r>
    </w:p>
    <w:p>
      <w:pPr>
        <w:pStyle w:val="0"/>
        <w:jc w:val="both"/>
      </w:pPr>
      <w:r>
        <w:rPr>
          <w:sz w:val="20"/>
        </w:rPr>
      </w:r>
    </w:p>
    <w:p>
      <w:pPr>
        <w:pStyle w:val="0"/>
        <w:jc w:val="center"/>
      </w:pPr>
      <w:r>
        <w:rPr>
          <w:position w:val="-114"/>
        </w:rPr>
        <w:drawing>
          <wp:inline distT="0" distB="0" distL="0" distR="0">
            <wp:extent cx="5033010" cy="15754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5033010" cy="157543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 2020 года по 2022 год объем выручки резидентов СПИК, вошедших в периметр анализа, количество резидентов, величина капитальных вложений и численность сотрудников сохранились на прежнем уровне.</w:t>
      </w:r>
    </w:p>
    <w:p>
      <w:pPr>
        <w:pStyle w:val="0"/>
        <w:spacing w:before="200" w:line-rule="auto"/>
        <w:ind w:firstLine="540"/>
        <w:jc w:val="both"/>
      </w:pPr>
      <w:r>
        <w:rPr>
          <w:sz w:val="20"/>
        </w:rPr>
        <w:t xml:space="preserve">С 2020 года по 2022 год общая величина выпадающих доходов бюджетов бюджетной системы Российской Федерации (по резидентам ИНЛ, вошедшим в периметр анализа) увеличилась с 6 млрд руб. до 33 млрд руб. (в 5,4 раза), в том числе с 4 млрд руб. до 31 млрд руб. (в 7 раз) по налоговым льготам и сохранилась на уровне 2 млрд руб. по неналоговым мерам поддержки. Таким образом, за 2022 год доля налоговых льгот и неналоговых мер поддержки в общей величине выпадающих доходов бюджетов бюджетной системы Российской Федерации для резидентов данной ИНЛ, вошедших в периметр анализа, составляла 95,1% и 4,9% соответственно.</w:t>
      </w:r>
    </w:p>
    <w:p>
      <w:pPr>
        <w:pStyle w:val="0"/>
        <w:spacing w:before="200" w:line-rule="auto"/>
        <w:ind w:firstLine="540"/>
        <w:jc w:val="both"/>
      </w:pPr>
      <w:r>
        <w:rPr>
          <w:sz w:val="20"/>
        </w:rPr>
        <w:t xml:space="preserve">В ТОП-3 отраслей по объему выручки за период анализа вошли отрасли по производству автотранспортных средств (29,9%), удобрений и азотных соединений (24,9%), а также торговля автотранспортными средствами (14,2%).</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выросла по сравнению с анализом за прошлый год с 25,9% до 31,5%. При дальнейшей отраслевой дифференциации выявлены отрасли (всего 8 </w:t>
      </w:r>
      <w:hyperlink w:history="0" r:id="rId146"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с наиболее прибыльными компаниями, применяющими режим.</w:t>
      </w:r>
    </w:p>
    <w:p>
      <w:pPr>
        <w:pStyle w:val="0"/>
        <w:jc w:val="both"/>
      </w:pPr>
      <w:r>
        <w:rPr>
          <w:sz w:val="20"/>
        </w:rPr>
      </w:r>
    </w:p>
    <w:p>
      <w:pPr>
        <w:pStyle w:val="0"/>
        <w:ind w:firstLine="540"/>
        <w:jc w:val="both"/>
      </w:pPr>
      <w:r>
        <w:rPr>
          <w:sz w:val="20"/>
        </w:rPr>
        <w:t xml:space="preserve">Таблица 20. ТОП-5 по выручке отраслей, в которых выявлена сверхдоходность или низкая инвестиционная активность</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907"/>
        <w:gridCol w:w="1927"/>
        <w:gridCol w:w="1247"/>
        <w:gridCol w:w="1247"/>
        <w:gridCol w:w="1247"/>
        <w:gridCol w:w="1247"/>
        <w:gridCol w:w="1247"/>
      </w:tblGrid>
      <w:tr>
        <w:tblPrEx>
          <w:tblBorders>
            <w:insideH w:val="single" w:sz="4"/>
          </w:tblBorders>
        </w:tblPrEx>
        <w:tc>
          <w:tcPr>
            <w:tcW w:w="907" w:type="dxa"/>
            <w:tcBorders>
              <w:top w:val="single" w:sz="4"/>
              <w:left w:val="nil"/>
              <w:bottom w:val="single" w:sz="4"/>
              <w:right w:val="nil"/>
            </w:tcBorders>
          </w:tcPr>
          <w:p>
            <w:pPr>
              <w:pStyle w:val="0"/>
              <w:jc w:val="center"/>
            </w:pPr>
            <w:hyperlink w:history="0" r:id="rId147"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1927" w:type="dxa"/>
            <w:tcBorders>
              <w:top w:val="single" w:sz="4"/>
              <w:left w:val="nil"/>
              <w:bottom w:val="single" w:sz="4"/>
              <w:right w:val="nil"/>
            </w:tcBorders>
          </w:tcPr>
          <w:p>
            <w:pPr>
              <w:pStyle w:val="0"/>
              <w:jc w:val="center"/>
            </w:pPr>
            <w:r>
              <w:rPr>
                <w:sz w:val="20"/>
              </w:rPr>
              <w:t xml:space="preserve">Наименование отрасли</w:t>
            </w:r>
          </w:p>
        </w:tc>
        <w:tc>
          <w:tcPr>
            <w:tcW w:w="1247" w:type="dxa"/>
            <w:tcBorders>
              <w:top w:val="single" w:sz="4"/>
              <w:left w:val="nil"/>
              <w:bottom w:val="single" w:sz="4"/>
              <w:right w:val="nil"/>
            </w:tcBorders>
          </w:tcPr>
          <w:p>
            <w:pPr>
              <w:pStyle w:val="0"/>
              <w:jc w:val="center"/>
            </w:pPr>
            <w:r>
              <w:rPr>
                <w:sz w:val="20"/>
              </w:rPr>
              <w:t xml:space="preserve">Выручка по отрасли </w:t>
            </w:r>
            <w:hyperlink w:history="0" w:anchor="P5065" w:tooltip="&lt;*&gt; сумма средних значений выручки в рамках отрасли по всем резидентам за период анализа">
              <w:r>
                <w:rPr>
                  <w:sz w:val="20"/>
                  <w:color w:val="0000ff"/>
                </w:rPr>
                <w:t xml:space="preserve">&lt;*&gt;</w:t>
              </w:r>
            </w:hyperlink>
            <w:r>
              <w:rPr>
                <w:sz w:val="20"/>
              </w:rPr>
              <w:t xml:space="preserve"> млрд </w:t>
            </w:r>
            <w:r>
              <w:rPr>
                <w:position w:val="-6"/>
              </w:rPr>
              <w:drawing>
                <wp:inline distT="0" distB="0" distL="0" distR="0">
                  <wp:extent cx="14351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 cy="215265"/>
                          </a:xfrm>
                          <a:prstGeom prst="rect">
                            <a:avLst/>
                          </a:prstGeom>
                          <a:noFill/>
                          <a:ln>
                            <a:noFill/>
                          </a:ln>
                        </pic:spPr>
                      </pic:pic>
                    </a:graphicData>
                  </a:graphic>
                </wp:inline>
              </w:drawing>
            </w:r>
          </w:p>
        </w:tc>
        <w:tc>
          <w:tcPr>
            <w:tcW w:w="1247"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5066"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24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5067" w:tooltip="&lt;***&gt; средневзвешенная по выручке на основе данных за весь период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907" w:type="dxa"/>
            <w:vAlign w:val="center"/>
            <w:tcBorders>
              <w:top w:val="single" w:sz="4"/>
              <w:left w:val="nil"/>
              <w:bottom w:val="nil"/>
              <w:right w:val="nil"/>
            </w:tcBorders>
          </w:tcPr>
          <w:p>
            <w:pPr>
              <w:pStyle w:val="0"/>
              <w:jc w:val="center"/>
            </w:pPr>
            <w:hyperlink w:history="0" r:id="rId14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20.15</w:t>
              </w:r>
            </w:hyperlink>
          </w:p>
        </w:tc>
        <w:tc>
          <w:tcPr>
            <w:tcW w:w="1927" w:type="dxa"/>
            <w:vAlign w:val="center"/>
            <w:tcBorders>
              <w:top w:val="single" w:sz="4"/>
              <w:left w:val="nil"/>
              <w:bottom w:val="nil"/>
              <w:right w:val="nil"/>
            </w:tcBorders>
          </w:tcPr>
          <w:p>
            <w:pPr>
              <w:pStyle w:val="0"/>
              <w:jc w:val="both"/>
            </w:pPr>
            <w:r>
              <w:rPr>
                <w:sz w:val="20"/>
              </w:rPr>
              <w:t xml:space="preserve">Производство удобрений и азотных соединений</w:t>
            </w:r>
          </w:p>
        </w:tc>
        <w:tc>
          <w:tcPr>
            <w:tcW w:w="1247" w:type="dxa"/>
            <w:vAlign w:val="center"/>
            <w:tcBorders>
              <w:top w:val="single" w:sz="4"/>
              <w:left w:val="nil"/>
              <w:bottom w:val="nil"/>
              <w:right w:val="nil"/>
            </w:tcBorders>
          </w:tcPr>
          <w:p>
            <w:pPr>
              <w:pStyle w:val="0"/>
              <w:jc w:val="center"/>
            </w:pPr>
            <w:r>
              <w:rPr>
                <w:sz w:val="20"/>
              </w:rPr>
              <w:t xml:space="preserve">690,8</w:t>
            </w:r>
          </w:p>
        </w:tc>
        <w:tc>
          <w:tcPr>
            <w:tcW w:w="1247" w:type="dxa"/>
            <w:vAlign w:val="center"/>
            <w:tcBorders>
              <w:top w:val="single" w:sz="4"/>
              <w:left w:val="nil"/>
              <w:bottom w:val="nil"/>
              <w:right w:val="nil"/>
            </w:tcBorders>
          </w:tcPr>
          <w:p>
            <w:pPr>
              <w:pStyle w:val="0"/>
              <w:jc w:val="center"/>
            </w:pPr>
            <w:r>
              <w:rPr>
                <w:sz w:val="20"/>
              </w:rPr>
              <w:t xml:space="preserve">51,8%</w:t>
            </w:r>
          </w:p>
        </w:tc>
        <w:tc>
          <w:tcPr>
            <w:tcW w:w="1247" w:type="dxa"/>
            <w:vAlign w:val="center"/>
            <w:tcBorders>
              <w:top w:val="single" w:sz="4"/>
              <w:left w:val="nil"/>
              <w:bottom w:val="nil"/>
              <w:right w:val="single" w:sz="4"/>
            </w:tcBorders>
          </w:tcPr>
          <w:p>
            <w:pPr>
              <w:pStyle w:val="0"/>
              <w:jc w:val="center"/>
            </w:pPr>
            <w:r>
              <w:rPr>
                <w:sz w:val="20"/>
              </w:rPr>
              <w:t xml:space="preserve">40,5%</w:t>
            </w:r>
          </w:p>
        </w:tc>
        <w:tc>
          <w:tcPr>
            <w:tcW w:w="1247" w:type="dxa"/>
            <w:vAlign w:val="center"/>
            <w:tcBorders>
              <w:top w:val="single" w:sz="4"/>
              <w:left w:val="single" w:sz="4"/>
              <w:bottom w:val="nil"/>
              <w:right w:val="nil"/>
            </w:tcBorders>
          </w:tcPr>
          <w:p>
            <w:pPr>
              <w:pStyle w:val="0"/>
              <w:jc w:val="center"/>
            </w:pPr>
            <w:r>
              <w:rPr>
                <w:sz w:val="20"/>
              </w:rPr>
              <w:t xml:space="preserve">45,2%</w:t>
            </w:r>
          </w:p>
        </w:tc>
        <w:tc>
          <w:tcPr>
            <w:tcW w:w="1247" w:type="dxa"/>
            <w:vAlign w:val="center"/>
            <w:tcBorders>
              <w:top w:val="single" w:sz="4"/>
              <w:left w:val="nil"/>
              <w:bottom w:val="nil"/>
              <w:right w:val="single" w:sz="4"/>
            </w:tcBorders>
          </w:tcPr>
          <w:p>
            <w:pPr>
              <w:pStyle w:val="0"/>
              <w:jc w:val="center"/>
            </w:pPr>
            <w:r>
              <w:rPr>
                <w:sz w:val="20"/>
              </w:rPr>
              <w:t xml:space="preserve">32,2%</w:t>
            </w:r>
          </w:p>
        </w:tc>
      </w:tr>
      <w:tr>
        <w:tc>
          <w:tcPr>
            <w:tcW w:w="907" w:type="dxa"/>
            <w:vAlign w:val="center"/>
            <w:tcBorders>
              <w:top w:val="nil"/>
              <w:left w:val="nil"/>
              <w:bottom w:val="nil"/>
              <w:right w:val="nil"/>
            </w:tcBorders>
          </w:tcPr>
          <w:p>
            <w:pPr>
              <w:pStyle w:val="0"/>
              <w:jc w:val="center"/>
            </w:pPr>
            <w:hyperlink w:history="0" r:id="rId14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45.19</w:t>
              </w:r>
            </w:hyperlink>
          </w:p>
        </w:tc>
        <w:tc>
          <w:tcPr>
            <w:tcW w:w="1927" w:type="dxa"/>
            <w:vAlign w:val="center"/>
            <w:tcBorders>
              <w:top w:val="nil"/>
              <w:left w:val="nil"/>
              <w:bottom w:val="nil"/>
              <w:right w:val="nil"/>
            </w:tcBorders>
          </w:tcPr>
          <w:p>
            <w:pPr>
              <w:pStyle w:val="0"/>
              <w:jc w:val="both"/>
            </w:pPr>
            <w:r>
              <w:rPr>
                <w:sz w:val="20"/>
              </w:rPr>
              <w:t xml:space="preserve">Торговля прочими автотранспортными средствами</w:t>
            </w:r>
          </w:p>
        </w:tc>
        <w:tc>
          <w:tcPr>
            <w:tcW w:w="1247" w:type="dxa"/>
            <w:vAlign w:val="center"/>
            <w:tcBorders>
              <w:top w:val="nil"/>
              <w:left w:val="nil"/>
              <w:bottom w:val="nil"/>
              <w:right w:val="nil"/>
            </w:tcBorders>
          </w:tcPr>
          <w:p>
            <w:pPr>
              <w:pStyle w:val="0"/>
              <w:jc w:val="center"/>
            </w:pPr>
            <w:r>
              <w:rPr>
                <w:sz w:val="20"/>
              </w:rPr>
              <w:t xml:space="preserve">48,2</w:t>
            </w:r>
          </w:p>
        </w:tc>
        <w:tc>
          <w:tcPr>
            <w:tcW w:w="1247" w:type="dxa"/>
            <w:vAlign w:val="center"/>
            <w:tcBorders>
              <w:top w:val="nil"/>
              <w:left w:val="nil"/>
              <w:bottom w:val="nil"/>
              <w:right w:val="nil"/>
            </w:tcBorders>
          </w:tcPr>
          <w:p>
            <w:pPr>
              <w:pStyle w:val="0"/>
              <w:jc w:val="center"/>
            </w:pPr>
            <w:r>
              <w:rPr>
                <w:sz w:val="20"/>
              </w:rPr>
              <w:t xml:space="preserve">8,7%</w:t>
            </w:r>
          </w:p>
        </w:tc>
        <w:tc>
          <w:tcPr>
            <w:tcW w:w="1247" w:type="dxa"/>
            <w:vAlign w:val="center"/>
            <w:tcBorders>
              <w:top w:val="nil"/>
              <w:left w:val="nil"/>
              <w:bottom w:val="nil"/>
              <w:right w:val="single" w:sz="4"/>
            </w:tcBorders>
          </w:tcPr>
          <w:p>
            <w:pPr>
              <w:pStyle w:val="0"/>
              <w:jc w:val="center"/>
            </w:pPr>
            <w:r>
              <w:rPr>
                <w:sz w:val="20"/>
              </w:rPr>
              <w:t xml:space="preserve">8,3%</w:t>
            </w:r>
          </w:p>
        </w:tc>
        <w:tc>
          <w:tcPr>
            <w:tcW w:w="1247" w:type="dxa"/>
            <w:vAlign w:val="center"/>
            <w:tcBorders>
              <w:top w:val="nil"/>
              <w:left w:val="single" w:sz="4"/>
              <w:bottom w:val="nil"/>
              <w:right w:val="nil"/>
            </w:tcBorders>
          </w:tcPr>
          <w:p>
            <w:pPr>
              <w:pStyle w:val="0"/>
              <w:jc w:val="center"/>
            </w:pPr>
            <w:r>
              <w:rPr>
                <w:sz w:val="20"/>
              </w:rPr>
              <w:t xml:space="preserve">13,4%</w:t>
            </w:r>
          </w:p>
        </w:tc>
        <w:tc>
          <w:tcPr>
            <w:tcW w:w="1247" w:type="dxa"/>
            <w:vAlign w:val="center"/>
            <w:tcBorders>
              <w:top w:val="nil"/>
              <w:left w:val="nil"/>
              <w:bottom w:val="nil"/>
              <w:right w:val="single" w:sz="4"/>
            </w:tcBorders>
          </w:tcPr>
          <w:p>
            <w:pPr>
              <w:pStyle w:val="0"/>
              <w:jc w:val="center"/>
            </w:pPr>
            <w:r>
              <w:rPr>
                <w:sz w:val="20"/>
              </w:rPr>
              <w:t xml:space="preserve">28,8%</w:t>
            </w:r>
          </w:p>
        </w:tc>
      </w:tr>
      <w:tr>
        <w:tc>
          <w:tcPr>
            <w:tcW w:w="907" w:type="dxa"/>
            <w:vAlign w:val="center"/>
            <w:tcBorders>
              <w:top w:val="nil"/>
              <w:left w:val="nil"/>
              <w:bottom w:val="nil"/>
              <w:right w:val="nil"/>
            </w:tcBorders>
          </w:tcPr>
          <w:p>
            <w:pPr>
              <w:pStyle w:val="0"/>
              <w:jc w:val="center"/>
            </w:pPr>
            <w:hyperlink w:history="0" r:id="rId15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20.13</w:t>
              </w:r>
            </w:hyperlink>
          </w:p>
        </w:tc>
        <w:tc>
          <w:tcPr>
            <w:tcW w:w="1927" w:type="dxa"/>
            <w:vAlign w:val="center"/>
            <w:tcBorders>
              <w:top w:val="nil"/>
              <w:left w:val="nil"/>
              <w:bottom w:val="nil"/>
              <w:right w:val="nil"/>
            </w:tcBorders>
          </w:tcPr>
          <w:p>
            <w:pPr>
              <w:pStyle w:val="0"/>
              <w:jc w:val="both"/>
            </w:pPr>
            <w:r>
              <w:rPr>
                <w:sz w:val="20"/>
              </w:rPr>
              <w:t xml:space="preserve">Производство прочих основных неорганических химических веществ</w:t>
            </w:r>
          </w:p>
        </w:tc>
        <w:tc>
          <w:tcPr>
            <w:tcW w:w="1247" w:type="dxa"/>
            <w:vAlign w:val="center"/>
            <w:tcBorders>
              <w:top w:val="nil"/>
              <w:left w:val="nil"/>
              <w:bottom w:val="nil"/>
              <w:right w:val="nil"/>
            </w:tcBorders>
          </w:tcPr>
          <w:p>
            <w:pPr>
              <w:pStyle w:val="0"/>
              <w:jc w:val="center"/>
            </w:pPr>
            <w:r>
              <w:rPr>
                <w:sz w:val="20"/>
              </w:rPr>
              <w:t xml:space="preserve">43,4</w:t>
            </w:r>
          </w:p>
        </w:tc>
        <w:tc>
          <w:tcPr>
            <w:tcW w:w="1247" w:type="dxa"/>
            <w:vAlign w:val="center"/>
            <w:tcBorders>
              <w:top w:val="nil"/>
              <w:left w:val="nil"/>
              <w:bottom w:val="nil"/>
              <w:right w:val="nil"/>
            </w:tcBorders>
          </w:tcPr>
          <w:p>
            <w:pPr>
              <w:pStyle w:val="0"/>
              <w:jc w:val="center"/>
            </w:pPr>
            <w:r>
              <w:rPr>
                <w:sz w:val="20"/>
              </w:rPr>
              <w:t xml:space="preserve">34,3%</w:t>
            </w:r>
          </w:p>
        </w:tc>
        <w:tc>
          <w:tcPr>
            <w:tcW w:w="1247" w:type="dxa"/>
            <w:vAlign w:val="center"/>
            <w:tcBorders>
              <w:top w:val="nil"/>
              <w:left w:val="nil"/>
              <w:bottom w:val="nil"/>
              <w:right w:val="single" w:sz="4"/>
            </w:tcBorders>
          </w:tcPr>
          <w:p>
            <w:pPr>
              <w:pStyle w:val="0"/>
              <w:jc w:val="center"/>
            </w:pPr>
            <w:r>
              <w:rPr>
                <w:sz w:val="20"/>
              </w:rPr>
              <w:t xml:space="preserve">18,8%</w:t>
            </w:r>
          </w:p>
        </w:tc>
        <w:tc>
          <w:tcPr>
            <w:tcW w:w="1247" w:type="dxa"/>
            <w:vAlign w:val="center"/>
            <w:tcBorders>
              <w:top w:val="nil"/>
              <w:left w:val="single" w:sz="4"/>
              <w:bottom w:val="nil"/>
              <w:right w:val="nil"/>
            </w:tcBorders>
          </w:tcPr>
          <w:p>
            <w:pPr>
              <w:pStyle w:val="0"/>
              <w:jc w:val="center"/>
            </w:pPr>
            <w:r>
              <w:rPr>
                <w:sz w:val="20"/>
              </w:rPr>
              <w:t xml:space="preserve">31,9%</w:t>
            </w:r>
          </w:p>
        </w:tc>
        <w:tc>
          <w:tcPr>
            <w:tcW w:w="1247" w:type="dxa"/>
            <w:vAlign w:val="center"/>
            <w:tcBorders>
              <w:top w:val="nil"/>
              <w:left w:val="nil"/>
              <w:bottom w:val="nil"/>
              <w:right w:val="single" w:sz="4"/>
            </w:tcBorders>
          </w:tcPr>
          <w:p>
            <w:pPr>
              <w:pStyle w:val="0"/>
              <w:jc w:val="center"/>
            </w:pPr>
            <w:r>
              <w:rPr>
                <w:sz w:val="20"/>
              </w:rPr>
              <w:t xml:space="preserve">18,5%</w:t>
            </w:r>
          </w:p>
        </w:tc>
      </w:tr>
      <w:tr>
        <w:tc>
          <w:tcPr>
            <w:tcW w:w="907" w:type="dxa"/>
            <w:vAlign w:val="center"/>
            <w:tcBorders>
              <w:top w:val="nil"/>
              <w:left w:val="nil"/>
              <w:bottom w:val="nil"/>
              <w:right w:val="nil"/>
            </w:tcBorders>
          </w:tcPr>
          <w:p>
            <w:pPr>
              <w:pStyle w:val="0"/>
              <w:jc w:val="center"/>
            </w:pPr>
            <w:hyperlink w:history="0" r:id="rId15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28.30</w:t>
              </w:r>
            </w:hyperlink>
          </w:p>
        </w:tc>
        <w:tc>
          <w:tcPr>
            <w:tcW w:w="1927" w:type="dxa"/>
            <w:vAlign w:val="center"/>
            <w:tcBorders>
              <w:top w:val="nil"/>
              <w:left w:val="nil"/>
              <w:bottom w:val="nil"/>
              <w:right w:val="nil"/>
            </w:tcBorders>
          </w:tcPr>
          <w:p>
            <w:pPr>
              <w:pStyle w:val="0"/>
              <w:jc w:val="both"/>
            </w:pPr>
            <w:r>
              <w:rPr>
                <w:sz w:val="20"/>
              </w:rPr>
              <w:t xml:space="preserve">Производство машин и оборудования для сельского и лесного хозяйства</w:t>
            </w:r>
          </w:p>
        </w:tc>
        <w:tc>
          <w:tcPr>
            <w:tcW w:w="1247" w:type="dxa"/>
            <w:vAlign w:val="center"/>
            <w:tcBorders>
              <w:top w:val="nil"/>
              <w:left w:val="nil"/>
              <w:bottom w:val="nil"/>
              <w:right w:val="nil"/>
            </w:tcBorders>
          </w:tcPr>
          <w:p>
            <w:pPr>
              <w:pStyle w:val="0"/>
              <w:jc w:val="center"/>
            </w:pPr>
            <w:r>
              <w:rPr>
                <w:sz w:val="20"/>
              </w:rPr>
              <w:t xml:space="preserve">17,3</w:t>
            </w:r>
          </w:p>
        </w:tc>
        <w:tc>
          <w:tcPr>
            <w:tcW w:w="1247" w:type="dxa"/>
            <w:vAlign w:val="center"/>
            <w:tcBorders>
              <w:top w:val="nil"/>
              <w:left w:val="nil"/>
              <w:bottom w:val="nil"/>
              <w:right w:val="nil"/>
            </w:tcBorders>
          </w:tcPr>
          <w:p>
            <w:pPr>
              <w:pStyle w:val="0"/>
              <w:jc w:val="center"/>
            </w:pPr>
            <w:r>
              <w:rPr>
                <w:sz w:val="20"/>
              </w:rPr>
              <w:t xml:space="preserve">11,4%</w:t>
            </w:r>
          </w:p>
        </w:tc>
        <w:tc>
          <w:tcPr>
            <w:tcW w:w="1247" w:type="dxa"/>
            <w:vAlign w:val="center"/>
            <w:tcBorders>
              <w:top w:val="nil"/>
              <w:left w:val="nil"/>
              <w:bottom w:val="nil"/>
              <w:right w:val="single" w:sz="4"/>
            </w:tcBorders>
          </w:tcPr>
          <w:p>
            <w:pPr>
              <w:pStyle w:val="0"/>
              <w:jc w:val="center"/>
            </w:pPr>
            <w:r>
              <w:rPr>
                <w:sz w:val="20"/>
              </w:rPr>
              <w:t xml:space="preserve">11,4%</w:t>
            </w:r>
          </w:p>
        </w:tc>
        <w:tc>
          <w:tcPr>
            <w:tcW w:w="1247" w:type="dxa"/>
            <w:vAlign w:val="center"/>
            <w:tcBorders>
              <w:top w:val="nil"/>
              <w:left w:val="single" w:sz="4"/>
              <w:bottom w:val="nil"/>
              <w:right w:val="nil"/>
            </w:tcBorders>
          </w:tcPr>
          <w:p>
            <w:pPr>
              <w:pStyle w:val="0"/>
              <w:jc w:val="center"/>
            </w:pPr>
            <w:r>
              <w:rPr>
                <w:sz w:val="20"/>
              </w:rPr>
              <w:t xml:space="preserve">13,3%</w:t>
            </w:r>
          </w:p>
        </w:tc>
        <w:tc>
          <w:tcPr>
            <w:tcW w:w="1247" w:type="dxa"/>
            <w:vAlign w:val="center"/>
            <w:tcBorders>
              <w:top w:val="nil"/>
              <w:left w:val="nil"/>
              <w:bottom w:val="nil"/>
              <w:right w:val="single" w:sz="4"/>
            </w:tcBorders>
          </w:tcPr>
          <w:p>
            <w:pPr>
              <w:pStyle w:val="0"/>
              <w:jc w:val="center"/>
            </w:pPr>
            <w:r>
              <w:rPr>
                <w:sz w:val="20"/>
              </w:rPr>
              <w:t xml:space="preserve">16,6%</w:t>
            </w:r>
          </w:p>
        </w:tc>
      </w:tr>
      <w:tr>
        <w:tc>
          <w:tcPr>
            <w:tcW w:w="907" w:type="dxa"/>
            <w:vAlign w:val="center"/>
            <w:tcBorders>
              <w:top w:val="nil"/>
              <w:left w:val="nil"/>
              <w:bottom w:val="single" w:sz="4"/>
              <w:right w:val="nil"/>
            </w:tcBorders>
          </w:tcPr>
          <w:p>
            <w:pPr>
              <w:pStyle w:val="0"/>
              <w:jc w:val="center"/>
            </w:pPr>
            <w:hyperlink w:history="0" r:id="rId152"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25.11</w:t>
              </w:r>
            </w:hyperlink>
          </w:p>
        </w:tc>
        <w:tc>
          <w:tcPr>
            <w:tcW w:w="1927" w:type="dxa"/>
            <w:vAlign w:val="center"/>
            <w:tcBorders>
              <w:top w:val="nil"/>
              <w:left w:val="nil"/>
              <w:bottom w:val="single" w:sz="4"/>
              <w:right w:val="nil"/>
            </w:tcBorders>
          </w:tcPr>
          <w:p>
            <w:pPr>
              <w:pStyle w:val="0"/>
              <w:jc w:val="both"/>
            </w:pPr>
            <w:r>
              <w:rPr>
                <w:sz w:val="20"/>
              </w:rPr>
              <w:t xml:space="preserve">Производство строительных металлических конструкций, изделий и их частей</w:t>
            </w:r>
          </w:p>
        </w:tc>
        <w:tc>
          <w:tcPr>
            <w:tcW w:w="1247" w:type="dxa"/>
            <w:vAlign w:val="center"/>
            <w:tcBorders>
              <w:top w:val="nil"/>
              <w:left w:val="nil"/>
              <w:bottom w:val="single" w:sz="4"/>
              <w:right w:val="nil"/>
            </w:tcBorders>
          </w:tcPr>
          <w:p>
            <w:pPr>
              <w:pStyle w:val="0"/>
              <w:jc w:val="center"/>
            </w:pPr>
            <w:r>
              <w:rPr>
                <w:sz w:val="20"/>
              </w:rPr>
              <w:t xml:space="preserve">6,6</w:t>
            </w:r>
          </w:p>
        </w:tc>
        <w:tc>
          <w:tcPr>
            <w:tcW w:w="1247" w:type="dxa"/>
            <w:vAlign w:val="center"/>
            <w:tcBorders>
              <w:top w:val="nil"/>
              <w:left w:val="nil"/>
              <w:bottom w:val="single" w:sz="4"/>
              <w:right w:val="nil"/>
            </w:tcBorders>
          </w:tcPr>
          <w:p>
            <w:pPr>
              <w:pStyle w:val="0"/>
              <w:jc w:val="center"/>
            </w:pPr>
            <w:r>
              <w:rPr>
                <w:sz w:val="20"/>
              </w:rPr>
              <w:t xml:space="preserve">16,9%</w:t>
            </w:r>
          </w:p>
        </w:tc>
        <w:tc>
          <w:tcPr>
            <w:tcW w:w="1247" w:type="dxa"/>
            <w:vAlign w:val="center"/>
            <w:tcBorders>
              <w:top w:val="nil"/>
              <w:left w:val="nil"/>
              <w:bottom w:val="single" w:sz="4"/>
              <w:right w:val="single" w:sz="4"/>
            </w:tcBorders>
          </w:tcPr>
          <w:p>
            <w:pPr>
              <w:pStyle w:val="0"/>
              <w:jc w:val="center"/>
            </w:pPr>
            <w:r>
              <w:rPr>
                <w:sz w:val="20"/>
              </w:rPr>
              <w:t xml:space="preserve">31,7%</w:t>
            </w:r>
          </w:p>
        </w:tc>
        <w:tc>
          <w:tcPr>
            <w:tcW w:w="1247" w:type="dxa"/>
            <w:vAlign w:val="center"/>
            <w:tcBorders>
              <w:top w:val="nil"/>
              <w:left w:val="single" w:sz="4"/>
              <w:bottom w:val="single" w:sz="4"/>
              <w:right w:val="nil"/>
            </w:tcBorders>
          </w:tcPr>
          <w:p>
            <w:pPr>
              <w:pStyle w:val="0"/>
              <w:jc w:val="center"/>
            </w:pPr>
            <w:r>
              <w:rPr>
                <w:sz w:val="20"/>
              </w:rPr>
              <w:t xml:space="preserve">22,4%</w:t>
            </w:r>
          </w:p>
        </w:tc>
        <w:tc>
          <w:tcPr>
            <w:tcW w:w="1247" w:type="dxa"/>
            <w:vAlign w:val="center"/>
            <w:tcBorders>
              <w:top w:val="nil"/>
              <w:left w:val="nil"/>
              <w:bottom w:val="single" w:sz="4"/>
              <w:right w:val="single" w:sz="4"/>
            </w:tcBorders>
          </w:tcPr>
          <w:p>
            <w:pPr>
              <w:pStyle w:val="0"/>
              <w:jc w:val="center"/>
            </w:pPr>
            <w:r>
              <w:rPr>
                <w:sz w:val="20"/>
              </w:rPr>
              <w:t xml:space="preserve">31,5%</w:t>
            </w:r>
          </w:p>
        </w:tc>
      </w:tr>
    </w:tbl>
    <w:p>
      <w:pPr>
        <w:pStyle w:val="0"/>
        <w:jc w:val="both"/>
      </w:pPr>
      <w:r>
        <w:rPr>
          <w:sz w:val="20"/>
        </w:rPr>
      </w:r>
    </w:p>
    <w:p>
      <w:pPr>
        <w:pStyle w:val="0"/>
        <w:ind w:firstLine="540"/>
        <w:jc w:val="both"/>
      </w:pPr>
      <w:r>
        <w:rPr>
          <w:sz w:val="20"/>
        </w:rPr>
        <w:t xml:space="preserve">--------------------------------</w:t>
      </w:r>
    </w:p>
    <w:bookmarkStart w:id="5065" w:name="P5065"/>
    <w:bookmarkEnd w:id="5065"/>
    <w:p>
      <w:pPr>
        <w:pStyle w:val="0"/>
        <w:spacing w:before="200" w:line-rule="auto"/>
        <w:ind w:firstLine="540"/>
        <w:jc w:val="both"/>
      </w:pPr>
      <w:r>
        <w:rPr>
          <w:sz w:val="20"/>
        </w:rPr>
        <w:t xml:space="preserve">&lt;*&gt; сумма средних значений выручки в рамках отрасли по всем резидентам за период анализа</w:t>
      </w:r>
    </w:p>
    <w:bookmarkStart w:id="5066" w:name="P5066"/>
    <w:bookmarkEnd w:id="5066"/>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5067" w:name="P5067"/>
    <w:bookmarkEnd w:id="5067"/>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Таким образом, режим СПИК требует "донастройки", например, для новых резидентов в части ограничения видов деятельности, которые могут пользоваться налоговыми льготами и неналоговыми мерами поддержки.</w:t>
      </w:r>
    </w:p>
    <w:p>
      <w:pPr>
        <w:pStyle w:val="0"/>
        <w:spacing w:before="200" w:line-rule="auto"/>
        <w:ind w:firstLine="540"/>
        <w:jc w:val="both"/>
      </w:pPr>
      <w:r>
        <w:rPr>
          <w:sz w:val="20"/>
        </w:rPr>
        <w:t xml:space="preserve">Также отмечаем, что в действующих нормативно-правовых актах при принятии решения о заключении СПИК не учитывается экономическая эффективность проектов (например, государственная поддержка может оказываться проектам со сверхвысокой внутренней нормой рентабельности в общей системе налогообложения).</w:t>
      </w:r>
    </w:p>
    <w:p>
      <w:pPr>
        <w:pStyle w:val="0"/>
        <w:jc w:val="both"/>
      </w:pPr>
      <w:r>
        <w:rPr>
          <w:sz w:val="20"/>
        </w:rPr>
      </w:r>
    </w:p>
    <w:p>
      <w:pPr>
        <w:pStyle w:val="2"/>
        <w:outlineLvl w:val="1"/>
        <w:ind w:firstLine="540"/>
        <w:jc w:val="both"/>
      </w:pPr>
      <w:r>
        <w:rPr>
          <w:sz w:val="20"/>
        </w:rPr>
        <w:t xml:space="preserve">Режим для резидентов Арктической зоны Российской Федерации (АЗРФ)</w:t>
      </w:r>
    </w:p>
    <w:p>
      <w:pPr>
        <w:pStyle w:val="0"/>
        <w:jc w:val="both"/>
      </w:pPr>
      <w:r>
        <w:rPr>
          <w:sz w:val="20"/>
        </w:rPr>
      </w:r>
    </w:p>
    <w:p>
      <w:pPr>
        <w:pStyle w:val="0"/>
        <w:ind w:firstLine="540"/>
        <w:jc w:val="both"/>
      </w:pPr>
      <w:r>
        <w:rPr>
          <w:sz w:val="20"/>
        </w:rPr>
        <w:t xml:space="preserve">Таблица 21.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7"/>
        <w:gridCol w:w="340"/>
        <w:gridCol w:w="5952"/>
      </w:tblGrid>
      <w:tr>
        <w:tblPrEx>
          <w:tblBorders>
            <w:insideH w:val="single" w:sz="4"/>
          </w:tblBorders>
        </w:tblPrEx>
        <w:tc>
          <w:tcPr>
            <w:tcW w:w="2777" w:type="dxa"/>
            <w:tcBorders>
              <w:top w:val="single" w:sz="4"/>
              <w:left w:val="nil"/>
              <w:bottom w:val="single" w:sz="4"/>
              <w:right w:val="nil"/>
            </w:tcBorders>
          </w:tcPr>
          <w:p>
            <w:pPr>
              <w:pStyle w:val="0"/>
              <w:jc w:val="center"/>
            </w:pPr>
            <w:r>
              <w:rPr>
                <w:sz w:val="20"/>
              </w:rPr>
              <w:t xml:space="preserve">Показатель</w:t>
            </w:r>
          </w:p>
        </w:tc>
        <w:tc>
          <w:tcPr>
            <w:gridSpan w:val="2"/>
            <w:tcW w:w="6292" w:type="dxa"/>
            <w:tcBorders>
              <w:top w:val="single" w:sz="4"/>
              <w:left w:val="nil"/>
              <w:bottom w:val="single" w:sz="4"/>
              <w:right w:val="nil"/>
            </w:tcBorders>
          </w:tcPr>
          <w:p>
            <w:pPr>
              <w:pStyle w:val="0"/>
              <w:jc w:val="center"/>
            </w:pPr>
            <w:r>
              <w:rPr>
                <w:sz w:val="20"/>
              </w:rPr>
              <w:t xml:space="preserve">Описание</w:t>
            </w:r>
          </w:p>
        </w:tc>
      </w:tr>
      <w:tr>
        <w:tc>
          <w:tcPr>
            <w:tcW w:w="2777" w:type="dxa"/>
            <w:vAlign w:val="center"/>
            <w:tcBorders>
              <w:top w:val="single" w:sz="4"/>
              <w:left w:val="nil"/>
              <w:bottom w:val="nil"/>
              <w:right w:val="nil"/>
            </w:tcBorders>
          </w:tcPr>
          <w:p>
            <w:pPr>
              <w:pStyle w:val="0"/>
            </w:pPr>
            <w:r>
              <w:rPr>
                <w:sz w:val="20"/>
              </w:rPr>
              <w:t xml:space="preserve">Срок действия режима</w:t>
            </w:r>
          </w:p>
        </w:tc>
        <w:tc>
          <w:tcPr>
            <w:gridSpan w:val="2"/>
            <w:tcW w:w="6292" w:type="dxa"/>
            <w:tcBorders>
              <w:top w:val="single" w:sz="4"/>
              <w:left w:val="nil"/>
              <w:bottom w:val="nil"/>
              <w:right w:val="nil"/>
            </w:tcBorders>
          </w:tcPr>
          <w:p>
            <w:pPr>
              <w:pStyle w:val="0"/>
              <w:jc w:val="both"/>
            </w:pPr>
            <w:r>
              <w:rPr>
                <w:sz w:val="20"/>
              </w:rPr>
              <w:t xml:space="preserve">Для резидентов АЗРФ действует с 28.08.2020 и до истечения срока в соглашении об осуществлении инвестиционной деятельности в Арктической зоне. Соглашение может предусматривать возможность продления такого срока.</w:t>
            </w:r>
          </w:p>
        </w:tc>
      </w:tr>
      <w:tr>
        <w:tc>
          <w:tcPr>
            <w:tcW w:w="2777" w:type="dxa"/>
            <w:vAlign w:val="center"/>
            <w:tcBorders>
              <w:top w:val="nil"/>
              <w:left w:val="nil"/>
              <w:bottom w:val="nil"/>
              <w:right w:val="nil"/>
            </w:tcBorders>
            <w:vMerge w:val="restart"/>
          </w:tcPr>
          <w:p>
            <w:pPr>
              <w:pStyle w:val="0"/>
            </w:pPr>
            <w:r>
              <w:rPr>
                <w:sz w:val="20"/>
              </w:rPr>
              <w:t xml:space="preserve">Налоговые льготы режима</w:t>
            </w:r>
          </w:p>
        </w:tc>
        <w:tc>
          <w:tcPr>
            <w:tcW w:w="340" w:type="dxa"/>
            <w:tcBorders>
              <w:top w:val="nil"/>
              <w:left w:val="nil"/>
              <w:bottom w:val="nil"/>
              <w:right w:val="nil"/>
            </w:tcBorders>
          </w:tcPr>
          <w:p>
            <w:pPr>
              <w:pStyle w:val="0"/>
              <w:jc w:val="center"/>
            </w:pPr>
            <w:r>
              <w:rPr>
                <w:sz w:val="20"/>
              </w:rPr>
              <w:t xml:space="preserve">-</w:t>
            </w:r>
          </w:p>
        </w:tc>
        <w:tc>
          <w:tcPr>
            <w:tcW w:w="5952" w:type="dxa"/>
            <w:tcBorders>
              <w:top w:val="nil"/>
              <w:left w:val="nil"/>
              <w:bottom w:val="nil"/>
              <w:right w:val="nil"/>
            </w:tcBorders>
          </w:tcPr>
          <w:p>
            <w:pPr>
              <w:pStyle w:val="0"/>
              <w:jc w:val="both"/>
            </w:pPr>
            <w:r>
              <w:rPr>
                <w:sz w:val="20"/>
              </w:rPr>
              <w:t xml:space="preserve">пониженные ставки по налогу на прибыль в ФБ и РБ (в соответствии с законами субъектов РФ),</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jc w:val="center"/>
            </w:pPr>
            <w:r>
              <w:rPr>
                <w:sz w:val="20"/>
              </w:rPr>
              <w:t xml:space="preserve">-</w:t>
            </w:r>
          </w:p>
        </w:tc>
        <w:tc>
          <w:tcPr>
            <w:tcW w:w="5952" w:type="dxa"/>
            <w:tcBorders>
              <w:top w:val="nil"/>
              <w:left w:val="nil"/>
              <w:bottom w:val="nil"/>
              <w:right w:val="nil"/>
            </w:tcBorders>
          </w:tcPr>
          <w:p>
            <w:pPr>
              <w:pStyle w:val="0"/>
              <w:jc w:val="both"/>
            </w:pPr>
            <w:r>
              <w:rPr>
                <w:sz w:val="20"/>
              </w:rPr>
              <w:t xml:space="preserve">вычет по НДПИ (по ТПИ) применяется с 01.01.2021 по 31.12.2032. Вычет определяется как величина фактически оплаченных сумм расходов на приобретение, сооружение, изготовление, доставку объектов ОС и доведение до состояния, в котором они пригодны для использования.</w:t>
            </w:r>
          </w:p>
        </w:tc>
      </w:tr>
      <w:tr>
        <w:tc>
          <w:tcPr>
            <w:tcW w:w="2777" w:type="dxa"/>
            <w:vAlign w:val="center"/>
            <w:tcBorders>
              <w:top w:val="nil"/>
              <w:left w:val="nil"/>
              <w:bottom w:val="nil"/>
              <w:right w:val="nil"/>
            </w:tcBorders>
          </w:tcPr>
          <w:p>
            <w:pPr>
              <w:pStyle w:val="0"/>
              <w:jc w:val="both"/>
            </w:pPr>
            <w:r>
              <w:rPr>
                <w:sz w:val="20"/>
              </w:rPr>
              <w:t xml:space="preserve">Количество отраслей в режиме</w:t>
            </w:r>
          </w:p>
        </w:tc>
        <w:tc>
          <w:tcPr>
            <w:gridSpan w:val="2"/>
            <w:tcW w:w="6292" w:type="dxa"/>
            <w:vAlign w:val="center"/>
            <w:tcBorders>
              <w:top w:val="nil"/>
              <w:left w:val="nil"/>
              <w:bottom w:val="nil"/>
              <w:right w:val="nil"/>
            </w:tcBorders>
          </w:tcPr>
          <w:p>
            <w:pPr>
              <w:pStyle w:val="0"/>
            </w:pPr>
            <w:r>
              <w:rPr>
                <w:sz w:val="20"/>
              </w:rPr>
              <w:t xml:space="preserve">116</w:t>
            </w:r>
          </w:p>
        </w:tc>
      </w:tr>
      <w:tr>
        <w:tc>
          <w:tcPr>
            <w:tcW w:w="2777" w:type="dxa"/>
            <w:vAlign w:val="center"/>
            <w:tcBorders>
              <w:top w:val="nil"/>
              <w:left w:val="nil"/>
              <w:bottom w:val="single" w:sz="4"/>
              <w:right w:val="nil"/>
            </w:tcBorders>
          </w:tcPr>
          <w:p>
            <w:pPr>
              <w:pStyle w:val="0"/>
            </w:pPr>
            <w:r>
              <w:rPr>
                <w:sz w:val="20"/>
              </w:rPr>
              <w:t xml:space="preserve">Наличие обязательств</w:t>
            </w:r>
          </w:p>
        </w:tc>
        <w:tc>
          <w:tcPr>
            <w:gridSpan w:val="2"/>
            <w:tcW w:w="6292" w:type="dxa"/>
            <w:tcBorders>
              <w:top w:val="nil"/>
              <w:left w:val="nil"/>
              <w:bottom w:val="single" w:sz="4"/>
              <w:right w:val="nil"/>
            </w:tcBorders>
          </w:tcPr>
          <w:p>
            <w:pPr>
              <w:pStyle w:val="0"/>
              <w:jc w:val="both"/>
            </w:pPr>
            <w:r>
              <w:rPr>
                <w:sz w:val="20"/>
              </w:rPr>
              <w:t xml:space="preserve">Да (общий объем осуществленных и запланированных капитальных вложений не может быть менее 1 млн руб.).</w:t>
            </w:r>
          </w:p>
        </w:tc>
      </w:tr>
    </w:tbl>
    <w:p>
      <w:pPr>
        <w:pStyle w:val="0"/>
        <w:jc w:val="both"/>
      </w:pPr>
      <w:r>
        <w:rPr>
          <w:sz w:val="20"/>
        </w:rPr>
      </w:r>
    </w:p>
    <w:p>
      <w:pPr>
        <w:pStyle w:val="0"/>
        <w:ind w:firstLine="540"/>
        <w:jc w:val="both"/>
      </w:pPr>
      <w:r>
        <w:rPr>
          <w:sz w:val="20"/>
        </w:rPr>
        <w:t xml:space="preserve">За период анализа (2020 - 2022 годы) общее количество резидентов &lt;24&gt; АЗРФ составило 452, из которых в периметр анализа на базе АС "Эффективность льгот" вошли 280 &lt;25&gt; резидентов.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Количество резидентов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&lt;25&gt; Прочие резиденты не вошли в анализ по причине отсутствия налоговых деклараций или бухгалтерской отчетности (56 резидента), или нулевого значения показателя выручки (116 резидент).</w:t>
      </w:r>
    </w:p>
    <w:p>
      <w:pPr>
        <w:pStyle w:val="0"/>
        <w:jc w:val="both"/>
      </w:pPr>
      <w:r>
        <w:rPr>
          <w:sz w:val="20"/>
        </w:rPr>
      </w:r>
    </w:p>
    <w:p>
      <w:pPr>
        <w:pStyle w:val="0"/>
        <w:jc w:val="center"/>
      </w:pPr>
      <w:r>
        <w:rPr>
          <w:position w:val="-110"/>
        </w:rPr>
        <w:drawing>
          <wp:inline distT="0" distB="0" distL="0" distR="0">
            <wp:extent cx="5010785" cy="153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5010785" cy="1531620"/>
                    </a:xfrm>
                    <a:prstGeom prst="rect">
                      <a:avLst/>
                    </a:prstGeom>
                    <a:noFill/>
                    <a:ln>
                      <a:noFill/>
                    </a:ln>
                  </pic:spPr>
                </pic:pic>
              </a:graphicData>
            </a:graphic>
          </wp:inline>
        </w:drawing>
      </w:r>
    </w:p>
    <w:p>
      <w:pPr>
        <w:pStyle w:val="0"/>
        <w:jc w:val="both"/>
      </w:pPr>
      <w:r>
        <w:rPr>
          <w:sz w:val="20"/>
        </w:rPr>
      </w:r>
    </w:p>
    <w:p>
      <w:pPr>
        <w:pStyle w:val="0"/>
        <w:jc w:val="center"/>
      </w:pPr>
      <w:r>
        <w:rPr>
          <w:position w:val="-119"/>
        </w:rPr>
        <w:drawing>
          <wp:inline distT="0" distB="0" distL="0" distR="0">
            <wp:extent cx="5059680" cy="1642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5059680" cy="16427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выручки резидентов АЗРФ, вошедших в периметр анализа, с 2020 года по 2022 год вырос в 1,4 раза, количество резидентов - в 1,8 раза, величина капитальных вложений - в 1,6 раза, численность сотрудников - в 1,4 раза. При этом в 2022 году на фоне увеличения численности сотрудников на 24,3% по сравнению с 2021 годом, совокупный объем капитальных вложений за аналогичный период вырос на 12,5%.</w:t>
      </w:r>
    </w:p>
    <w:p>
      <w:pPr>
        <w:pStyle w:val="0"/>
        <w:spacing w:before="200" w:line-rule="auto"/>
        <w:ind w:firstLine="540"/>
        <w:jc w:val="both"/>
      </w:pPr>
      <w:r>
        <w:rPr>
          <w:sz w:val="20"/>
        </w:rPr>
        <w:t xml:space="preserve">С 2017 года по 2022 год общая величина выпадающих доходов бюджетов бюджетной системы Российской Федерации (по резидентам ИНЛ, вошедшим в периметр анализа) увеличилась с 82,7 млн руб. до 1 446,2 млн руб. (в 17,5 раз) по налоговым льготам.</w:t>
      </w:r>
    </w:p>
    <w:p>
      <w:pPr>
        <w:pStyle w:val="0"/>
        <w:spacing w:before="200" w:line-rule="auto"/>
        <w:ind w:firstLine="540"/>
        <w:jc w:val="both"/>
      </w:pPr>
      <w:r>
        <w:rPr>
          <w:sz w:val="20"/>
        </w:rPr>
        <w:t xml:space="preserve">В ТОП-3 отраслей по объему выручки за период анализа вошли отрасли по добыче и обогащению железных руд (68,2%), рыболовство морское (6,0%), а также деятельность морского грузового транспорта (3,6%).</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снизилась по сравнению с анализом за прошлый год с 92,8% до 84,6%.</w:t>
      </w:r>
    </w:p>
    <w:p>
      <w:pPr>
        <w:pStyle w:val="0"/>
        <w:spacing w:before="200" w:line-rule="auto"/>
        <w:ind w:firstLine="540"/>
        <w:jc w:val="both"/>
      </w:pPr>
      <w:r>
        <w:rPr>
          <w:sz w:val="20"/>
        </w:rPr>
        <w:t xml:space="preserve">В отношении ТОП-5 по выручке отраслей, в которых выявлена сверхдоходность или низкая инвестиционная активность, стоит отметить, что отрасль рыболовство морское в целом за период демонстрирует высокую операционную рентабельность и доходность активов, несмотря на отрицательные значения в последние годы.</w:t>
      </w:r>
    </w:p>
    <w:p>
      <w:pPr>
        <w:pStyle w:val="0"/>
        <w:spacing w:before="200" w:line-rule="auto"/>
        <w:ind w:firstLine="540"/>
        <w:jc w:val="both"/>
      </w:pPr>
      <w:r>
        <w:rPr>
          <w:sz w:val="20"/>
        </w:rPr>
        <w:t xml:space="preserve">Таким образом, режим АЗРФ требует "донастройки" в целом.</w:t>
      </w:r>
    </w:p>
    <w:p>
      <w:pPr>
        <w:pStyle w:val="0"/>
        <w:jc w:val="both"/>
      </w:pPr>
      <w:r>
        <w:rPr>
          <w:sz w:val="20"/>
        </w:rPr>
      </w:r>
    </w:p>
    <w:p>
      <w:pPr>
        <w:pStyle w:val="0"/>
        <w:ind w:firstLine="540"/>
        <w:jc w:val="both"/>
      </w:pPr>
      <w:r>
        <w:rPr>
          <w:sz w:val="20"/>
        </w:rPr>
        <w:t xml:space="preserve">Таблица 22. ТОП-5 (из 38 </w:t>
      </w:r>
      <w:hyperlink w:history="0" r:id="rId155"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по выручке отраслей, в которых выявлена сверхдоходность или низкая инвестиционная активность (справочно)</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907"/>
        <w:gridCol w:w="1927"/>
        <w:gridCol w:w="1247"/>
        <w:gridCol w:w="1247"/>
        <w:gridCol w:w="1247"/>
        <w:gridCol w:w="1247"/>
        <w:gridCol w:w="1247"/>
      </w:tblGrid>
      <w:tr>
        <w:tblPrEx>
          <w:tblBorders>
            <w:insideH w:val="single" w:sz="4"/>
          </w:tblBorders>
        </w:tblPrEx>
        <w:tc>
          <w:tcPr>
            <w:tcW w:w="907" w:type="dxa"/>
            <w:tcBorders>
              <w:top w:val="single" w:sz="4"/>
              <w:left w:val="nil"/>
              <w:bottom w:val="single" w:sz="4"/>
              <w:right w:val="nil"/>
            </w:tcBorders>
          </w:tcPr>
          <w:p>
            <w:pPr>
              <w:pStyle w:val="0"/>
              <w:jc w:val="center"/>
            </w:pPr>
            <w:hyperlink w:history="0" r:id="rId156"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1927" w:type="dxa"/>
            <w:tcBorders>
              <w:top w:val="single" w:sz="4"/>
              <w:left w:val="nil"/>
              <w:bottom w:val="single" w:sz="4"/>
              <w:right w:val="nil"/>
            </w:tcBorders>
          </w:tcPr>
          <w:p>
            <w:pPr>
              <w:pStyle w:val="0"/>
              <w:jc w:val="center"/>
            </w:pPr>
            <w:r>
              <w:rPr>
                <w:sz w:val="20"/>
              </w:rPr>
              <w:t xml:space="preserve">Наименование отрасли</w:t>
            </w:r>
          </w:p>
        </w:tc>
        <w:tc>
          <w:tcPr>
            <w:tcW w:w="1247" w:type="dxa"/>
            <w:tcBorders>
              <w:top w:val="single" w:sz="4"/>
              <w:left w:val="nil"/>
              <w:bottom w:val="single" w:sz="4"/>
              <w:right w:val="nil"/>
            </w:tcBorders>
          </w:tcPr>
          <w:p>
            <w:pPr>
              <w:pStyle w:val="0"/>
              <w:jc w:val="center"/>
            </w:pPr>
            <w:r>
              <w:rPr>
                <w:sz w:val="20"/>
              </w:rPr>
              <w:t xml:space="preserve">Выручка по отрасли </w:t>
            </w:r>
            <w:hyperlink w:history="0" w:anchor="P5152" w:tooltip="&lt;*&gt; сумма средних значений выручки в рамках отрасли по всем резидентам за период анализа">
              <w:r>
                <w:rPr>
                  <w:sz w:val="20"/>
                  <w:color w:val="0000ff"/>
                </w:rPr>
                <w:t xml:space="preserve">&lt;*&gt;</w:t>
              </w:r>
            </w:hyperlink>
            <w:r>
              <w:rPr>
                <w:sz w:val="20"/>
              </w:rPr>
              <w:t xml:space="preserve"> млрд </w:t>
            </w:r>
            <w:r>
              <w:rPr>
                <w:position w:val="-6"/>
              </w:rPr>
              <w:drawing>
                <wp:inline distT="0" distB="0" distL="0" distR="0">
                  <wp:extent cx="14351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 cy="215265"/>
                          </a:xfrm>
                          <a:prstGeom prst="rect">
                            <a:avLst/>
                          </a:prstGeom>
                          <a:noFill/>
                          <a:ln>
                            <a:noFill/>
                          </a:ln>
                        </pic:spPr>
                      </pic:pic>
                    </a:graphicData>
                  </a:graphic>
                </wp:inline>
              </w:drawing>
            </w:r>
          </w:p>
        </w:tc>
        <w:tc>
          <w:tcPr>
            <w:tcW w:w="1247"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5153"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24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5154" w:tooltip="&lt;***&gt; средневзвешенная по выручке на основе данных за весь период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907" w:type="dxa"/>
            <w:vAlign w:val="center"/>
            <w:tcBorders>
              <w:top w:val="single" w:sz="4"/>
              <w:left w:val="nil"/>
              <w:bottom w:val="nil"/>
              <w:right w:val="nil"/>
            </w:tcBorders>
          </w:tcPr>
          <w:p>
            <w:pPr>
              <w:pStyle w:val="0"/>
              <w:jc w:val="center"/>
            </w:pPr>
            <w:hyperlink w:history="0" r:id="rId157"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07.10</w:t>
              </w:r>
            </w:hyperlink>
          </w:p>
        </w:tc>
        <w:tc>
          <w:tcPr>
            <w:tcW w:w="1927" w:type="dxa"/>
            <w:vAlign w:val="center"/>
            <w:tcBorders>
              <w:top w:val="single" w:sz="4"/>
              <w:left w:val="nil"/>
              <w:bottom w:val="nil"/>
              <w:right w:val="nil"/>
            </w:tcBorders>
          </w:tcPr>
          <w:p>
            <w:pPr>
              <w:pStyle w:val="0"/>
              <w:jc w:val="both"/>
            </w:pPr>
            <w:r>
              <w:rPr>
                <w:sz w:val="20"/>
              </w:rPr>
              <w:t xml:space="preserve">Добыча и обогащение железных руд</w:t>
            </w:r>
          </w:p>
        </w:tc>
        <w:tc>
          <w:tcPr>
            <w:tcW w:w="1247" w:type="dxa"/>
            <w:vAlign w:val="center"/>
            <w:tcBorders>
              <w:top w:val="single" w:sz="4"/>
              <w:left w:val="nil"/>
              <w:bottom w:val="nil"/>
              <w:right w:val="nil"/>
            </w:tcBorders>
          </w:tcPr>
          <w:p>
            <w:pPr>
              <w:pStyle w:val="0"/>
              <w:jc w:val="center"/>
            </w:pPr>
            <w:r>
              <w:rPr>
                <w:sz w:val="20"/>
              </w:rPr>
              <w:t xml:space="preserve">198,4</w:t>
            </w:r>
          </w:p>
        </w:tc>
        <w:tc>
          <w:tcPr>
            <w:tcW w:w="1247" w:type="dxa"/>
            <w:vAlign w:val="center"/>
            <w:tcBorders>
              <w:top w:val="single" w:sz="4"/>
              <w:left w:val="nil"/>
              <w:bottom w:val="nil"/>
              <w:right w:val="nil"/>
            </w:tcBorders>
          </w:tcPr>
          <w:p>
            <w:pPr>
              <w:pStyle w:val="0"/>
              <w:jc w:val="center"/>
            </w:pPr>
            <w:r>
              <w:rPr>
                <w:sz w:val="20"/>
              </w:rPr>
              <w:t xml:space="preserve">36,2%</w:t>
            </w:r>
          </w:p>
        </w:tc>
        <w:tc>
          <w:tcPr>
            <w:tcW w:w="1247" w:type="dxa"/>
            <w:vAlign w:val="center"/>
            <w:tcBorders>
              <w:top w:val="single" w:sz="4"/>
              <w:left w:val="nil"/>
              <w:bottom w:val="nil"/>
              <w:right w:val="single" w:sz="4"/>
            </w:tcBorders>
          </w:tcPr>
          <w:p>
            <w:pPr>
              <w:pStyle w:val="0"/>
              <w:jc w:val="center"/>
            </w:pPr>
            <w:r>
              <w:rPr>
                <w:sz w:val="20"/>
              </w:rPr>
              <w:t xml:space="preserve">28,5%</w:t>
            </w:r>
          </w:p>
        </w:tc>
        <w:tc>
          <w:tcPr>
            <w:tcW w:w="1247" w:type="dxa"/>
            <w:vAlign w:val="center"/>
            <w:tcBorders>
              <w:top w:val="single" w:sz="4"/>
              <w:left w:val="single" w:sz="4"/>
              <w:bottom w:val="nil"/>
              <w:right w:val="nil"/>
            </w:tcBorders>
          </w:tcPr>
          <w:p>
            <w:pPr>
              <w:pStyle w:val="0"/>
              <w:jc w:val="center"/>
            </w:pPr>
            <w:r>
              <w:rPr>
                <w:sz w:val="20"/>
              </w:rPr>
              <w:t xml:space="preserve">51,1%</w:t>
            </w:r>
          </w:p>
        </w:tc>
        <w:tc>
          <w:tcPr>
            <w:tcW w:w="1247" w:type="dxa"/>
            <w:vAlign w:val="center"/>
            <w:tcBorders>
              <w:top w:val="single" w:sz="4"/>
              <w:left w:val="nil"/>
              <w:bottom w:val="nil"/>
              <w:right w:val="single" w:sz="4"/>
            </w:tcBorders>
          </w:tcPr>
          <w:p>
            <w:pPr>
              <w:pStyle w:val="0"/>
              <w:jc w:val="center"/>
            </w:pPr>
            <w:r>
              <w:rPr>
                <w:sz w:val="20"/>
              </w:rPr>
              <w:t xml:space="preserve">65,9%</w:t>
            </w:r>
          </w:p>
        </w:tc>
      </w:tr>
      <w:tr>
        <w:tc>
          <w:tcPr>
            <w:tcW w:w="907" w:type="dxa"/>
            <w:vAlign w:val="center"/>
            <w:tcBorders>
              <w:top w:val="nil"/>
              <w:left w:val="nil"/>
              <w:bottom w:val="nil"/>
              <w:right w:val="nil"/>
            </w:tcBorders>
          </w:tcPr>
          <w:p>
            <w:pPr>
              <w:pStyle w:val="0"/>
              <w:jc w:val="center"/>
            </w:pPr>
            <w:hyperlink w:history="0" r:id="rId15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03.11</w:t>
              </w:r>
            </w:hyperlink>
          </w:p>
        </w:tc>
        <w:tc>
          <w:tcPr>
            <w:tcW w:w="1927" w:type="dxa"/>
            <w:vAlign w:val="center"/>
            <w:tcBorders>
              <w:top w:val="nil"/>
              <w:left w:val="nil"/>
              <w:bottom w:val="nil"/>
              <w:right w:val="nil"/>
            </w:tcBorders>
          </w:tcPr>
          <w:p>
            <w:pPr>
              <w:pStyle w:val="0"/>
              <w:jc w:val="both"/>
            </w:pPr>
            <w:r>
              <w:rPr>
                <w:sz w:val="20"/>
              </w:rPr>
              <w:t xml:space="preserve">Рыболовство морское</w:t>
            </w:r>
          </w:p>
        </w:tc>
        <w:tc>
          <w:tcPr>
            <w:tcW w:w="1247" w:type="dxa"/>
            <w:vAlign w:val="center"/>
            <w:tcBorders>
              <w:top w:val="nil"/>
              <w:left w:val="nil"/>
              <w:bottom w:val="nil"/>
              <w:right w:val="nil"/>
            </w:tcBorders>
          </w:tcPr>
          <w:p>
            <w:pPr>
              <w:pStyle w:val="0"/>
              <w:jc w:val="center"/>
            </w:pPr>
            <w:r>
              <w:rPr>
                <w:sz w:val="20"/>
              </w:rPr>
              <w:t xml:space="preserve">17,5</w:t>
            </w:r>
          </w:p>
        </w:tc>
        <w:tc>
          <w:tcPr>
            <w:tcW w:w="1247" w:type="dxa"/>
            <w:vAlign w:val="center"/>
            <w:tcBorders>
              <w:top w:val="nil"/>
              <w:left w:val="nil"/>
              <w:bottom w:val="nil"/>
              <w:right w:val="nil"/>
            </w:tcBorders>
          </w:tcPr>
          <w:p>
            <w:pPr>
              <w:pStyle w:val="0"/>
              <w:jc w:val="center"/>
            </w:pPr>
            <w:r>
              <w:rPr>
                <w:sz w:val="20"/>
              </w:rPr>
              <w:t xml:space="preserve">-22,5%</w:t>
            </w:r>
          </w:p>
        </w:tc>
        <w:tc>
          <w:tcPr>
            <w:tcW w:w="1247" w:type="dxa"/>
            <w:vAlign w:val="center"/>
            <w:tcBorders>
              <w:top w:val="nil"/>
              <w:left w:val="nil"/>
              <w:bottom w:val="nil"/>
              <w:right w:val="single" w:sz="4"/>
            </w:tcBorders>
          </w:tcPr>
          <w:p>
            <w:pPr>
              <w:pStyle w:val="0"/>
              <w:jc w:val="center"/>
            </w:pPr>
            <w:r>
              <w:rPr>
                <w:sz w:val="20"/>
              </w:rPr>
              <w:t xml:space="preserve">-2,3%</w:t>
            </w:r>
          </w:p>
        </w:tc>
        <w:tc>
          <w:tcPr>
            <w:tcW w:w="1247" w:type="dxa"/>
            <w:vAlign w:val="center"/>
            <w:tcBorders>
              <w:top w:val="nil"/>
              <w:left w:val="single" w:sz="4"/>
              <w:bottom w:val="nil"/>
              <w:right w:val="nil"/>
            </w:tcBorders>
          </w:tcPr>
          <w:p>
            <w:pPr>
              <w:pStyle w:val="0"/>
              <w:jc w:val="center"/>
            </w:pPr>
            <w:r>
              <w:rPr>
                <w:sz w:val="20"/>
              </w:rPr>
              <w:t xml:space="preserve">59,5%</w:t>
            </w:r>
          </w:p>
        </w:tc>
        <w:tc>
          <w:tcPr>
            <w:tcW w:w="1247" w:type="dxa"/>
            <w:vAlign w:val="center"/>
            <w:tcBorders>
              <w:top w:val="nil"/>
              <w:left w:val="nil"/>
              <w:bottom w:val="nil"/>
              <w:right w:val="single" w:sz="4"/>
            </w:tcBorders>
          </w:tcPr>
          <w:p>
            <w:pPr>
              <w:pStyle w:val="0"/>
              <w:jc w:val="center"/>
            </w:pPr>
            <w:r>
              <w:rPr>
                <w:sz w:val="20"/>
              </w:rPr>
              <w:t xml:space="preserve">26,9%</w:t>
            </w:r>
          </w:p>
        </w:tc>
      </w:tr>
      <w:tr>
        <w:tc>
          <w:tcPr>
            <w:tcW w:w="907" w:type="dxa"/>
            <w:vAlign w:val="center"/>
            <w:tcBorders>
              <w:top w:val="nil"/>
              <w:left w:val="nil"/>
              <w:bottom w:val="nil"/>
              <w:right w:val="nil"/>
            </w:tcBorders>
          </w:tcPr>
          <w:p>
            <w:pPr>
              <w:pStyle w:val="0"/>
              <w:jc w:val="center"/>
            </w:pPr>
            <w:hyperlink w:history="0" r:id="rId15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50.20</w:t>
              </w:r>
            </w:hyperlink>
          </w:p>
        </w:tc>
        <w:tc>
          <w:tcPr>
            <w:tcW w:w="1927" w:type="dxa"/>
            <w:vAlign w:val="center"/>
            <w:tcBorders>
              <w:top w:val="nil"/>
              <w:left w:val="nil"/>
              <w:bottom w:val="nil"/>
              <w:right w:val="nil"/>
            </w:tcBorders>
          </w:tcPr>
          <w:p>
            <w:pPr>
              <w:pStyle w:val="0"/>
              <w:jc w:val="both"/>
            </w:pPr>
            <w:r>
              <w:rPr>
                <w:sz w:val="20"/>
              </w:rPr>
              <w:t xml:space="preserve">Деятельность морского грузового транспорта</w:t>
            </w:r>
          </w:p>
        </w:tc>
        <w:tc>
          <w:tcPr>
            <w:tcW w:w="1247" w:type="dxa"/>
            <w:vAlign w:val="center"/>
            <w:tcBorders>
              <w:top w:val="nil"/>
              <w:left w:val="nil"/>
              <w:bottom w:val="nil"/>
              <w:right w:val="nil"/>
            </w:tcBorders>
          </w:tcPr>
          <w:p>
            <w:pPr>
              <w:pStyle w:val="0"/>
              <w:jc w:val="center"/>
            </w:pPr>
            <w:r>
              <w:rPr>
                <w:sz w:val="20"/>
              </w:rPr>
              <w:t xml:space="preserve">10,4</w:t>
            </w:r>
          </w:p>
        </w:tc>
        <w:tc>
          <w:tcPr>
            <w:tcW w:w="1247" w:type="dxa"/>
            <w:vAlign w:val="center"/>
            <w:tcBorders>
              <w:top w:val="nil"/>
              <w:left w:val="nil"/>
              <w:bottom w:val="nil"/>
              <w:right w:val="nil"/>
            </w:tcBorders>
          </w:tcPr>
          <w:p>
            <w:pPr>
              <w:pStyle w:val="0"/>
              <w:jc w:val="center"/>
            </w:pPr>
            <w:r>
              <w:rPr>
                <w:sz w:val="20"/>
              </w:rPr>
              <w:t xml:space="preserve">30,7%</w:t>
            </w:r>
          </w:p>
        </w:tc>
        <w:tc>
          <w:tcPr>
            <w:tcW w:w="1247" w:type="dxa"/>
            <w:vAlign w:val="center"/>
            <w:tcBorders>
              <w:top w:val="nil"/>
              <w:left w:val="nil"/>
              <w:bottom w:val="nil"/>
              <w:right w:val="single" w:sz="4"/>
            </w:tcBorders>
          </w:tcPr>
          <w:p>
            <w:pPr>
              <w:pStyle w:val="0"/>
              <w:jc w:val="center"/>
            </w:pPr>
            <w:r>
              <w:rPr>
                <w:sz w:val="20"/>
              </w:rPr>
              <w:t xml:space="preserve">27,5%</w:t>
            </w:r>
          </w:p>
        </w:tc>
        <w:tc>
          <w:tcPr>
            <w:tcW w:w="1247" w:type="dxa"/>
            <w:vAlign w:val="center"/>
            <w:tcBorders>
              <w:top w:val="nil"/>
              <w:left w:val="single" w:sz="4"/>
              <w:bottom w:val="nil"/>
              <w:right w:val="nil"/>
            </w:tcBorders>
          </w:tcPr>
          <w:p>
            <w:pPr>
              <w:pStyle w:val="0"/>
              <w:jc w:val="center"/>
            </w:pPr>
            <w:r>
              <w:rPr>
                <w:sz w:val="20"/>
              </w:rPr>
              <w:t xml:space="preserve">23,9%</w:t>
            </w:r>
          </w:p>
        </w:tc>
        <w:tc>
          <w:tcPr>
            <w:tcW w:w="1247" w:type="dxa"/>
            <w:vAlign w:val="center"/>
            <w:tcBorders>
              <w:top w:val="nil"/>
              <w:left w:val="nil"/>
              <w:bottom w:val="nil"/>
              <w:right w:val="single" w:sz="4"/>
            </w:tcBorders>
          </w:tcPr>
          <w:p>
            <w:pPr>
              <w:pStyle w:val="0"/>
              <w:jc w:val="center"/>
            </w:pPr>
            <w:r>
              <w:rPr>
                <w:sz w:val="20"/>
              </w:rPr>
              <w:t xml:space="preserve">26,3%</w:t>
            </w:r>
          </w:p>
        </w:tc>
      </w:tr>
      <w:tr>
        <w:tc>
          <w:tcPr>
            <w:tcW w:w="907" w:type="dxa"/>
            <w:vAlign w:val="center"/>
            <w:tcBorders>
              <w:top w:val="nil"/>
              <w:left w:val="nil"/>
              <w:bottom w:val="nil"/>
              <w:right w:val="nil"/>
            </w:tcBorders>
          </w:tcPr>
          <w:p>
            <w:pPr>
              <w:pStyle w:val="0"/>
              <w:jc w:val="center"/>
            </w:pPr>
            <w:hyperlink w:history="0" r:id="rId16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03.21</w:t>
              </w:r>
            </w:hyperlink>
          </w:p>
        </w:tc>
        <w:tc>
          <w:tcPr>
            <w:tcW w:w="1927" w:type="dxa"/>
            <w:vAlign w:val="center"/>
            <w:tcBorders>
              <w:top w:val="nil"/>
              <w:left w:val="nil"/>
              <w:bottom w:val="nil"/>
              <w:right w:val="nil"/>
            </w:tcBorders>
          </w:tcPr>
          <w:p>
            <w:pPr>
              <w:pStyle w:val="0"/>
              <w:jc w:val="both"/>
            </w:pPr>
            <w:r>
              <w:rPr>
                <w:sz w:val="20"/>
              </w:rPr>
              <w:t xml:space="preserve">Рыбоводство морское</w:t>
            </w:r>
          </w:p>
        </w:tc>
        <w:tc>
          <w:tcPr>
            <w:tcW w:w="1247" w:type="dxa"/>
            <w:vAlign w:val="center"/>
            <w:tcBorders>
              <w:top w:val="nil"/>
              <w:left w:val="nil"/>
              <w:bottom w:val="nil"/>
              <w:right w:val="nil"/>
            </w:tcBorders>
          </w:tcPr>
          <w:p>
            <w:pPr>
              <w:pStyle w:val="0"/>
              <w:jc w:val="center"/>
            </w:pPr>
            <w:r>
              <w:rPr>
                <w:sz w:val="20"/>
              </w:rPr>
              <w:t xml:space="preserve">5,1</w:t>
            </w:r>
          </w:p>
        </w:tc>
        <w:tc>
          <w:tcPr>
            <w:tcW w:w="1247" w:type="dxa"/>
            <w:vAlign w:val="center"/>
            <w:tcBorders>
              <w:top w:val="nil"/>
              <w:left w:val="nil"/>
              <w:bottom w:val="nil"/>
              <w:right w:val="nil"/>
            </w:tcBorders>
          </w:tcPr>
          <w:p>
            <w:pPr>
              <w:pStyle w:val="0"/>
              <w:jc w:val="center"/>
            </w:pPr>
            <w:r>
              <w:rPr>
                <w:sz w:val="20"/>
              </w:rPr>
              <w:t xml:space="preserve">50,6%</w:t>
            </w:r>
          </w:p>
        </w:tc>
        <w:tc>
          <w:tcPr>
            <w:tcW w:w="1247" w:type="dxa"/>
            <w:vAlign w:val="center"/>
            <w:tcBorders>
              <w:top w:val="nil"/>
              <w:left w:val="nil"/>
              <w:bottom w:val="nil"/>
              <w:right w:val="single" w:sz="4"/>
            </w:tcBorders>
          </w:tcPr>
          <w:p>
            <w:pPr>
              <w:pStyle w:val="0"/>
              <w:jc w:val="center"/>
            </w:pPr>
            <w:r>
              <w:rPr>
                <w:sz w:val="20"/>
              </w:rPr>
              <w:t xml:space="preserve">47,4%</w:t>
            </w:r>
          </w:p>
        </w:tc>
        <w:tc>
          <w:tcPr>
            <w:tcW w:w="1247" w:type="dxa"/>
            <w:vAlign w:val="center"/>
            <w:tcBorders>
              <w:top w:val="nil"/>
              <w:left w:val="single" w:sz="4"/>
              <w:bottom w:val="nil"/>
              <w:right w:val="nil"/>
            </w:tcBorders>
          </w:tcPr>
          <w:p>
            <w:pPr>
              <w:pStyle w:val="0"/>
              <w:jc w:val="center"/>
            </w:pPr>
            <w:r>
              <w:rPr>
                <w:sz w:val="20"/>
              </w:rPr>
              <w:t xml:space="preserve">44,9%</w:t>
            </w:r>
          </w:p>
        </w:tc>
        <w:tc>
          <w:tcPr>
            <w:tcW w:w="1247" w:type="dxa"/>
            <w:vAlign w:val="center"/>
            <w:tcBorders>
              <w:top w:val="nil"/>
              <w:left w:val="nil"/>
              <w:bottom w:val="nil"/>
              <w:right w:val="single" w:sz="4"/>
            </w:tcBorders>
          </w:tcPr>
          <w:p>
            <w:pPr>
              <w:pStyle w:val="0"/>
              <w:jc w:val="center"/>
            </w:pPr>
            <w:r>
              <w:rPr>
                <w:sz w:val="20"/>
              </w:rPr>
              <w:t xml:space="preserve">45,7%</w:t>
            </w:r>
          </w:p>
        </w:tc>
      </w:tr>
      <w:tr>
        <w:tc>
          <w:tcPr>
            <w:tcW w:w="907" w:type="dxa"/>
            <w:vAlign w:val="center"/>
            <w:tcBorders>
              <w:top w:val="nil"/>
              <w:left w:val="nil"/>
              <w:bottom w:val="single" w:sz="4"/>
              <w:right w:val="nil"/>
            </w:tcBorders>
          </w:tcPr>
          <w:p>
            <w:pPr>
              <w:pStyle w:val="0"/>
              <w:jc w:val="center"/>
            </w:pPr>
            <w:hyperlink w:history="0" r:id="rId16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33.12</w:t>
              </w:r>
            </w:hyperlink>
          </w:p>
        </w:tc>
        <w:tc>
          <w:tcPr>
            <w:tcW w:w="1927" w:type="dxa"/>
            <w:vAlign w:val="center"/>
            <w:tcBorders>
              <w:top w:val="nil"/>
              <w:left w:val="nil"/>
              <w:bottom w:val="single" w:sz="4"/>
              <w:right w:val="nil"/>
            </w:tcBorders>
          </w:tcPr>
          <w:p>
            <w:pPr>
              <w:pStyle w:val="0"/>
              <w:jc w:val="both"/>
            </w:pPr>
            <w:r>
              <w:rPr>
                <w:sz w:val="20"/>
              </w:rPr>
              <w:t xml:space="preserve">Ремонт машин и оборудования</w:t>
            </w:r>
          </w:p>
        </w:tc>
        <w:tc>
          <w:tcPr>
            <w:tcW w:w="1247" w:type="dxa"/>
            <w:vAlign w:val="center"/>
            <w:tcBorders>
              <w:top w:val="nil"/>
              <w:left w:val="nil"/>
              <w:bottom w:val="single" w:sz="4"/>
              <w:right w:val="nil"/>
            </w:tcBorders>
          </w:tcPr>
          <w:p>
            <w:pPr>
              <w:pStyle w:val="0"/>
              <w:jc w:val="center"/>
            </w:pPr>
            <w:r>
              <w:rPr>
                <w:sz w:val="20"/>
              </w:rPr>
              <w:t xml:space="preserve">4,8</w:t>
            </w:r>
          </w:p>
        </w:tc>
        <w:tc>
          <w:tcPr>
            <w:tcW w:w="1247" w:type="dxa"/>
            <w:vAlign w:val="center"/>
            <w:tcBorders>
              <w:top w:val="nil"/>
              <w:left w:val="nil"/>
              <w:bottom w:val="single" w:sz="4"/>
              <w:right w:val="nil"/>
            </w:tcBorders>
          </w:tcPr>
          <w:p>
            <w:pPr>
              <w:pStyle w:val="0"/>
              <w:jc w:val="center"/>
            </w:pPr>
            <w:r>
              <w:rPr>
                <w:sz w:val="20"/>
              </w:rPr>
              <w:t xml:space="preserve">19,0%</w:t>
            </w:r>
          </w:p>
        </w:tc>
        <w:tc>
          <w:tcPr>
            <w:tcW w:w="1247" w:type="dxa"/>
            <w:vAlign w:val="center"/>
            <w:tcBorders>
              <w:top w:val="nil"/>
              <w:left w:val="nil"/>
              <w:bottom w:val="single" w:sz="4"/>
              <w:right w:val="single" w:sz="4"/>
            </w:tcBorders>
          </w:tcPr>
          <w:p>
            <w:pPr>
              <w:pStyle w:val="0"/>
              <w:jc w:val="center"/>
            </w:pPr>
            <w:r>
              <w:rPr>
                <w:sz w:val="20"/>
              </w:rPr>
              <w:t xml:space="preserve">40,0%</w:t>
            </w:r>
          </w:p>
        </w:tc>
        <w:tc>
          <w:tcPr>
            <w:tcW w:w="1247" w:type="dxa"/>
            <w:vAlign w:val="center"/>
            <w:tcBorders>
              <w:top w:val="nil"/>
              <w:left w:val="single" w:sz="4"/>
              <w:bottom w:val="single" w:sz="4"/>
              <w:right w:val="nil"/>
            </w:tcBorders>
          </w:tcPr>
          <w:p>
            <w:pPr>
              <w:pStyle w:val="0"/>
              <w:jc w:val="center"/>
            </w:pPr>
            <w:r>
              <w:rPr>
                <w:sz w:val="20"/>
              </w:rPr>
              <w:t xml:space="preserve">18,5%</w:t>
            </w:r>
          </w:p>
        </w:tc>
        <w:tc>
          <w:tcPr>
            <w:tcW w:w="1247" w:type="dxa"/>
            <w:vAlign w:val="center"/>
            <w:tcBorders>
              <w:top w:val="nil"/>
              <w:left w:val="nil"/>
              <w:bottom w:val="single" w:sz="4"/>
              <w:right w:val="single" w:sz="4"/>
            </w:tcBorders>
          </w:tcPr>
          <w:p>
            <w:pPr>
              <w:pStyle w:val="0"/>
              <w:jc w:val="center"/>
            </w:pPr>
            <w:r>
              <w:rPr>
                <w:sz w:val="20"/>
              </w:rPr>
              <w:t xml:space="preserve">40,6%</w:t>
            </w:r>
          </w:p>
        </w:tc>
      </w:tr>
    </w:tbl>
    <w:p>
      <w:pPr>
        <w:pStyle w:val="0"/>
        <w:jc w:val="both"/>
      </w:pPr>
      <w:r>
        <w:rPr>
          <w:sz w:val="20"/>
        </w:rPr>
      </w:r>
    </w:p>
    <w:p>
      <w:pPr>
        <w:pStyle w:val="0"/>
        <w:ind w:firstLine="540"/>
        <w:jc w:val="both"/>
      </w:pPr>
      <w:r>
        <w:rPr>
          <w:sz w:val="20"/>
        </w:rPr>
        <w:t xml:space="preserve">--------------------------------</w:t>
      </w:r>
    </w:p>
    <w:bookmarkStart w:id="5152" w:name="P5152"/>
    <w:bookmarkEnd w:id="5152"/>
    <w:p>
      <w:pPr>
        <w:pStyle w:val="0"/>
        <w:spacing w:before="200" w:line-rule="auto"/>
        <w:ind w:firstLine="540"/>
        <w:jc w:val="both"/>
      </w:pPr>
      <w:r>
        <w:rPr>
          <w:sz w:val="20"/>
        </w:rPr>
        <w:t xml:space="preserve">&lt;*&gt; сумма средних значений выручки в рамках отрасли по всем резидентам за период анализа</w:t>
      </w:r>
    </w:p>
    <w:bookmarkStart w:id="5153" w:name="P5153"/>
    <w:bookmarkEnd w:id="5153"/>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5154" w:name="P5154"/>
    <w:bookmarkEnd w:id="5154"/>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Также отмечаем, что на основе результатов анализа эффективности ИНЛ Минфином России подготовлены предложения по внесению изменений в Налоговый </w:t>
      </w:r>
      <w:hyperlink w:history="0" r:id="rId162"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кодекс</w:t>
        </w:r>
      </w:hyperlink>
      <w:r>
        <w:rPr>
          <w:sz w:val="20"/>
        </w:rPr>
        <w:t xml:space="preserve"> Российской Федерации, направленные на совершенствование налогового регулирования режима АЗРФ (более подробно см. "</w:t>
      </w:r>
      <w:hyperlink w:history="0" w:anchor="P4168" w:tooltip="Результаты анализа эффективности ИНЛ">
        <w:r>
          <w:rPr>
            <w:sz w:val="20"/>
            <w:color w:val="0000ff"/>
          </w:rPr>
          <w:t xml:space="preserve">Результаты анализа</w:t>
        </w:r>
      </w:hyperlink>
      <w:r>
        <w:rPr>
          <w:sz w:val="20"/>
        </w:rPr>
        <w:t xml:space="preserve"> эффективности ИНЛ").</w:t>
      </w:r>
    </w:p>
    <w:p>
      <w:pPr>
        <w:pStyle w:val="0"/>
        <w:spacing w:before="200" w:line-rule="auto"/>
        <w:ind w:firstLine="540"/>
        <w:jc w:val="both"/>
      </w:pPr>
      <w:r>
        <w:rPr>
          <w:sz w:val="20"/>
        </w:rPr>
        <w:t xml:space="preserve">Дополнительно отмечаем, что:</w:t>
      </w:r>
    </w:p>
    <w:p>
      <w:pPr>
        <w:pStyle w:val="0"/>
        <w:spacing w:before="200" w:line-rule="auto"/>
        <w:ind w:firstLine="540"/>
        <w:jc w:val="both"/>
      </w:pPr>
      <w:r>
        <w:rPr>
          <w:sz w:val="20"/>
        </w:rPr>
        <w:t xml:space="preserve">- отсутствует система ответственности (в том числе финансовой) субъектов Российской Федерации и управляющей компании за недостижение показателей, ранее установленных в заключенных соглашениях,</w:t>
      </w:r>
    </w:p>
    <w:p>
      <w:pPr>
        <w:pStyle w:val="0"/>
        <w:spacing w:before="200" w:line-rule="auto"/>
        <w:ind w:firstLine="540"/>
        <w:jc w:val="both"/>
      </w:pPr>
      <w:r>
        <w:rPr>
          <w:sz w:val="20"/>
        </w:rPr>
        <w:t xml:space="preserve">- происходит неэффективное использование средств федерального бюджета ввиду строительства невостребованных объектов инфраструктуры, а также возникают риски для федерального бюджета в части предоставления налоговых льгот для проектов, вероятность успешной реализации которых низкая.</w:t>
      </w:r>
    </w:p>
    <w:p>
      <w:pPr>
        <w:pStyle w:val="0"/>
        <w:jc w:val="both"/>
      </w:pPr>
      <w:r>
        <w:rPr>
          <w:sz w:val="20"/>
        </w:rPr>
      </w:r>
    </w:p>
    <w:p>
      <w:pPr>
        <w:pStyle w:val="2"/>
        <w:outlineLvl w:val="1"/>
        <w:ind w:firstLine="540"/>
        <w:jc w:val="both"/>
      </w:pPr>
      <w:r>
        <w:rPr>
          <w:sz w:val="20"/>
        </w:rPr>
        <w:t xml:space="preserve">Инвестиционный налоговый вычет (ИНВ)</w:t>
      </w:r>
    </w:p>
    <w:p>
      <w:pPr>
        <w:pStyle w:val="0"/>
        <w:jc w:val="both"/>
      </w:pPr>
      <w:r>
        <w:rPr>
          <w:sz w:val="20"/>
        </w:rPr>
      </w:r>
    </w:p>
    <w:p>
      <w:pPr>
        <w:pStyle w:val="0"/>
        <w:ind w:firstLine="540"/>
        <w:jc w:val="both"/>
      </w:pPr>
      <w:r>
        <w:rPr>
          <w:sz w:val="20"/>
        </w:rPr>
        <w:t xml:space="preserve">Таблица 23. Краткая информация по режиму</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7"/>
        <w:gridCol w:w="340"/>
        <w:gridCol w:w="5952"/>
      </w:tblGrid>
      <w:tr>
        <w:tblPrEx>
          <w:tblBorders>
            <w:insideH w:val="single" w:sz="4"/>
          </w:tblBorders>
        </w:tblPrEx>
        <w:tc>
          <w:tcPr>
            <w:tcW w:w="2777" w:type="dxa"/>
            <w:tcBorders>
              <w:top w:val="single" w:sz="4"/>
              <w:left w:val="nil"/>
              <w:bottom w:val="single" w:sz="4"/>
              <w:right w:val="nil"/>
            </w:tcBorders>
          </w:tcPr>
          <w:p>
            <w:pPr>
              <w:pStyle w:val="0"/>
              <w:jc w:val="center"/>
            </w:pPr>
            <w:r>
              <w:rPr>
                <w:sz w:val="20"/>
              </w:rPr>
              <w:t xml:space="preserve">Показатель</w:t>
            </w:r>
          </w:p>
        </w:tc>
        <w:tc>
          <w:tcPr>
            <w:gridSpan w:val="2"/>
            <w:tcW w:w="6292" w:type="dxa"/>
            <w:tcBorders>
              <w:top w:val="single" w:sz="4"/>
              <w:left w:val="nil"/>
              <w:bottom w:val="single" w:sz="4"/>
              <w:right w:val="nil"/>
            </w:tcBorders>
          </w:tcPr>
          <w:p>
            <w:pPr>
              <w:pStyle w:val="0"/>
              <w:jc w:val="center"/>
            </w:pPr>
            <w:r>
              <w:rPr>
                <w:sz w:val="20"/>
              </w:rPr>
              <w:t xml:space="preserve">Описание</w:t>
            </w:r>
          </w:p>
        </w:tc>
      </w:tr>
      <w:tr>
        <w:tc>
          <w:tcPr>
            <w:tcW w:w="2777" w:type="dxa"/>
            <w:vAlign w:val="center"/>
            <w:tcBorders>
              <w:top w:val="single" w:sz="4"/>
              <w:left w:val="nil"/>
              <w:bottom w:val="nil"/>
              <w:right w:val="nil"/>
            </w:tcBorders>
          </w:tcPr>
          <w:p>
            <w:pPr>
              <w:pStyle w:val="0"/>
            </w:pPr>
            <w:r>
              <w:rPr>
                <w:sz w:val="20"/>
              </w:rPr>
              <w:t xml:space="preserve">Срок действия режима</w:t>
            </w:r>
          </w:p>
        </w:tc>
        <w:tc>
          <w:tcPr>
            <w:gridSpan w:val="2"/>
            <w:tcW w:w="6292" w:type="dxa"/>
            <w:tcBorders>
              <w:top w:val="single" w:sz="4"/>
              <w:left w:val="nil"/>
              <w:bottom w:val="nil"/>
              <w:right w:val="nil"/>
            </w:tcBorders>
          </w:tcPr>
          <w:p>
            <w:pPr>
              <w:pStyle w:val="0"/>
              <w:jc w:val="both"/>
            </w:pPr>
            <w:r>
              <w:rPr>
                <w:sz w:val="20"/>
              </w:rPr>
              <w:t xml:space="preserve">С 01.01.2018 до 31.12.2027, если законом субъекта РФ не установлен иной срок.</w:t>
            </w:r>
          </w:p>
        </w:tc>
      </w:tr>
      <w:tr>
        <w:tc>
          <w:tcPr>
            <w:tcW w:w="2777" w:type="dxa"/>
            <w:vAlign w:val="center"/>
            <w:tcBorders>
              <w:top w:val="nil"/>
              <w:left w:val="nil"/>
              <w:bottom w:val="nil"/>
              <w:right w:val="nil"/>
            </w:tcBorders>
          </w:tcPr>
          <w:p>
            <w:pPr>
              <w:pStyle w:val="0"/>
            </w:pPr>
            <w:r>
              <w:rPr>
                <w:sz w:val="20"/>
              </w:rPr>
              <w:t xml:space="preserve">Налоговые льготы режима</w:t>
            </w:r>
          </w:p>
        </w:tc>
        <w:tc>
          <w:tcPr>
            <w:tcW w:w="340" w:type="dxa"/>
            <w:tcBorders>
              <w:top w:val="nil"/>
              <w:left w:val="nil"/>
              <w:bottom w:val="nil"/>
              <w:right w:val="nil"/>
            </w:tcBorders>
          </w:tcPr>
          <w:p>
            <w:pPr>
              <w:pStyle w:val="0"/>
            </w:pPr>
            <w:r>
              <w:rPr>
                <w:sz w:val="20"/>
              </w:rPr>
              <w:t xml:space="preserve">-</w:t>
            </w:r>
          </w:p>
        </w:tc>
        <w:tc>
          <w:tcPr>
            <w:tcW w:w="5952" w:type="dxa"/>
            <w:tcBorders>
              <w:top w:val="nil"/>
              <w:left w:val="nil"/>
              <w:bottom w:val="nil"/>
              <w:right w:val="nil"/>
            </w:tcBorders>
          </w:tcPr>
          <w:p>
            <w:pPr>
              <w:pStyle w:val="0"/>
              <w:jc w:val="both"/>
            </w:pPr>
            <w:r>
              <w:rPr>
                <w:sz w:val="20"/>
              </w:rPr>
              <w:t xml:space="preserve">право уменьшить исчисленный налог на прибыль (в ФБ и РБ) на сумму расходов на приобретение объектов основных средств (ОС), а также затрат на достройку, дооборудование, реконструкцию, модернизацию и техническое перевооружение объектов ОС. Условия и сроки зависят от закона субъекта РФ.</w:t>
            </w:r>
          </w:p>
        </w:tc>
      </w:tr>
      <w:tr>
        <w:tc>
          <w:tcPr>
            <w:tcW w:w="2777" w:type="dxa"/>
            <w:vAlign w:val="center"/>
            <w:tcBorders>
              <w:top w:val="nil"/>
              <w:left w:val="nil"/>
              <w:bottom w:val="nil"/>
              <w:right w:val="nil"/>
            </w:tcBorders>
          </w:tcPr>
          <w:p>
            <w:pPr>
              <w:pStyle w:val="0"/>
              <w:jc w:val="both"/>
            </w:pPr>
            <w:r>
              <w:rPr>
                <w:sz w:val="20"/>
              </w:rPr>
              <w:t xml:space="preserve">Количество отраслей в режиме</w:t>
            </w:r>
          </w:p>
        </w:tc>
        <w:tc>
          <w:tcPr>
            <w:gridSpan w:val="2"/>
            <w:tcW w:w="6292" w:type="dxa"/>
            <w:vAlign w:val="center"/>
            <w:tcBorders>
              <w:top w:val="nil"/>
              <w:left w:val="nil"/>
              <w:bottom w:val="nil"/>
              <w:right w:val="nil"/>
            </w:tcBorders>
          </w:tcPr>
          <w:p>
            <w:pPr>
              <w:pStyle w:val="0"/>
            </w:pPr>
            <w:r>
              <w:rPr>
                <w:sz w:val="20"/>
              </w:rPr>
              <w:t xml:space="preserve">206</w:t>
            </w:r>
          </w:p>
        </w:tc>
      </w:tr>
      <w:tr>
        <w:tc>
          <w:tcPr>
            <w:tcW w:w="2777" w:type="dxa"/>
            <w:vAlign w:val="center"/>
            <w:tcBorders>
              <w:top w:val="nil"/>
              <w:left w:val="nil"/>
              <w:bottom w:val="single" w:sz="4"/>
              <w:right w:val="nil"/>
            </w:tcBorders>
          </w:tcPr>
          <w:p>
            <w:pPr>
              <w:pStyle w:val="0"/>
            </w:pPr>
            <w:r>
              <w:rPr>
                <w:sz w:val="20"/>
              </w:rPr>
              <w:t xml:space="preserve">Наличие обязательств</w:t>
            </w:r>
          </w:p>
        </w:tc>
        <w:tc>
          <w:tcPr>
            <w:gridSpan w:val="2"/>
            <w:tcW w:w="6292" w:type="dxa"/>
            <w:vAlign w:val="center"/>
            <w:tcBorders>
              <w:top w:val="nil"/>
              <w:left w:val="nil"/>
              <w:bottom w:val="single" w:sz="4"/>
              <w:right w:val="nil"/>
            </w:tcBorders>
          </w:tcPr>
          <w:p>
            <w:pPr>
              <w:pStyle w:val="0"/>
            </w:pPr>
            <w:r>
              <w:rPr>
                <w:sz w:val="20"/>
              </w:rPr>
              <w:t xml:space="preserve">Нет</w:t>
            </w:r>
          </w:p>
        </w:tc>
      </w:tr>
    </w:tbl>
    <w:p>
      <w:pPr>
        <w:pStyle w:val="0"/>
        <w:jc w:val="both"/>
      </w:pPr>
      <w:r>
        <w:rPr>
          <w:sz w:val="20"/>
        </w:rPr>
      </w:r>
    </w:p>
    <w:p>
      <w:pPr>
        <w:pStyle w:val="0"/>
        <w:ind w:firstLine="540"/>
        <w:jc w:val="both"/>
      </w:pPr>
      <w:r>
        <w:rPr>
          <w:sz w:val="20"/>
        </w:rPr>
        <w:t xml:space="preserve">За период анализа (2019 - 2022 годы) общее количество пользователей &lt;26&gt; ИНВ составило 480, из которых в периметр анализа на базе АС "Эффективность льгот" вошли 463 &lt;27&gt; пользователя.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Количество пользователей с учетом всех налогоплательщиков, в том числе применяющих упрощенную систему налогообложения, единый сельскохозяйственный налог и др.</w:t>
      </w:r>
    </w:p>
    <w:p>
      <w:pPr>
        <w:pStyle w:val="0"/>
        <w:spacing w:before="200" w:line-rule="auto"/>
        <w:ind w:firstLine="540"/>
        <w:jc w:val="both"/>
      </w:pPr>
      <w:r>
        <w:rPr>
          <w:sz w:val="20"/>
        </w:rPr>
        <w:t xml:space="preserve">&lt;27&gt; Прочие пользователи не вошли в анализ по причине отсутствия налоговых деклараций или бухгалтерской отчетности (11 пользователей), или нулевого значения показателя выручки (6 пользователей).</w:t>
      </w:r>
    </w:p>
    <w:p>
      <w:pPr>
        <w:pStyle w:val="0"/>
        <w:jc w:val="both"/>
      </w:pPr>
      <w:r>
        <w:rPr>
          <w:sz w:val="20"/>
        </w:rPr>
      </w:r>
    </w:p>
    <w:p>
      <w:pPr>
        <w:pStyle w:val="0"/>
        <w:jc w:val="center"/>
      </w:pPr>
      <w:r>
        <w:rPr>
          <w:position w:val="-104"/>
        </w:rPr>
        <w:drawing>
          <wp:inline distT="0" distB="0" distL="0" distR="0">
            <wp:extent cx="5069205" cy="1450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5069205" cy="1450340"/>
                    </a:xfrm>
                    <a:prstGeom prst="rect">
                      <a:avLst/>
                    </a:prstGeom>
                    <a:noFill/>
                    <a:ln>
                      <a:noFill/>
                    </a:ln>
                  </pic:spPr>
                </pic:pic>
              </a:graphicData>
            </a:graphic>
          </wp:inline>
        </w:drawing>
      </w:r>
    </w:p>
    <w:p>
      <w:pPr>
        <w:pStyle w:val="0"/>
        <w:jc w:val="both"/>
      </w:pPr>
      <w:r>
        <w:rPr>
          <w:sz w:val="20"/>
        </w:rPr>
      </w:r>
    </w:p>
    <w:p>
      <w:pPr>
        <w:pStyle w:val="0"/>
        <w:jc w:val="center"/>
      </w:pPr>
      <w:r>
        <w:rPr>
          <w:position w:val="-116"/>
        </w:rPr>
        <w:drawing>
          <wp:inline distT="0" distB="0" distL="0" distR="0">
            <wp:extent cx="5069205" cy="160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5069205" cy="16052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выручки пользователей ИНВ, вошедших в периметр анализа, с 2019 года по 2022 год вырос в 1,4 раза, количество пользователей сохранилось на прежнем уровне (порядка 430 ед.), величина капитальных вложений выросла в 1,3 раза, численность сотрудников - в 1,1 раза. При этом в 2022 году несмотря на снижение числа пользователей и сокращение совокупного объема капитальных вложений на 3,5% по сравнению с 2021 годом, численность сотрудников за аналогичный период увеличилась на 2,3%.</w:t>
      </w:r>
    </w:p>
    <w:p>
      <w:pPr>
        <w:pStyle w:val="0"/>
        <w:spacing w:before="200" w:line-rule="auto"/>
        <w:ind w:firstLine="540"/>
        <w:jc w:val="both"/>
      </w:pPr>
      <w:r>
        <w:rPr>
          <w:sz w:val="20"/>
        </w:rPr>
        <w:t xml:space="preserve">С 2019 года по 2022 год общая величина выпадающих доходов бюджетов бюджетной системы Российской Федерации (по пользователям ИНЛ, вошедшим в периметр анализа) увеличилась с 1 млрд руб. до 60 млрд руб. (в 58,7 раза), в том числе с 1 млрд руб. до 59 млрд руб. (в 59,4 раза) по налоговым льготам и с 0,03 млрд руб. до 0,7 млрд руб. по неналоговым мерам поддержки (в 27,6 раз). Таким образом, за 2022 год доля налоговых льгот и неналоговых мер поддержки в общей величине выпадающих доходов бюджетов бюджетной системы Российской Федерации для пользователей данной ИНЛ, вошедших в периметр анализа, составляла 98,8% и 1,2% соответственно.</w:t>
      </w:r>
    </w:p>
    <w:p>
      <w:pPr>
        <w:pStyle w:val="0"/>
        <w:spacing w:before="200" w:line-rule="auto"/>
        <w:ind w:firstLine="540"/>
        <w:jc w:val="both"/>
      </w:pPr>
      <w:r>
        <w:rPr>
          <w:sz w:val="20"/>
        </w:rPr>
        <w:t xml:space="preserve">В ТОП-3 отраслей по объему выручки за период анализа вошли отрасли по добыче нефти и нефтяного (попутного) газа (23,3%), деятельность в области связи на базе беспроводных технологий (10,5%), а также производство какао, шоколада и сахаристых кондитерских изделий (5,7%).</w:t>
      </w:r>
    </w:p>
    <w:p>
      <w:pPr>
        <w:pStyle w:val="0"/>
        <w:spacing w:before="200" w:line-rule="auto"/>
        <w:ind w:firstLine="540"/>
        <w:jc w:val="both"/>
      </w:pPr>
      <w:r>
        <w:rPr>
          <w:sz w:val="20"/>
        </w:rPr>
        <w:t xml:space="preserve">По результатам анализа доля выручки "красных" налогоплательщиков, у которых применение предусмотренных режимом налоговых льгот и неналоговых мер поддержки формирует сверхдоходность, в общей величине выручки по режиму выросла по сравнению с анализом за прошлый год с 33,1% до 36,6%. При дальнейшей отраслевой дифференциации выявлены отрасли (всего 60 </w:t>
      </w:r>
      <w:hyperlink w:history="0" r:id="rId165"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r>
        <w:rPr>
          <w:sz w:val="20"/>
        </w:rPr>
        <w:t xml:space="preserve">) с наиболее прибыльными компаниями, применяющими режим.</w:t>
      </w:r>
    </w:p>
    <w:p>
      <w:pPr>
        <w:pStyle w:val="0"/>
        <w:jc w:val="both"/>
      </w:pPr>
      <w:r>
        <w:rPr>
          <w:sz w:val="20"/>
        </w:rPr>
      </w:r>
    </w:p>
    <w:p>
      <w:pPr>
        <w:pStyle w:val="0"/>
        <w:ind w:firstLine="540"/>
        <w:jc w:val="both"/>
      </w:pPr>
      <w:r>
        <w:rPr>
          <w:sz w:val="20"/>
        </w:rPr>
        <w:t xml:space="preserve">Таблица 24. ТОП-5 по выручке отраслей, в которых выявлена сверхдоходность или низкая инвестиционная активность</w:t>
      </w:r>
    </w:p>
    <w:p>
      <w:pPr>
        <w:pStyle w:val="0"/>
        <w:jc w:val="both"/>
      </w:pPr>
      <w:r>
        <w:rPr>
          <w:sz w:val="20"/>
        </w:rPr>
      </w:r>
    </w:p>
    <w:tbl>
      <w:tblPr>
        <w:tblInd w:w="0" w:type="dxa"/>
        <w:tblLayout w:type="fixed"/>
        <w:tblBorders>
          <w:top w:val="single" w:sz="4"/>
          <w:bottom w:val="single" w:sz="4"/>
          <w:right w:val="single" w:sz="4"/>
        </w:tblBorders>
        <w:tblCellMar>
          <w:top w:w="102" w:type="dxa"/>
          <w:left w:w="62" w:type="dxa"/>
          <w:bottom w:w="102" w:type="dxa"/>
          <w:right w:w="62" w:type="dxa"/>
        </w:tblCellMar>
      </w:tblPr>
      <w:tblGrid>
        <w:gridCol w:w="907"/>
        <w:gridCol w:w="1927"/>
        <w:gridCol w:w="1247"/>
        <w:gridCol w:w="1247"/>
        <w:gridCol w:w="1247"/>
        <w:gridCol w:w="1247"/>
        <w:gridCol w:w="1247"/>
      </w:tblGrid>
      <w:tr>
        <w:tblPrEx>
          <w:tblBorders>
            <w:insideH w:val="single" w:sz="4"/>
          </w:tblBorders>
        </w:tblPrEx>
        <w:tc>
          <w:tcPr>
            <w:tcW w:w="907" w:type="dxa"/>
            <w:tcBorders>
              <w:top w:val="single" w:sz="4"/>
              <w:left w:val="nil"/>
              <w:bottom w:val="single" w:sz="4"/>
              <w:right w:val="nil"/>
            </w:tcBorders>
          </w:tcPr>
          <w:p>
            <w:pPr>
              <w:pStyle w:val="0"/>
              <w:jc w:val="center"/>
            </w:pPr>
            <w:hyperlink w:history="0" r:id="rId166"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ОКВЭД</w:t>
              </w:r>
            </w:hyperlink>
          </w:p>
        </w:tc>
        <w:tc>
          <w:tcPr>
            <w:tcW w:w="1927" w:type="dxa"/>
            <w:tcBorders>
              <w:top w:val="single" w:sz="4"/>
              <w:left w:val="nil"/>
              <w:bottom w:val="single" w:sz="4"/>
              <w:right w:val="nil"/>
            </w:tcBorders>
          </w:tcPr>
          <w:p>
            <w:pPr>
              <w:pStyle w:val="0"/>
              <w:jc w:val="center"/>
            </w:pPr>
            <w:r>
              <w:rPr>
                <w:sz w:val="20"/>
              </w:rPr>
              <w:t xml:space="preserve">Наименование отрасли</w:t>
            </w:r>
          </w:p>
        </w:tc>
        <w:tc>
          <w:tcPr>
            <w:tcW w:w="1247" w:type="dxa"/>
            <w:tcBorders>
              <w:top w:val="single" w:sz="4"/>
              <w:left w:val="nil"/>
              <w:bottom w:val="single" w:sz="4"/>
              <w:right w:val="nil"/>
            </w:tcBorders>
          </w:tcPr>
          <w:p>
            <w:pPr>
              <w:pStyle w:val="0"/>
              <w:jc w:val="center"/>
            </w:pPr>
            <w:r>
              <w:rPr>
                <w:sz w:val="20"/>
              </w:rPr>
              <w:t xml:space="preserve">Выручка по отрасли </w:t>
            </w:r>
            <w:hyperlink w:history="0" w:anchor="P5237" w:tooltip="&lt;*&gt; сумма средних значений выручки в рамках отрасли по всем пользователям за период анализа">
              <w:r>
                <w:rPr>
                  <w:sz w:val="20"/>
                  <w:color w:val="0000ff"/>
                </w:rPr>
                <w:t xml:space="preserve">&lt;*&gt;</w:t>
              </w:r>
            </w:hyperlink>
            <w:r>
              <w:rPr>
                <w:sz w:val="20"/>
              </w:rPr>
              <w:t xml:space="preserve"> млрд </w:t>
            </w:r>
            <w:r>
              <w:rPr>
                <w:position w:val="-6"/>
              </w:rPr>
              <w:drawing>
                <wp:inline distT="0" distB="0" distL="0" distR="0">
                  <wp:extent cx="143510" cy="21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 cy="215265"/>
                          </a:xfrm>
                          <a:prstGeom prst="rect">
                            <a:avLst/>
                          </a:prstGeom>
                          <a:noFill/>
                          <a:ln>
                            <a:noFill/>
                          </a:ln>
                        </pic:spPr>
                      </pic:pic>
                    </a:graphicData>
                  </a:graphic>
                </wp:inline>
              </w:drawing>
            </w:r>
          </w:p>
        </w:tc>
        <w:tc>
          <w:tcPr>
            <w:tcW w:w="1247" w:type="dxa"/>
            <w:tcBorders>
              <w:top w:val="single" w:sz="4"/>
              <w:left w:val="nil"/>
              <w:bottom w:val="single" w:sz="4"/>
              <w:right w:val="nil"/>
            </w:tcBorders>
          </w:tcPr>
          <w:p>
            <w:pPr>
              <w:pStyle w:val="0"/>
              <w:jc w:val="center"/>
            </w:pPr>
            <w:r>
              <w:rPr>
                <w:sz w:val="20"/>
              </w:rPr>
              <w:t xml:space="preserve">Операционная рентабельность за последний год </w:t>
            </w:r>
            <w:hyperlink w:history="0" w:anchor="P5238" w:tooltip="&lt;**&gt; средневзвешенная по выручке на основе имеющихся данных за последний год периода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последний год</w:t>
            </w:r>
          </w:p>
        </w:tc>
        <w:tc>
          <w:tcPr>
            <w:tcW w:w="1247" w:type="dxa"/>
            <w:tcBorders>
              <w:top w:val="single" w:sz="4"/>
              <w:left w:val="single" w:sz="4"/>
              <w:bottom w:val="single" w:sz="4"/>
              <w:right w:val="nil"/>
            </w:tcBorders>
          </w:tcPr>
          <w:p>
            <w:pPr>
              <w:pStyle w:val="0"/>
              <w:jc w:val="center"/>
            </w:pPr>
            <w:r>
              <w:rPr>
                <w:sz w:val="20"/>
              </w:rPr>
              <w:t xml:space="preserve">Операционная рентабельность за период </w:t>
            </w:r>
            <w:hyperlink w:history="0" w:anchor="P5239" w:tooltip="&lt;***&gt; средневзвешенная по выручке на основе данных за весь период анализа">
              <w:r>
                <w:rPr>
                  <w:sz w:val="20"/>
                  <w:color w:val="0000ff"/>
                </w:rPr>
                <w:t xml:space="preserve">&lt;***&gt;</w:t>
              </w:r>
            </w:hyperlink>
          </w:p>
        </w:tc>
        <w:tc>
          <w:tcPr>
            <w:tcW w:w="1247" w:type="dxa"/>
            <w:tcBorders>
              <w:top w:val="single" w:sz="4"/>
              <w:left w:val="nil"/>
              <w:bottom w:val="single" w:sz="4"/>
              <w:right w:val="single" w:sz="4"/>
            </w:tcBorders>
          </w:tcPr>
          <w:p>
            <w:pPr>
              <w:pStyle w:val="0"/>
              <w:jc w:val="center"/>
            </w:pPr>
            <w:r>
              <w:rPr>
                <w:sz w:val="20"/>
              </w:rPr>
              <w:t xml:space="preserve">Доходность активов за период</w:t>
            </w:r>
          </w:p>
        </w:tc>
      </w:tr>
      <w:tr>
        <w:tc>
          <w:tcPr>
            <w:tcW w:w="907" w:type="dxa"/>
            <w:vAlign w:val="center"/>
            <w:tcBorders>
              <w:top w:val="single" w:sz="4"/>
              <w:left w:val="nil"/>
              <w:bottom w:val="nil"/>
              <w:right w:val="nil"/>
            </w:tcBorders>
          </w:tcPr>
          <w:p>
            <w:pPr>
              <w:pStyle w:val="0"/>
              <w:jc w:val="center"/>
            </w:pPr>
            <w:hyperlink w:history="0" r:id="rId167"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20.15</w:t>
              </w:r>
            </w:hyperlink>
          </w:p>
        </w:tc>
        <w:tc>
          <w:tcPr>
            <w:tcW w:w="1927" w:type="dxa"/>
            <w:vAlign w:val="center"/>
            <w:tcBorders>
              <w:top w:val="single" w:sz="4"/>
              <w:left w:val="nil"/>
              <w:bottom w:val="nil"/>
              <w:right w:val="nil"/>
            </w:tcBorders>
          </w:tcPr>
          <w:p>
            <w:pPr>
              <w:pStyle w:val="0"/>
              <w:jc w:val="both"/>
            </w:pPr>
            <w:r>
              <w:rPr>
                <w:sz w:val="20"/>
              </w:rPr>
              <w:t xml:space="preserve">Производство удобрений и азотных соединений</w:t>
            </w:r>
          </w:p>
        </w:tc>
        <w:tc>
          <w:tcPr>
            <w:tcW w:w="1247" w:type="dxa"/>
            <w:vAlign w:val="center"/>
            <w:tcBorders>
              <w:top w:val="single" w:sz="4"/>
              <w:left w:val="nil"/>
              <w:bottom w:val="nil"/>
              <w:right w:val="nil"/>
            </w:tcBorders>
          </w:tcPr>
          <w:p>
            <w:pPr>
              <w:pStyle w:val="0"/>
              <w:jc w:val="center"/>
            </w:pPr>
            <w:r>
              <w:rPr>
                <w:sz w:val="20"/>
              </w:rPr>
              <w:t xml:space="preserve">168,7</w:t>
            </w:r>
          </w:p>
        </w:tc>
        <w:tc>
          <w:tcPr>
            <w:tcW w:w="1247" w:type="dxa"/>
            <w:vAlign w:val="center"/>
            <w:tcBorders>
              <w:top w:val="single" w:sz="4"/>
              <w:left w:val="nil"/>
              <w:bottom w:val="nil"/>
              <w:right w:val="nil"/>
            </w:tcBorders>
          </w:tcPr>
          <w:p>
            <w:pPr>
              <w:pStyle w:val="0"/>
              <w:jc w:val="center"/>
            </w:pPr>
            <w:r>
              <w:rPr>
                <w:sz w:val="20"/>
              </w:rPr>
              <w:t xml:space="preserve">38,5%</w:t>
            </w:r>
          </w:p>
        </w:tc>
        <w:tc>
          <w:tcPr>
            <w:tcW w:w="1247" w:type="dxa"/>
            <w:vAlign w:val="center"/>
            <w:tcBorders>
              <w:top w:val="single" w:sz="4"/>
              <w:left w:val="nil"/>
              <w:bottom w:val="nil"/>
              <w:right w:val="single" w:sz="4"/>
            </w:tcBorders>
          </w:tcPr>
          <w:p>
            <w:pPr>
              <w:pStyle w:val="0"/>
              <w:jc w:val="center"/>
            </w:pPr>
            <w:r>
              <w:rPr>
                <w:sz w:val="20"/>
              </w:rPr>
              <w:t xml:space="preserve">41,7%</w:t>
            </w:r>
          </w:p>
        </w:tc>
        <w:tc>
          <w:tcPr>
            <w:tcW w:w="1247" w:type="dxa"/>
            <w:vAlign w:val="center"/>
            <w:tcBorders>
              <w:top w:val="single" w:sz="4"/>
              <w:left w:val="single" w:sz="4"/>
              <w:bottom w:val="nil"/>
              <w:right w:val="nil"/>
            </w:tcBorders>
          </w:tcPr>
          <w:p>
            <w:pPr>
              <w:pStyle w:val="0"/>
              <w:jc w:val="center"/>
            </w:pPr>
            <w:r>
              <w:rPr>
                <w:sz w:val="20"/>
              </w:rPr>
              <w:t xml:space="preserve">33,7%</w:t>
            </w:r>
          </w:p>
        </w:tc>
        <w:tc>
          <w:tcPr>
            <w:tcW w:w="1247" w:type="dxa"/>
            <w:vAlign w:val="center"/>
            <w:tcBorders>
              <w:top w:val="single" w:sz="4"/>
              <w:left w:val="nil"/>
              <w:bottom w:val="nil"/>
              <w:right w:val="single" w:sz="4"/>
            </w:tcBorders>
          </w:tcPr>
          <w:p>
            <w:pPr>
              <w:pStyle w:val="0"/>
              <w:jc w:val="center"/>
            </w:pPr>
            <w:r>
              <w:rPr>
                <w:sz w:val="20"/>
              </w:rPr>
              <w:t xml:space="preserve">41,5%</w:t>
            </w:r>
          </w:p>
        </w:tc>
      </w:tr>
      <w:tr>
        <w:tc>
          <w:tcPr>
            <w:tcW w:w="907" w:type="dxa"/>
            <w:vAlign w:val="center"/>
            <w:tcBorders>
              <w:top w:val="nil"/>
              <w:left w:val="nil"/>
              <w:bottom w:val="nil"/>
              <w:right w:val="nil"/>
            </w:tcBorders>
          </w:tcPr>
          <w:p>
            <w:pPr>
              <w:pStyle w:val="0"/>
              <w:jc w:val="center"/>
            </w:pPr>
            <w:hyperlink w:history="0" r:id="rId168"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21.20</w:t>
              </w:r>
            </w:hyperlink>
          </w:p>
        </w:tc>
        <w:tc>
          <w:tcPr>
            <w:tcW w:w="1927" w:type="dxa"/>
            <w:vAlign w:val="center"/>
            <w:tcBorders>
              <w:top w:val="nil"/>
              <w:left w:val="nil"/>
              <w:bottom w:val="nil"/>
              <w:right w:val="nil"/>
            </w:tcBorders>
          </w:tcPr>
          <w:p>
            <w:pPr>
              <w:pStyle w:val="0"/>
              <w:jc w:val="both"/>
            </w:pPr>
            <w:r>
              <w:rPr>
                <w:sz w:val="20"/>
              </w:rPr>
              <w:t xml:space="preserve">Производство лекарственных препаратов и материалов, применяемых в медицинских целях</w:t>
            </w:r>
          </w:p>
        </w:tc>
        <w:tc>
          <w:tcPr>
            <w:tcW w:w="1247" w:type="dxa"/>
            <w:vAlign w:val="center"/>
            <w:tcBorders>
              <w:top w:val="nil"/>
              <w:left w:val="nil"/>
              <w:bottom w:val="nil"/>
              <w:right w:val="nil"/>
            </w:tcBorders>
          </w:tcPr>
          <w:p>
            <w:pPr>
              <w:pStyle w:val="0"/>
              <w:jc w:val="center"/>
            </w:pPr>
            <w:r>
              <w:rPr>
                <w:sz w:val="20"/>
              </w:rPr>
              <w:t xml:space="preserve">167,5</w:t>
            </w:r>
          </w:p>
        </w:tc>
        <w:tc>
          <w:tcPr>
            <w:tcW w:w="1247" w:type="dxa"/>
            <w:vAlign w:val="center"/>
            <w:tcBorders>
              <w:top w:val="nil"/>
              <w:left w:val="nil"/>
              <w:bottom w:val="nil"/>
              <w:right w:val="nil"/>
            </w:tcBorders>
          </w:tcPr>
          <w:p>
            <w:pPr>
              <w:pStyle w:val="0"/>
              <w:jc w:val="center"/>
            </w:pPr>
            <w:r>
              <w:rPr>
                <w:sz w:val="20"/>
              </w:rPr>
              <w:t xml:space="preserve">15,3%</w:t>
            </w:r>
          </w:p>
        </w:tc>
        <w:tc>
          <w:tcPr>
            <w:tcW w:w="1247" w:type="dxa"/>
            <w:vAlign w:val="center"/>
            <w:tcBorders>
              <w:top w:val="nil"/>
              <w:left w:val="nil"/>
              <w:bottom w:val="nil"/>
              <w:right w:val="single" w:sz="4"/>
            </w:tcBorders>
          </w:tcPr>
          <w:p>
            <w:pPr>
              <w:pStyle w:val="0"/>
              <w:jc w:val="center"/>
            </w:pPr>
            <w:r>
              <w:rPr>
                <w:sz w:val="20"/>
              </w:rPr>
              <w:t xml:space="preserve">15,8%</w:t>
            </w:r>
          </w:p>
        </w:tc>
        <w:tc>
          <w:tcPr>
            <w:tcW w:w="1247" w:type="dxa"/>
            <w:vAlign w:val="center"/>
            <w:tcBorders>
              <w:top w:val="nil"/>
              <w:left w:val="single" w:sz="4"/>
              <w:bottom w:val="nil"/>
              <w:right w:val="nil"/>
            </w:tcBorders>
          </w:tcPr>
          <w:p>
            <w:pPr>
              <w:pStyle w:val="0"/>
              <w:jc w:val="center"/>
            </w:pPr>
            <w:r>
              <w:rPr>
                <w:sz w:val="20"/>
              </w:rPr>
              <w:t xml:space="preserve">17,1%</w:t>
            </w:r>
          </w:p>
        </w:tc>
        <w:tc>
          <w:tcPr>
            <w:tcW w:w="1247" w:type="dxa"/>
            <w:vAlign w:val="center"/>
            <w:tcBorders>
              <w:top w:val="nil"/>
              <w:left w:val="nil"/>
              <w:bottom w:val="nil"/>
              <w:right w:val="single" w:sz="4"/>
            </w:tcBorders>
          </w:tcPr>
          <w:p>
            <w:pPr>
              <w:pStyle w:val="0"/>
              <w:jc w:val="center"/>
            </w:pPr>
            <w:r>
              <w:rPr>
                <w:sz w:val="20"/>
              </w:rPr>
              <w:t xml:space="preserve">22,2%</w:t>
            </w:r>
          </w:p>
        </w:tc>
      </w:tr>
      <w:tr>
        <w:tc>
          <w:tcPr>
            <w:tcW w:w="907" w:type="dxa"/>
            <w:vAlign w:val="center"/>
            <w:tcBorders>
              <w:top w:val="nil"/>
              <w:left w:val="nil"/>
              <w:bottom w:val="nil"/>
              <w:right w:val="nil"/>
            </w:tcBorders>
          </w:tcPr>
          <w:p>
            <w:pPr>
              <w:pStyle w:val="0"/>
              <w:jc w:val="center"/>
            </w:pPr>
            <w:hyperlink w:history="0" r:id="rId169"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52.29</w:t>
              </w:r>
            </w:hyperlink>
          </w:p>
        </w:tc>
        <w:tc>
          <w:tcPr>
            <w:tcW w:w="1927" w:type="dxa"/>
            <w:vAlign w:val="center"/>
            <w:tcBorders>
              <w:top w:val="nil"/>
              <w:left w:val="nil"/>
              <w:bottom w:val="nil"/>
              <w:right w:val="nil"/>
            </w:tcBorders>
          </w:tcPr>
          <w:p>
            <w:pPr>
              <w:pStyle w:val="0"/>
              <w:jc w:val="both"/>
            </w:pPr>
            <w:r>
              <w:rPr>
                <w:sz w:val="20"/>
              </w:rPr>
              <w:t xml:space="preserve">Деятельность вспомогательная прочая, связанная с перевозками</w:t>
            </w:r>
          </w:p>
        </w:tc>
        <w:tc>
          <w:tcPr>
            <w:tcW w:w="1247" w:type="dxa"/>
            <w:vAlign w:val="center"/>
            <w:tcBorders>
              <w:top w:val="nil"/>
              <w:left w:val="nil"/>
              <w:bottom w:val="nil"/>
              <w:right w:val="nil"/>
            </w:tcBorders>
          </w:tcPr>
          <w:p>
            <w:pPr>
              <w:pStyle w:val="0"/>
              <w:jc w:val="center"/>
            </w:pPr>
            <w:r>
              <w:rPr>
                <w:sz w:val="20"/>
              </w:rPr>
              <w:t xml:space="preserve">125,6</w:t>
            </w:r>
          </w:p>
        </w:tc>
        <w:tc>
          <w:tcPr>
            <w:tcW w:w="1247" w:type="dxa"/>
            <w:vAlign w:val="center"/>
            <w:tcBorders>
              <w:top w:val="nil"/>
              <w:left w:val="nil"/>
              <w:bottom w:val="nil"/>
              <w:right w:val="nil"/>
            </w:tcBorders>
          </w:tcPr>
          <w:p>
            <w:pPr>
              <w:pStyle w:val="0"/>
              <w:jc w:val="center"/>
            </w:pPr>
            <w:r>
              <w:rPr>
                <w:sz w:val="20"/>
              </w:rPr>
              <w:t xml:space="preserve">13,9%</w:t>
            </w:r>
          </w:p>
        </w:tc>
        <w:tc>
          <w:tcPr>
            <w:tcW w:w="1247" w:type="dxa"/>
            <w:vAlign w:val="center"/>
            <w:tcBorders>
              <w:top w:val="nil"/>
              <w:left w:val="nil"/>
              <w:bottom w:val="nil"/>
              <w:right w:val="single" w:sz="4"/>
            </w:tcBorders>
          </w:tcPr>
          <w:p>
            <w:pPr>
              <w:pStyle w:val="0"/>
              <w:jc w:val="center"/>
            </w:pPr>
            <w:r>
              <w:rPr>
                <w:sz w:val="20"/>
              </w:rPr>
              <w:t xml:space="preserve">14,6%</w:t>
            </w:r>
          </w:p>
        </w:tc>
        <w:tc>
          <w:tcPr>
            <w:tcW w:w="1247" w:type="dxa"/>
            <w:vAlign w:val="center"/>
            <w:tcBorders>
              <w:top w:val="nil"/>
              <w:left w:val="single" w:sz="4"/>
              <w:bottom w:val="nil"/>
              <w:right w:val="nil"/>
            </w:tcBorders>
          </w:tcPr>
          <w:p>
            <w:pPr>
              <w:pStyle w:val="0"/>
              <w:jc w:val="center"/>
            </w:pPr>
            <w:r>
              <w:rPr>
                <w:sz w:val="20"/>
              </w:rPr>
              <w:t xml:space="preserve">13,1%</w:t>
            </w:r>
          </w:p>
        </w:tc>
        <w:tc>
          <w:tcPr>
            <w:tcW w:w="1247" w:type="dxa"/>
            <w:vAlign w:val="center"/>
            <w:tcBorders>
              <w:top w:val="nil"/>
              <w:left w:val="nil"/>
              <w:bottom w:val="nil"/>
              <w:right w:val="single" w:sz="4"/>
            </w:tcBorders>
          </w:tcPr>
          <w:p>
            <w:pPr>
              <w:pStyle w:val="0"/>
              <w:jc w:val="center"/>
            </w:pPr>
            <w:r>
              <w:rPr>
                <w:sz w:val="20"/>
              </w:rPr>
              <w:t xml:space="preserve">14,2%</w:t>
            </w:r>
          </w:p>
        </w:tc>
      </w:tr>
      <w:tr>
        <w:tc>
          <w:tcPr>
            <w:tcW w:w="907" w:type="dxa"/>
            <w:vAlign w:val="center"/>
            <w:tcBorders>
              <w:top w:val="nil"/>
              <w:left w:val="nil"/>
              <w:bottom w:val="nil"/>
              <w:right w:val="nil"/>
            </w:tcBorders>
          </w:tcPr>
          <w:p>
            <w:pPr>
              <w:pStyle w:val="0"/>
              <w:jc w:val="center"/>
            </w:pPr>
            <w:hyperlink w:history="0" r:id="rId170"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20.13</w:t>
              </w:r>
            </w:hyperlink>
          </w:p>
        </w:tc>
        <w:tc>
          <w:tcPr>
            <w:tcW w:w="1927" w:type="dxa"/>
            <w:vAlign w:val="center"/>
            <w:tcBorders>
              <w:top w:val="nil"/>
              <w:left w:val="nil"/>
              <w:bottom w:val="nil"/>
              <w:right w:val="nil"/>
            </w:tcBorders>
          </w:tcPr>
          <w:p>
            <w:pPr>
              <w:pStyle w:val="0"/>
              <w:jc w:val="both"/>
            </w:pPr>
            <w:r>
              <w:rPr>
                <w:sz w:val="20"/>
              </w:rPr>
              <w:t xml:space="preserve">Производство прочих основных неорганических химических веществ</w:t>
            </w:r>
          </w:p>
        </w:tc>
        <w:tc>
          <w:tcPr>
            <w:tcW w:w="1247" w:type="dxa"/>
            <w:vAlign w:val="center"/>
            <w:tcBorders>
              <w:top w:val="nil"/>
              <w:left w:val="nil"/>
              <w:bottom w:val="nil"/>
              <w:right w:val="nil"/>
            </w:tcBorders>
          </w:tcPr>
          <w:p>
            <w:pPr>
              <w:pStyle w:val="0"/>
              <w:jc w:val="center"/>
            </w:pPr>
            <w:r>
              <w:rPr>
                <w:sz w:val="20"/>
              </w:rPr>
              <w:t xml:space="preserve">85,1</w:t>
            </w:r>
          </w:p>
        </w:tc>
        <w:tc>
          <w:tcPr>
            <w:tcW w:w="1247" w:type="dxa"/>
            <w:vAlign w:val="center"/>
            <w:tcBorders>
              <w:top w:val="nil"/>
              <w:left w:val="nil"/>
              <w:bottom w:val="nil"/>
              <w:right w:val="nil"/>
            </w:tcBorders>
          </w:tcPr>
          <w:p>
            <w:pPr>
              <w:pStyle w:val="0"/>
              <w:jc w:val="center"/>
            </w:pPr>
            <w:r>
              <w:rPr>
                <w:sz w:val="20"/>
              </w:rPr>
              <w:t xml:space="preserve">20,4%</w:t>
            </w:r>
          </w:p>
        </w:tc>
        <w:tc>
          <w:tcPr>
            <w:tcW w:w="1247" w:type="dxa"/>
            <w:vAlign w:val="center"/>
            <w:tcBorders>
              <w:top w:val="nil"/>
              <w:left w:val="nil"/>
              <w:bottom w:val="nil"/>
              <w:right w:val="single" w:sz="4"/>
            </w:tcBorders>
          </w:tcPr>
          <w:p>
            <w:pPr>
              <w:pStyle w:val="0"/>
              <w:jc w:val="center"/>
            </w:pPr>
            <w:r>
              <w:rPr>
                <w:sz w:val="20"/>
              </w:rPr>
              <w:t xml:space="preserve">13,6%</w:t>
            </w:r>
          </w:p>
        </w:tc>
        <w:tc>
          <w:tcPr>
            <w:tcW w:w="1247" w:type="dxa"/>
            <w:vAlign w:val="center"/>
            <w:tcBorders>
              <w:top w:val="nil"/>
              <w:left w:val="single" w:sz="4"/>
              <w:bottom w:val="nil"/>
              <w:right w:val="nil"/>
            </w:tcBorders>
          </w:tcPr>
          <w:p>
            <w:pPr>
              <w:pStyle w:val="0"/>
              <w:jc w:val="center"/>
            </w:pPr>
            <w:r>
              <w:rPr>
                <w:sz w:val="20"/>
              </w:rPr>
              <w:t xml:space="preserve">22,1%</w:t>
            </w:r>
          </w:p>
        </w:tc>
        <w:tc>
          <w:tcPr>
            <w:tcW w:w="1247" w:type="dxa"/>
            <w:vAlign w:val="center"/>
            <w:tcBorders>
              <w:top w:val="nil"/>
              <w:left w:val="nil"/>
              <w:bottom w:val="nil"/>
              <w:right w:val="single" w:sz="4"/>
            </w:tcBorders>
          </w:tcPr>
          <w:p>
            <w:pPr>
              <w:pStyle w:val="0"/>
              <w:jc w:val="center"/>
            </w:pPr>
            <w:r>
              <w:rPr>
                <w:sz w:val="20"/>
              </w:rPr>
              <w:t xml:space="preserve">17,7%</w:t>
            </w:r>
          </w:p>
        </w:tc>
      </w:tr>
      <w:tr>
        <w:tc>
          <w:tcPr>
            <w:tcW w:w="907" w:type="dxa"/>
            <w:vAlign w:val="center"/>
            <w:tcBorders>
              <w:top w:val="nil"/>
              <w:left w:val="nil"/>
              <w:bottom w:val="single" w:sz="4"/>
              <w:right w:val="nil"/>
            </w:tcBorders>
          </w:tcPr>
          <w:p>
            <w:pPr>
              <w:pStyle w:val="0"/>
              <w:jc w:val="center"/>
            </w:pPr>
            <w:hyperlink w:history="0" r:id="rId171" w:tooltip="&quot;ОК 029-2014 (КДЕС Ред. 2). Общероссийский классификатор видов экономической деятельности&quot; (утв. Приказом Росстандарта от 31.01.2014 N 14-ст) (ред. от 16.08.2024) {КонсультантПлюс}">
              <w:r>
                <w:rPr>
                  <w:sz w:val="20"/>
                  <w:color w:val="0000ff"/>
                </w:rPr>
                <w:t xml:space="preserve">07.10</w:t>
              </w:r>
            </w:hyperlink>
          </w:p>
        </w:tc>
        <w:tc>
          <w:tcPr>
            <w:tcW w:w="1927" w:type="dxa"/>
            <w:vAlign w:val="center"/>
            <w:tcBorders>
              <w:top w:val="nil"/>
              <w:left w:val="nil"/>
              <w:bottom w:val="single" w:sz="4"/>
              <w:right w:val="nil"/>
            </w:tcBorders>
          </w:tcPr>
          <w:p>
            <w:pPr>
              <w:pStyle w:val="0"/>
              <w:jc w:val="both"/>
            </w:pPr>
            <w:r>
              <w:rPr>
                <w:sz w:val="20"/>
              </w:rPr>
              <w:t xml:space="preserve">Добыча и обогащение железных руд</w:t>
            </w:r>
          </w:p>
        </w:tc>
        <w:tc>
          <w:tcPr>
            <w:tcW w:w="1247" w:type="dxa"/>
            <w:vAlign w:val="center"/>
            <w:tcBorders>
              <w:top w:val="nil"/>
              <w:left w:val="nil"/>
              <w:bottom w:val="single" w:sz="4"/>
              <w:right w:val="nil"/>
            </w:tcBorders>
          </w:tcPr>
          <w:p>
            <w:pPr>
              <w:pStyle w:val="0"/>
              <w:jc w:val="center"/>
            </w:pPr>
            <w:r>
              <w:rPr>
                <w:sz w:val="20"/>
              </w:rPr>
              <w:t xml:space="preserve">59,7</w:t>
            </w:r>
          </w:p>
        </w:tc>
        <w:tc>
          <w:tcPr>
            <w:tcW w:w="1247" w:type="dxa"/>
            <w:vAlign w:val="center"/>
            <w:tcBorders>
              <w:top w:val="nil"/>
              <w:left w:val="nil"/>
              <w:bottom w:val="single" w:sz="4"/>
              <w:right w:val="nil"/>
            </w:tcBorders>
          </w:tcPr>
          <w:p>
            <w:pPr>
              <w:pStyle w:val="0"/>
              <w:jc w:val="center"/>
            </w:pPr>
            <w:r>
              <w:rPr>
                <w:sz w:val="20"/>
              </w:rPr>
              <w:t xml:space="preserve">33,8%</w:t>
            </w:r>
          </w:p>
        </w:tc>
        <w:tc>
          <w:tcPr>
            <w:tcW w:w="1247" w:type="dxa"/>
            <w:vAlign w:val="center"/>
            <w:tcBorders>
              <w:top w:val="nil"/>
              <w:left w:val="nil"/>
              <w:bottom w:val="single" w:sz="4"/>
              <w:right w:val="single" w:sz="4"/>
            </w:tcBorders>
          </w:tcPr>
          <w:p>
            <w:pPr>
              <w:pStyle w:val="0"/>
              <w:jc w:val="center"/>
            </w:pPr>
            <w:r>
              <w:rPr>
                <w:sz w:val="20"/>
              </w:rPr>
              <w:t xml:space="preserve">24,8%</w:t>
            </w:r>
          </w:p>
        </w:tc>
        <w:tc>
          <w:tcPr>
            <w:tcW w:w="1247" w:type="dxa"/>
            <w:vAlign w:val="center"/>
            <w:tcBorders>
              <w:top w:val="nil"/>
              <w:left w:val="single" w:sz="4"/>
              <w:bottom w:val="single" w:sz="4"/>
              <w:right w:val="nil"/>
            </w:tcBorders>
          </w:tcPr>
          <w:p>
            <w:pPr>
              <w:pStyle w:val="0"/>
              <w:jc w:val="center"/>
            </w:pPr>
            <w:r>
              <w:rPr>
                <w:sz w:val="20"/>
              </w:rPr>
              <w:t xml:space="preserve">38,5%</w:t>
            </w:r>
          </w:p>
        </w:tc>
        <w:tc>
          <w:tcPr>
            <w:tcW w:w="1247" w:type="dxa"/>
            <w:vAlign w:val="center"/>
            <w:tcBorders>
              <w:top w:val="nil"/>
              <w:left w:val="nil"/>
              <w:bottom w:val="single" w:sz="4"/>
              <w:right w:val="single" w:sz="4"/>
            </w:tcBorders>
          </w:tcPr>
          <w:p>
            <w:pPr>
              <w:pStyle w:val="0"/>
              <w:jc w:val="center"/>
            </w:pPr>
            <w:r>
              <w:rPr>
                <w:sz w:val="20"/>
              </w:rPr>
              <w:t xml:space="preserve">33,3%</w:t>
            </w:r>
          </w:p>
        </w:tc>
      </w:tr>
    </w:tbl>
    <w:p>
      <w:pPr>
        <w:pStyle w:val="0"/>
        <w:jc w:val="both"/>
      </w:pPr>
      <w:r>
        <w:rPr>
          <w:sz w:val="20"/>
        </w:rPr>
      </w:r>
    </w:p>
    <w:p>
      <w:pPr>
        <w:pStyle w:val="0"/>
        <w:ind w:firstLine="540"/>
        <w:jc w:val="both"/>
      </w:pPr>
      <w:r>
        <w:rPr>
          <w:sz w:val="20"/>
        </w:rPr>
        <w:t xml:space="preserve">--------------------------------</w:t>
      </w:r>
    </w:p>
    <w:bookmarkStart w:id="5237" w:name="P5237"/>
    <w:bookmarkEnd w:id="5237"/>
    <w:p>
      <w:pPr>
        <w:pStyle w:val="0"/>
        <w:spacing w:before="200" w:line-rule="auto"/>
        <w:ind w:firstLine="540"/>
        <w:jc w:val="both"/>
      </w:pPr>
      <w:r>
        <w:rPr>
          <w:sz w:val="20"/>
        </w:rPr>
        <w:t xml:space="preserve">&lt;*&gt; сумма средних значений выручки в рамках отрасли по всем пользователям за период анализа</w:t>
      </w:r>
    </w:p>
    <w:bookmarkStart w:id="5238" w:name="P5238"/>
    <w:bookmarkEnd w:id="5238"/>
    <w:p>
      <w:pPr>
        <w:pStyle w:val="0"/>
        <w:spacing w:before="200" w:line-rule="auto"/>
        <w:ind w:firstLine="540"/>
        <w:jc w:val="both"/>
      </w:pPr>
      <w:r>
        <w:rPr>
          <w:sz w:val="20"/>
        </w:rPr>
        <w:t xml:space="preserve">&lt;**&gt; средневзвешенная по выручке на основе имеющихся данных за последний год периода анализа</w:t>
      </w:r>
    </w:p>
    <w:bookmarkStart w:id="5239" w:name="P5239"/>
    <w:bookmarkEnd w:id="5239"/>
    <w:p>
      <w:pPr>
        <w:pStyle w:val="0"/>
        <w:spacing w:before="200" w:line-rule="auto"/>
        <w:ind w:firstLine="540"/>
        <w:jc w:val="both"/>
      </w:pPr>
      <w:r>
        <w:rPr>
          <w:sz w:val="20"/>
        </w:rPr>
        <w:t xml:space="preserve">&lt;***&gt; средневзвешенная по выручке на основе данных за весь период анализа</w:t>
      </w:r>
    </w:p>
    <w:p>
      <w:pPr>
        <w:pStyle w:val="0"/>
        <w:jc w:val="both"/>
      </w:pPr>
      <w:r>
        <w:rPr>
          <w:sz w:val="20"/>
        </w:rPr>
      </w:r>
    </w:p>
    <w:p>
      <w:pPr>
        <w:pStyle w:val="0"/>
        <w:ind w:firstLine="540"/>
        <w:jc w:val="both"/>
      </w:pPr>
      <w:r>
        <w:rPr>
          <w:sz w:val="20"/>
        </w:rPr>
        <w:t xml:space="preserve">Таким образом, режим ИНВ требует "донастройки", например, для новых пользователей в части ограничения видов деятельности, которые могут пользоваться налоговыми льготами и неналоговыми мерами поддержки.</w:t>
      </w:r>
    </w:p>
    <w:p>
      <w:pPr>
        <w:pStyle w:val="0"/>
        <w:jc w:val="both"/>
      </w:pPr>
      <w:r>
        <w:rPr>
          <w:sz w:val="20"/>
        </w:rPr>
      </w:r>
    </w:p>
    <w:p>
      <w:pPr>
        <w:pStyle w:val="2"/>
        <w:outlineLvl w:val="1"/>
        <w:ind w:firstLine="540"/>
        <w:jc w:val="both"/>
      </w:pPr>
      <w:r>
        <w:rPr>
          <w:sz w:val="20"/>
        </w:rPr>
        <w:t xml:space="preserve">Налог на дополнительный доход от добычи углеводородного сырья (НДД) 1 группа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w:t>
      </w:r>
      <w:hyperlink w:history="0" r:id="rId172"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Подпункт 1 пункта 1 статьи 333.45</w:t>
        </w:r>
      </w:hyperlink>
      <w:r>
        <w:rPr>
          <w:sz w:val="20"/>
        </w:rPr>
        <w:t xml:space="preserve"> Налогового Кодекса Российской Федерации.</w:t>
      </w:r>
    </w:p>
    <w:p>
      <w:pPr>
        <w:pStyle w:val="0"/>
        <w:jc w:val="both"/>
      </w:pPr>
      <w:r>
        <w:rPr>
          <w:sz w:val="20"/>
        </w:rPr>
      </w:r>
    </w:p>
    <w:p>
      <w:pPr>
        <w:pStyle w:val="0"/>
        <w:ind w:firstLine="540"/>
        <w:jc w:val="both"/>
      </w:pPr>
      <w:r>
        <w:rPr>
          <w:sz w:val="20"/>
        </w:rPr>
        <w:t xml:space="preserve">Таблица 25. Краткая информация по льготе</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948"/>
        <w:gridCol w:w="6122"/>
      </w:tblGrid>
      <w:tr>
        <w:tblPrEx>
          <w:tblBorders>
            <w:insideH w:val="single" w:sz="4"/>
          </w:tblBorders>
        </w:tblPrEx>
        <w:tc>
          <w:tcPr>
            <w:tcW w:w="2948" w:type="dxa"/>
            <w:tcBorders>
              <w:top w:val="single" w:sz="4"/>
              <w:left w:val="nil"/>
              <w:bottom w:val="single" w:sz="4"/>
              <w:right w:val="nil"/>
            </w:tcBorders>
          </w:tcPr>
          <w:p>
            <w:pPr>
              <w:pStyle w:val="0"/>
              <w:jc w:val="center"/>
            </w:pPr>
            <w:r>
              <w:rPr>
                <w:sz w:val="20"/>
              </w:rPr>
              <w:t xml:space="preserve">Показатель</w:t>
            </w:r>
          </w:p>
        </w:tc>
        <w:tc>
          <w:tcPr>
            <w:tcW w:w="6122" w:type="dxa"/>
            <w:tcBorders>
              <w:top w:val="single" w:sz="4"/>
              <w:left w:val="nil"/>
              <w:bottom w:val="single" w:sz="4"/>
              <w:right w:val="nil"/>
            </w:tcBorders>
          </w:tcPr>
          <w:p>
            <w:pPr>
              <w:pStyle w:val="0"/>
              <w:jc w:val="center"/>
            </w:pPr>
            <w:r>
              <w:rPr>
                <w:sz w:val="20"/>
              </w:rPr>
              <w:t xml:space="preserve">Описание</w:t>
            </w:r>
          </w:p>
        </w:tc>
      </w:tr>
      <w:tr>
        <w:tc>
          <w:tcPr>
            <w:tcW w:w="2948" w:type="dxa"/>
            <w:vAlign w:val="center"/>
            <w:tcBorders>
              <w:top w:val="single" w:sz="4"/>
              <w:left w:val="nil"/>
              <w:bottom w:val="nil"/>
              <w:right w:val="nil"/>
            </w:tcBorders>
          </w:tcPr>
          <w:p>
            <w:pPr>
              <w:pStyle w:val="0"/>
            </w:pPr>
            <w:r>
              <w:rPr>
                <w:sz w:val="20"/>
              </w:rPr>
              <w:t xml:space="preserve">Описание льготы</w:t>
            </w:r>
          </w:p>
        </w:tc>
        <w:tc>
          <w:tcPr>
            <w:tcW w:w="6122" w:type="dxa"/>
            <w:vAlign w:val="center"/>
            <w:tcBorders>
              <w:top w:val="single" w:sz="4"/>
              <w:left w:val="nil"/>
              <w:bottom w:val="nil"/>
              <w:right w:val="nil"/>
            </w:tcBorders>
          </w:tcPr>
          <w:p>
            <w:pPr>
              <w:pStyle w:val="0"/>
              <w:jc w:val="both"/>
            </w:pPr>
            <w:r>
              <w:rPr>
                <w:sz w:val="20"/>
              </w:rPr>
              <w:t xml:space="preserve">НДД является новой системой налогообложения в нефтегазовой отрасли с 2019 года.</w:t>
            </w:r>
          </w:p>
        </w:tc>
      </w:tr>
      <w:tr>
        <w:tc>
          <w:tcPr>
            <w:tcW w:w="2948" w:type="dxa"/>
            <w:vAlign w:val="center"/>
            <w:tcBorders>
              <w:top w:val="nil"/>
              <w:left w:val="nil"/>
              <w:bottom w:val="nil"/>
              <w:right w:val="nil"/>
            </w:tcBorders>
          </w:tcPr>
          <w:p>
            <w:pPr>
              <w:pStyle w:val="0"/>
            </w:pPr>
            <w:r>
              <w:rPr>
                <w:sz w:val="20"/>
              </w:rPr>
              <w:t xml:space="preserve">Условия применения льготы</w:t>
            </w:r>
          </w:p>
        </w:tc>
        <w:tc>
          <w:tcPr>
            <w:tcW w:w="6122" w:type="dxa"/>
            <w:vAlign w:val="center"/>
            <w:tcBorders>
              <w:top w:val="nil"/>
              <w:left w:val="nil"/>
              <w:bottom w:val="nil"/>
              <w:right w:val="nil"/>
            </w:tcBorders>
          </w:tcPr>
          <w:p>
            <w:pPr>
              <w:pStyle w:val="0"/>
            </w:pPr>
            <w:r>
              <w:rPr>
                <w:sz w:val="20"/>
              </w:rPr>
              <w:t xml:space="preserve">Действуете 01.01.2019.</w:t>
            </w:r>
          </w:p>
          <w:p>
            <w:pPr>
              <w:pStyle w:val="0"/>
            </w:pPr>
            <w:r>
              <w:rPr>
                <w:sz w:val="20"/>
              </w:rPr>
              <w:t xml:space="preserve">Применяется при условии соблюдения установленных требований.</w:t>
            </w:r>
          </w:p>
          <w:p>
            <w:pPr>
              <w:pStyle w:val="0"/>
            </w:pPr>
            <w:r>
              <w:rPr>
                <w:sz w:val="20"/>
              </w:rPr>
              <w:t xml:space="preserve">Срок применения не ограничен.</w:t>
            </w:r>
          </w:p>
        </w:tc>
      </w:tr>
      <w:tr>
        <w:tc>
          <w:tcPr>
            <w:tcW w:w="2948" w:type="dxa"/>
            <w:vAlign w:val="center"/>
            <w:tcBorders>
              <w:top w:val="nil"/>
              <w:left w:val="nil"/>
              <w:bottom w:val="nil"/>
              <w:right w:val="nil"/>
            </w:tcBorders>
          </w:tcPr>
          <w:p>
            <w:pPr>
              <w:pStyle w:val="0"/>
            </w:pPr>
            <w:r>
              <w:rPr>
                <w:sz w:val="20"/>
              </w:rPr>
              <w:t xml:space="preserve">Количество участков недр за период анализа</w:t>
            </w:r>
          </w:p>
        </w:tc>
        <w:tc>
          <w:tcPr>
            <w:tcW w:w="6122" w:type="dxa"/>
            <w:vAlign w:val="center"/>
            <w:tcBorders>
              <w:top w:val="nil"/>
              <w:left w:val="nil"/>
              <w:bottom w:val="nil"/>
              <w:right w:val="nil"/>
            </w:tcBorders>
          </w:tcPr>
          <w:p>
            <w:pPr>
              <w:pStyle w:val="0"/>
            </w:pPr>
            <w:r>
              <w:rPr>
                <w:sz w:val="20"/>
              </w:rPr>
              <w:t xml:space="preserve">116</w:t>
            </w:r>
          </w:p>
        </w:tc>
      </w:tr>
      <w:tr>
        <w:tc>
          <w:tcPr>
            <w:tcW w:w="2948" w:type="dxa"/>
            <w:vAlign w:val="center"/>
            <w:tcBorders>
              <w:top w:val="nil"/>
              <w:left w:val="nil"/>
              <w:bottom w:val="single" w:sz="4"/>
              <w:right w:val="nil"/>
            </w:tcBorders>
          </w:tcPr>
          <w:p>
            <w:pPr>
              <w:pStyle w:val="0"/>
            </w:pPr>
            <w:r>
              <w:rPr>
                <w:sz w:val="20"/>
              </w:rPr>
              <w:t xml:space="preserve">Наличие обязательств</w:t>
            </w:r>
          </w:p>
        </w:tc>
        <w:tc>
          <w:tcPr>
            <w:tcW w:w="6122" w:type="dxa"/>
            <w:vAlign w:val="center"/>
            <w:tcBorders>
              <w:top w:val="nil"/>
              <w:left w:val="nil"/>
              <w:bottom w:val="single" w:sz="4"/>
              <w:right w:val="nil"/>
            </w:tcBorders>
          </w:tcPr>
          <w:p>
            <w:pPr>
              <w:pStyle w:val="0"/>
            </w:pPr>
            <w:r>
              <w:rPr>
                <w:sz w:val="20"/>
              </w:rPr>
              <w:t xml:space="preserve">Нет.</w:t>
            </w:r>
          </w:p>
        </w:tc>
      </w:tr>
    </w:tbl>
    <w:p>
      <w:pPr>
        <w:pStyle w:val="0"/>
        <w:jc w:val="both"/>
      </w:pPr>
      <w:r>
        <w:rPr>
          <w:sz w:val="20"/>
        </w:rPr>
      </w:r>
    </w:p>
    <w:p>
      <w:pPr>
        <w:pStyle w:val="0"/>
        <w:ind w:firstLine="540"/>
        <w:jc w:val="both"/>
      </w:pPr>
      <w:r>
        <w:rPr>
          <w:sz w:val="20"/>
        </w:rPr>
        <w:t xml:space="preserve">За период анализа (2019 - 2022 годы) общее количество участков недр в 1 группе НДД составило 116, из которых в периметр анализа на базе АС "Эффективность льгот" вошли 50 &lt;29&gt; участков.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66 участков недр не вошли в анализ по причине нулевой добычи нефти и газового конденсата за период анализа.</w:t>
      </w:r>
    </w:p>
    <w:p>
      <w:pPr>
        <w:pStyle w:val="0"/>
        <w:jc w:val="both"/>
      </w:pPr>
      <w:r>
        <w:rPr>
          <w:sz w:val="20"/>
        </w:rPr>
      </w:r>
    </w:p>
    <w:p>
      <w:pPr>
        <w:pStyle w:val="0"/>
        <w:ind w:firstLine="540"/>
        <w:jc w:val="both"/>
      </w:pPr>
      <w:r>
        <w:rPr>
          <w:sz w:val="20"/>
        </w:rPr>
        <w:t xml:space="preserve">В 2022 году на 1 группу НДД пришлось 2,4% общероссийской добычи нефти и газового конденсата или 13,0 млн тонн.</w:t>
      </w:r>
    </w:p>
    <w:p>
      <w:pPr>
        <w:pStyle w:val="0"/>
        <w:jc w:val="both"/>
      </w:pPr>
      <w:r>
        <w:rPr>
          <w:sz w:val="20"/>
        </w:rPr>
      </w:r>
    </w:p>
    <w:p>
      <w:pPr>
        <w:pStyle w:val="0"/>
        <w:jc w:val="center"/>
      </w:pPr>
      <w:r>
        <w:rPr>
          <w:position w:val="-140"/>
        </w:rPr>
        <w:drawing>
          <wp:inline distT="0" distB="0" distL="0" distR="0">
            <wp:extent cx="5050155" cy="1907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5050155" cy="1907540"/>
                    </a:xfrm>
                    <a:prstGeom prst="rect">
                      <a:avLst/>
                    </a:prstGeom>
                    <a:noFill/>
                    <a:ln>
                      <a:noFill/>
                    </a:ln>
                  </pic:spPr>
                </pic:pic>
              </a:graphicData>
            </a:graphic>
          </wp:inline>
        </w:drawing>
      </w:r>
    </w:p>
    <w:p>
      <w:pPr>
        <w:pStyle w:val="0"/>
        <w:jc w:val="both"/>
      </w:pPr>
      <w:r>
        <w:rPr>
          <w:sz w:val="20"/>
        </w:rPr>
      </w:r>
    </w:p>
    <w:p>
      <w:pPr>
        <w:pStyle w:val="0"/>
        <w:jc w:val="center"/>
      </w:pPr>
      <w:r>
        <w:rPr>
          <w:position w:val="-121"/>
        </w:rPr>
        <w:drawing>
          <wp:inline distT="0" distB="0" distL="0" distR="0">
            <wp:extent cx="5043805" cy="16694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5043805" cy="16694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Среднее значение рентабельности по свободному денежному потоку по участкам недр 1 группы НДД за период анализа составило 12,9%, среднее значение свободного денежного потока в расчете на тонну добычи находилось на уровне 6,4 тыс. руб.</w:t>
      </w:r>
    </w:p>
    <w:p>
      <w:pPr>
        <w:pStyle w:val="0"/>
        <w:spacing w:before="200" w:line-rule="auto"/>
        <w:ind w:firstLine="540"/>
        <w:jc w:val="both"/>
      </w:pPr>
      <w:r>
        <w:rPr>
          <w:sz w:val="20"/>
        </w:rPr>
        <w:t xml:space="preserve">С 2019 года по 2022 год общая величина выпадающих доходов федерального бюджета Российской Федерации, по данным системы, в связи с предоставлением данной льготы увеличилась с 63,3 млрд руб. до 130,6 млрд руб. (в 2,1 раза).</w:t>
      </w:r>
    </w:p>
    <w:p>
      <w:pPr>
        <w:pStyle w:val="0"/>
        <w:spacing w:before="200" w:line-rule="auto"/>
        <w:ind w:firstLine="540"/>
        <w:jc w:val="both"/>
      </w:pPr>
      <w:r>
        <w:rPr>
          <w:sz w:val="20"/>
        </w:rPr>
        <w:t xml:space="preserve">По итогам анализа совокупная доля добычи нефти и газового конденсата на "красных" и "желтых" участках недр в 1 группе НДД оценивается в 83% (10,8 млн тонн), в том числе 68% "красных" и 15% "желтых". Полученные результаты свидетельствуют о том, что экономика разработки участков недр в 1 группе НДД является более благоприятной по сравнению с экономикой добычи нефти на участках недр, находящихся на общей системе налогообложения. Это формирует стимулы для замещения добычи, не применяющей налоговые льготы, той добычей, в отношении которой применяются налоговые льготы, предусмотренные в рамках 1 группы НДД.</w:t>
      </w:r>
    </w:p>
    <w:p>
      <w:pPr>
        <w:pStyle w:val="0"/>
        <w:spacing w:before="200" w:line-rule="auto"/>
        <w:ind w:firstLine="540"/>
        <w:jc w:val="both"/>
      </w:pPr>
      <w:r>
        <w:rPr>
          <w:sz w:val="20"/>
        </w:rPr>
        <w:t xml:space="preserve">Как следствие, требуется обсуждение с заинтересованными органами исполнительной власти и отраслевым сообществом корректировки параметров 1 группы НДД.</w:t>
      </w:r>
    </w:p>
    <w:p>
      <w:pPr>
        <w:pStyle w:val="0"/>
        <w:spacing w:before="200" w:line-rule="auto"/>
        <w:ind w:firstLine="540"/>
        <w:jc w:val="both"/>
      </w:pPr>
      <w:r>
        <w:rPr>
          <w:sz w:val="20"/>
        </w:rPr>
        <w:t xml:space="preserve">Налог на дополнительный доход от добычи углеводородного сырья (НДД) 2 группа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w:t>
      </w:r>
      <w:hyperlink w:history="0" r:id="rId175"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Подпункт 2 пункта 1 статьи 333.45</w:t>
        </w:r>
      </w:hyperlink>
      <w:r>
        <w:rPr>
          <w:sz w:val="20"/>
        </w:rPr>
        <w:t xml:space="preserve"> Налогового Кодекса Российской Федерации.</w:t>
      </w:r>
    </w:p>
    <w:p>
      <w:pPr>
        <w:pStyle w:val="0"/>
        <w:jc w:val="both"/>
      </w:pPr>
      <w:r>
        <w:rPr>
          <w:sz w:val="20"/>
        </w:rPr>
      </w:r>
    </w:p>
    <w:p>
      <w:pPr>
        <w:pStyle w:val="0"/>
        <w:ind w:firstLine="540"/>
        <w:jc w:val="both"/>
      </w:pPr>
      <w:r>
        <w:rPr>
          <w:sz w:val="20"/>
        </w:rPr>
        <w:t xml:space="preserve">Таблица 26. Краткая информация по льготе</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8"/>
        <w:gridCol w:w="6293"/>
      </w:tblGrid>
      <w:tr>
        <w:tblPrEx>
          <w:tblBorders>
            <w:insideH w:val="single" w:sz="4"/>
          </w:tblBorders>
        </w:tblPrEx>
        <w:tc>
          <w:tcPr>
            <w:tcW w:w="2778" w:type="dxa"/>
            <w:tcBorders>
              <w:top w:val="single" w:sz="4"/>
              <w:left w:val="nil"/>
              <w:bottom w:val="single" w:sz="4"/>
              <w:right w:val="nil"/>
            </w:tcBorders>
          </w:tcPr>
          <w:p>
            <w:pPr>
              <w:pStyle w:val="0"/>
              <w:jc w:val="center"/>
            </w:pPr>
            <w:r>
              <w:rPr>
                <w:sz w:val="20"/>
              </w:rPr>
              <w:t xml:space="preserve">Показатель</w:t>
            </w:r>
          </w:p>
        </w:tc>
        <w:tc>
          <w:tcPr>
            <w:tcW w:w="6293" w:type="dxa"/>
            <w:tcBorders>
              <w:top w:val="single" w:sz="4"/>
              <w:left w:val="nil"/>
              <w:bottom w:val="single" w:sz="4"/>
              <w:right w:val="nil"/>
            </w:tcBorders>
          </w:tcPr>
          <w:p>
            <w:pPr>
              <w:pStyle w:val="0"/>
              <w:jc w:val="center"/>
            </w:pPr>
            <w:r>
              <w:rPr>
                <w:sz w:val="20"/>
              </w:rPr>
              <w:t xml:space="preserve">Описание</w:t>
            </w:r>
          </w:p>
        </w:tc>
      </w:tr>
      <w:tr>
        <w:tc>
          <w:tcPr>
            <w:tcW w:w="2778" w:type="dxa"/>
            <w:vAlign w:val="center"/>
            <w:tcBorders>
              <w:top w:val="single" w:sz="4"/>
              <w:left w:val="nil"/>
              <w:bottom w:val="nil"/>
              <w:right w:val="nil"/>
            </w:tcBorders>
          </w:tcPr>
          <w:p>
            <w:pPr>
              <w:pStyle w:val="0"/>
              <w:jc w:val="both"/>
            </w:pPr>
            <w:r>
              <w:rPr>
                <w:sz w:val="20"/>
              </w:rPr>
              <w:t xml:space="preserve">Описание льготы</w:t>
            </w:r>
          </w:p>
        </w:tc>
        <w:tc>
          <w:tcPr>
            <w:tcW w:w="6293" w:type="dxa"/>
            <w:vAlign w:val="bottom"/>
            <w:tcBorders>
              <w:top w:val="single" w:sz="4"/>
              <w:left w:val="nil"/>
              <w:bottom w:val="nil"/>
              <w:right w:val="nil"/>
            </w:tcBorders>
          </w:tcPr>
          <w:p>
            <w:pPr>
              <w:pStyle w:val="0"/>
              <w:jc w:val="both"/>
            </w:pPr>
            <w:r>
              <w:rPr>
                <w:sz w:val="20"/>
              </w:rPr>
              <w:t xml:space="preserve">НДД является новой системой налогообложения в нефтегазовой отрасли с 2019 года.</w:t>
            </w:r>
          </w:p>
        </w:tc>
      </w:tr>
      <w:tr>
        <w:tc>
          <w:tcPr>
            <w:tcW w:w="2778" w:type="dxa"/>
            <w:vAlign w:val="center"/>
            <w:tcBorders>
              <w:top w:val="nil"/>
              <w:left w:val="nil"/>
              <w:bottom w:val="nil"/>
              <w:right w:val="nil"/>
            </w:tcBorders>
          </w:tcPr>
          <w:p>
            <w:pPr>
              <w:pStyle w:val="0"/>
              <w:jc w:val="both"/>
            </w:pPr>
            <w:r>
              <w:rPr>
                <w:sz w:val="20"/>
              </w:rPr>
              <w:t xml:space="preserve">Условия применения льготы</w:t>
            </w:r>
          </w:p>
        </w:tc>
        <w:tc>
          <w:tcPr>
            <w:tcW w:w="6293" w:type="dxa"/>
            <w:vAlign w:val="bottom"/>
            <w:tcBorders>
              <w:top w:val="nil"/>
              <w:left w:val="nil"/>
              <w:bottom w:val="nil"/>
              <w:right w:val="nil"/>
            </w:tcBorders>
          </w:tcPr>
          <w:p>
            <w:pPr>
              <w:pStyle w:val="0"/>
              <w:jc w:val="both"/>
            </w:pPr>
            <w:r>
              <w:rPr>
                <w:sz w:val="20"/>
              </w:rPr>
              <w:t xml:space="preserve">Действует с 01.01.2019.</w:t>
            </w:r>
          </w:p>
          <w:p>
            <w:pPr>
              <w:pStyle w:val="0"/>
              <w:jc w:val="both"/>
            </w:pPr>
            <w:r>
              <w:rPr>
                <w:sz w:val="20"/>
              </w:rPr>
              <w:t xml:space="preserve">Применяется при условии соблюдения установленных требований и подаче заявления.</w:t>
            </w:r>
          </w:p>
          <w:p>
            <w:pPr>
              <w:pStyle w:val="0"/>
              <w:jc w:val="both"/>
            </w:pPr>
            <w:r>
              <w:rPr>
                <w:sz w:val="20"/>
              </w:rPr>
              <w:t xml:space="preserve">Срок применения не ограничен.</w:t>
            </w:r>
          </w:p>
        </w:tc>
      </w:tr>
      <w:tr>
        <w:tc>
          <w:tcPr>
            <w:tcW w:w="2778" w:type="dxa"/>
            <w:vAlign w:val="bottom"/>
            <w:tcBorders>
              <w:top w:val="nil"/>
              <w:left w:val="nil"/>
              <w:bottom w:val="nil"/>
              <w:right w:val="nil"/>
            </w:tcBorders>
          </w:tcPr>
          <w:p>
            <w:pPr>
              <w:pStyle w:val="0"/>
              <w:jc w:val="both"/>
            </w:pPr>
            <w:r>
              <w:rPr>
                <w:sz w:val="20"/>
              </w:rPr>
              <w:t xml:space="preserve">Количество участков недр за период анализа</w:t>
            </w:r>
          </w:p>
        </w:tc>
        <w:tc>
          <w:tcPr>
            <w:tcW w:w="6293" w:type="dxa"/>
            <w:vAlign w:val="center"/>
            <w:tcBorders>
              <w:top w:val="nil"/>
              <w:left w:val="nil"/>
              <w:bottom w:val="nil"/>
              <w:right w:val="nil"/>
            </w:tcBorders>
          </w:tcPr>
          <w:p>
            <w:pPr>
              <w:pStyle w:val="0"/>
            </w:pPr>
            <w:r>
              <w:rPr>
                <w:sz w:val="20"/>
              </w:rPr>
              <w:t xml:space="preserve">39</w:t>
            </w:r>
          </w:p>
        </w:tc>
      </w:tr>
      <w:tr>
        <w:tc>
          <w:tcPr>
            <w:tcW w:w="2778" w:type="dxa"/>
            <w:tcBorders>
              <w:top w:val="nil"/>
              <w:left w:val="nil"/>
              <w:bottom w:val="single" w:sz="4"/>
              <w:right w:val="nil"/>
            </w:tcBorders>
          </w:tcPr>
          <w:p>
            <w:pPr>
              <w:pStyle w:val="0"/>
              <w:jc w:val="both"/>
            </w:pPr>
            <w:r>
              <w:rPr>
                <w:sz w:val="20"/>
              </w:rPr>
              <w:t xml:space="preserve">Наличие обязательств</w:t>
            </w:r>
          </w:p>
        </w:tc>
        <w:tc>
          <w:tcPr>
            <w:tcW w:w="6293" w:type="dxa"/>
            <w:tcBorders>
              <w:top w:val="nil"/>
              <w:left w:val="nil"/>
              <w:bottom w:val="single" w:sz="4"/>
              <w:right w:val="nil"/>
            </w:tcBorders>
          </w:tcPr>
          <w:p>
            <w:pPr>
              <w:pStyle w:val="0"/>
            </w:pPr>
            <w:r>
              <w:rPr>
                <w:sz w:val="20"/>
              </w:rPr>
              <w:t xml:space="preserve">Нет.</w:t>
            </w:r>
          </w:p>
        </w:tc>
      </w:tr>
    </w:tbl>
    <w:p>
      <w:pPr>
        <w:pStyle w:val="0"/>
        <w:jc w:val="both"/>
      </w:pPr>
      <w:r>
        <w:rPr>
          <w:sz w:val="20"/>
        </w:rPr>
      </w:r>
    </w:p>
    <w:p>
      <w:pPr>
        <w:pStyle w:val="0"/>
        <w:ind w:firstLine="540"/>
        <w:jc w:val="both"/>
      </w:pPr>
      <w:r>
        <w:rPr>
          <w:sz w:val="20"/>
        </w:rPr>
        <w:t xml:space="preserve">За период анализа (2019 - 2022 годы) общее количество участков недр во 2 группе НДД составило 39, из которых в периметр анализа на базе АС "Эффективность льгот" вошли 27 &lt;31&gt; участков.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12 участков недр не вошли в анализ по причине нулевой добычи нефти и газового конденсата за период анализа.</w:t>
      </w:r>
    </w:p>
    <w:p>
      <w:pPr>
        <w:pStyle w:val="0"/>
        <w:jc w:val="both"/>
      </w:pPr>
      <w:r>
        <w:rPr>
          <w:sz w:val="20"/>
        </w:rPr>
      </w:r>
    </w:p>
    <w:p>
      <w:pPr>
        <w:pStyle w:val="0"/>
        <w:ind w:firstLine="540"/>
        <w:jc w:val="both"/>
      </w:pPr>
      <w:r>
        <w:rPr>
          <w:sz w:val="20"/>
        </w:rPr>
        <w:t xml:space="preserve">В 2022 году на 2 группу НДД пришлось 7,5% общероссийской добычи нефти и газового конденсата или порядка 40 млн тонн.</w:t>
      </w:r>
    </w:p>
    <w:p>
      <w:pPr>
        <w:pStyle w:val="0"/>
        <w:jc w:val="both"/>
      </w:pPr>
      <w:r>
        <w:rPr>
          <w:sz w:val="20"/>
        </w:rPr>
      </w:r>
    </w:p>
    <w:p>
      <w:pPr>
        <w:pStyle w:val="0"/>
        <w:jc w:val="center"/>
      </w:pPr>
      <w:r>
        <w:rPr>
          <w:position w:val="-140"/>
        </w:rPr>
        <w:drawing>
          <wp:inline distT="0" distB="0" distL="0" distR="0">
            <wp:extent cx="5050155" cy="1907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5050155" cy="1907540"/>
                    </a:xfrm>
                    <a:prstGeom prst="rect">
                      <a:avLst/>
                    </a:prstGeom>
                    <a:noFill/>
                    <a:ln>
                      <a:noFill/>
                    </a:ln>
                  </pic:spPr>
                </pic:pic>
              </a:graphicData>
            </a:graphic>
          </wp:inline>
        </w:drawing>
      </w:r>
    </w:p>
    <w:p>
      <w:pPr>
        <w:pStyle w:val="0"/>
        <w:jc w:val="both"/>
      </w:pPr>
      <w:r>
        <w:rPr>
          <w:sz w:val="20"/>
        </w:rPr>
      </w:r>
    </w:p>
    <w:p>
      <w:pPr>
        <w:pStyle w:val="0"/>
        <w:jc w:val="center"/>
      </w:pPr>
      <w:r>
        <w:rPr>
          <w:position w:val="-117"/>
        </w:rPr>
        <w:drawing>
          <wp:inline distT="0" distB="0" distL="0" distR="0">
            <wp:extent cx="5068570" cy="16148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5068570" cy="161480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Среднее значение рентабельности по свободному денежному потоку по участкам недр 2 группы НДД за период анализа составило 21,5%, среднее значение свободного денежного потока в расчете на тонну добычи находилось на уровне 7,5 тыс. руб.</w:t>
      </w:r>
    </w:p>
    <w:p>
      <w:pPr>
        <w:pStyle w:val="0"/>
        <w:spacing w:before="200" w:line-rule="auto"/>
        <w:ind w:firstLine="540"/>
        <w:jc w:val="both"/>
      </w:pPr>
      <w:r>
        <w:rPr>
          <w:sz w:val="20"/>
        </w:rPr>
        <w:t xml:space="preserve">С 2019 года по 2022 год общая величина выпадающих доходов федерального бюджета Российской Федерации, по данным системы, в связи с предоставлением данной льготы увеличилась со 178,6 млрд руб. до 197,3 млрд руб. (в 1,1 раза).</w:t>
      </w:r>
    </w:p>
    <w:p>
      <w:pPr>
        <w:pStyle w:val="0"/>
        <w:spacing w:before="200" w:line-rule="auto"/>
        <w:ind w:firstLine="540"/>
        <w:jc w:val="both"/>
      </w:pPr>
      <w:r>
        <w:rPr>
          <w:sz w:val="20"/>
        </w:rPr>
        <w:t xml:space="preserve">По итогам анализа совокупная доля добычи нефти и газового конденсата на "красных" и "желтых" участках недр во 2 группе НДД оценивается в 93% (44,6 млн тонн), в том числе 39% "красных" и 54% "желтых". Полученные результаты свидетельствуют о том, что экономика разработки участков недр во 2 группе НДД является более благоприятной по сравнению с экономикой добычи нефти на участках недр, находящихся на общей системе налогообложения. Это формирует стимулы для замещения добычи, не применяющей налоговые льготы, той добычей, в отношении которой применяются налоговые льготы, предусмотренные в рамках 2 группы НДД.</w:t>
      </w:r>
    </w:p>
    <w:p>
      <w:pPr>
        <w:pStyle w:val="0"/>
        <w:spacing w:before="200" w:line-rule="auto"/>
        <w:ind w:firstLine="540"/>
        <w:jc w:val="both"/>
      </w:pPr>
      <w:r>
        <w:rPr>
          <w:sz w:val="20"/>
        </w:rPr>
        <w:t xml:space="preserve">Как следствие, требуется обсуждение с заинтересованными органами исполнительной власти и отраслевым сообществом корректировки параметров 2 группы НДД.</w:t>
      </w:r>
    </w:p>
    <w:p>
      <w:pPr>
        <w:pStyle w:val="0"/>
        <w:spacing w:before="200" w:line-rule="auto"/>
        <w:ind w:firstLine="540"/>
        <w:jc w:val="both"/>
      </w:pPr>
      <w:r>
        <w:rPr>
          <w:sz w:val="20"/>
        </w:rPr>
        <w:t xml:space="preserve">Налог на дополнительный доход от добычи углеводородного сырья (НДД) 3 группа - выработанные участки недр ("выработанные)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w:t>
      </w:r>
      <w:hyperlink w:history="0" r:id="rId178"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Абзац второй подпункта 3 пункта 1 статьи 333.45</w:t>
        </w:r>
      </w:hyperlink>
      <w:r>
        <w:rPr>
          <w:sz w:val="20"/>
        </w:rPr>
        <w:t xml:space="preserve"> Налогового Кодекса Российской Федерации.</w:t>
      </w:r>
    </w:p>
    <w:p>
      <w:pPr>
        <w:pStyle w:val="0"/>
        <w:jc w:val="both"/>
      </w:pPr>
      <w:r>
        <w:rPr>
          <w:sz w:val="20"/>
        </w:rPr>
      </w:r>
    </w:p>
    <w:p>
      <w:pPr>
        <w:pStyle w:val="0"/>
        <w:ind w:firstLine="540"/>
        <w:jc w:val="both"/>
      </w:pPr>
      <w:r>
        <w:rPr>
          <w:sz w:val="20"/>
        </w:rPr>
        <w:t xml:space="preserve">Таблица 27. Краткая информация по льготе</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8"/>
        <w:gridCol w:w="6293"/>
      </w:tblGrid>
      <w:tr>
        <w:tblPrEx>
          <w:tblBorders>
            <w:insideH w:val="single" w:sz="4"/>
          </w:tblBorders>
        </w:tblPrEx>
        <w:tc>
          <w:tcPr>
            <w:tcW w:w="2778" w:type="dxa"/>
            <w:tcBorders>
              <w:top w:val="single" w:sz="4"/>
              <w:left w:val="nil"/>
              <w:bottom w:val="single" w:sz="4"/>
              <w:right w:val="nil"/>
            </w:tcBorders>
          </w:tcPr>
          <w:p>
            <w:pPr>
              <w:pStyle w:val="0"/>
              <w:jc w:val="center"/>
            </w:pPr>
            <w:r>
              <w:rPr>
                <w:sz w:val="20"/>
              </w:rPr>
              <w:t xml:space="preserve">Показатель</w:t>
            </w:r>
          </w:p>
        </w:tc>
        <w:tc>
          <w:tcPr>
            <w:tcW w:w="6293" w:type="dxa"/>
            <w:tcBorders>
              <w:top w:val="single" w:sz="4"/>
              <w:left w:val="nil"/>
              <w:bottom w:val="single" w:sz="4"/>
              <w:right w:val="nil"/>
            </w:tcBorders>
          </w:tcPr>
          <w:p>
            <w:pPr>
              <w:pStyle w:val="0"/>
              <w:jc w:val="center"/>
            </w:pPr>
            <w:r>
              <w:rPr>
                <w:sz w:val="20"/>
              </w:rPr>
              <w:t xml:space="preserve">Описание</w:t>
            </w:r>
          </w:p>
        </w:tc>
      </w:tr>
      <w:tr>
        <w:tc>
          <w:tcPr>
            <w:tcW w:w="2778" w:type="dxa"/>
            <w:vAlign w:val="center"/>
            <w:tcBorders>
              <w:top w:val="single" w:sz="4"/>
              <w:left w:val="nil"/>
              <w:bottom w:val="nil"/>
              <w:right w:val="nil"/>
            </w:tcBorders>
          </w:tcPr>
          <w:p>
            <w:pPr>
              <w:pStyle w:val="0"/>
              <w:jc w:val="both"/>
            </w:pPr>
            <w:r>
              <w:rPr>
                <w:sz w:val="20"/>
              </w:rPr>
              <w:t xml:space="preserve">Описание льготы</w:t>
            </w:r>
          </w:p>
        </w:tc>
        <w:tc>
          <w:tcPr>
            <w:tcW w:w="6293" w:type="dxa"/>
            <w:vAlign w:val="bottom"/>
            <w:tcBorders>
              <w:top w:val="single" w:sz="4"/>
              <w:left w:val="nil"/>
              <w:bottom w:val="nil"/>
              <w:right w:val="nil"/>
            </w:tcBorders>
          </w:tcPr>
          <w:p>
            <w:pPr>
              <w:pStyle w:val="0"/>
              <w:jc w:val="both"/>
            </w:pPr>
            <w:r>
              <w:rPr>
                <w:sz w:val="20"/>
              </w:rPr>
              <w:t xml:space="preserve">НДД является новой системой налогообложения в нефтегазовой отрасли с 2019 года.</w:t>
            </w:r>
          </w:p>
        </w:tc>
      </w:tr>
      <w:tr>
        <w:tc>
          <w:tcPr>
            <w:tcW w:w="2778" w:type="dxa"/>
            <w:vAlign w:val="center"/>
            <w:tcBorders>
              <w:top w:val="nil"/>
              <w:left w:val="nil"/>
              <w:bottom w:val="nil"/>
              <w:right w:val="nil"/>
            </w:tcBorders>
          </w:tcPr>
          <w:p>
            <w:pPr>
              <w:pStyle w:val="0"/>
              <w:jc w:val="both"/>
            </w:pPr>
            <w:r>
              <w:rPr>
                <w:sz w:val="20"/>
              </w:rPr>
              <w:t xml:space="preserve">Условия применения льготы</w:t>
            </w:r>
          </w:p>
        </w:tc>
        <w:tc>
          <w:tcPr>
            <w:tcW w:w="6293" w:type="dxa"/>
            <w:vAlign w:val="bottom"/>
            <w:tcBorders>
              <w:top w:val="nil"/>
              <w:left w:val="nil"/>
              <w:bottom w:val="nil"/>
              <w:right w:val="nil"/>
            </w:tcBorders>
          </w:tcPr>
          <w:p>
            <w:pPr>
              <w:pStyle w:val="0"/>
              <w:jc w:val="both"/>
            </w:pPr>
            <w:r>
              <w:rPr>
                <w:sz w:val="20"/>
              </w:rPr>
              <w:t xml:space="preserve">Действует с 01.01.2021.</w:t>
            </w:r>
          </w:p>
          <w:p>
            <w:pPr>
              <w:pStyle w:val="0"/>
              <w:jc w:val="both"/>
            </w:pPr>
            <w:r>
              <w:rPr>
                <w:sz w:val="20"/>
              </w:rPr>
              <w:t xml:space="preserve">Применяется для участков недр с исторической степенью выработанности запасов нефти (СИВЗ) больше или равной 0,8.</w:t>
            </w:r>
          </w:p>
          <w:p>
            <w:pPr>
              <w:pStyle w:val="0"/>
              <w:jc w:val="both"/>
            </w:pPr>
            <w:r>
              <w:rPr>
                <w:sz w:val="20"/>
              </w:rPr>
              <w:t xml:space="preserve">Срок применения не ограничен.</w:t>
            </w:r>
          </w:p>
        </w:tc>
      </w:tr>
      <w:tr>
        <w:tc>
          <w:tcPr>
            <w:tcW w:w="2778" w:type="dxa"/>
            <w:vAlign w:val="bottom"/>
            <w:tcBorders>
              <w:top w:val="nil"/>
              <w:left w:val="nil"/>
              <w:bottom w:val="nil"/>
              <w:right w:val="nil"/>
            </w:tcBorders>
          </w:tcPr>
          <w:p>
            <w:pPr>
              <w:pStyle w:val="0"/>
              <w:jc w:val="both"/>
            </w:pPr>
            <w:r>
              <w:rPr>
                <w:sz w:val="20"/>
              </w:rPr>
              <w:t xml:space="preserve">Количество участков недр за период анализа</w:t>
            </w:r>
          </w:p>
        </w:tc>
        <w:tc>
          <w:tcPr>
            <w:tcW w:w="6293" w:type="dxa"/>
            <w:vAlign w:val="center"/>
            <w:tcBorders>
              <w:top w:val="nil"/>
              <w:left w:val="nil"/>
              <w:bottom w:val="nil"/>
              <w:right w:val="nil"/>
            </w:tcBorders>
          </w:tcPr>
          <w:p>
            <w:pPr>
              <w:pStyle w:val="0"/>
              <w:jc w:val="both"/>
            </w:pPr>
            <w:r>
              <w:rPr>
                <w:sz w:val="20"/>
              </w:rPr>
              <w:t xml:space="preserve">628</w:t>
            </w:r>
          </w:p>
        </w:tc>
      </w:tr>
      <w:tr>
        <w:tc>
          <w:tcPr>
            <w:tcW w:w="2778" w:type="dxa"/>
            <w:tcBorders>
              <w:top w:val="nil"/>
              <w:left w:val="nil"/>
              <w:bottom w:val="single" w:sz="4"/>
              <w:right w:val="nil"/>
            </w:tcBorders>
          </w:tcPr>
          <w:p>
            <w:pPr>
              <w:pStyle w:val="0"/>
              <w:jc w:val="both"/>
            </w:pPr>
            <w:r>
              <w:rPr>
                <w:sz w:val="20"/>
              </w:rPr>
              <w:t xml:space="preserve">Наличие обязательств</w:t>
            </w:r>
          </w:p>
        </w:tc>
        <w:tc>
          <w:tcPr>
            <w:tcW w:w="6293" w:type="dxa"/>
            <w:tcBorders>
              <w:top w:val="nil"/>
              <w:left w:val="nil"/>
              <w:bottom w:val="single" w:sz="4"/>
              <w:right w:val="nil"/>
            </w:tcBorders>
          </w:tcPr>
          <w:p>
            <w:pPr>
              <w:pStyle w:val="0"/>
              <w:jc w:val="both"/>
            </w:pPr>
            <w:r>
              <w:rPr>
                <w:sz w:val="20"/>
              </w:rPr>
              <w:t xml:space="preserve">Нет.</w:t>
            </w:r>
          </w:p>
        </w:tc>
      </w:tr>
    </w:tbl>
    <w:p>
      <w:pPr>
        <w:pStyle w:val="0"/>
        <w:jc w:val="both"/>
      </w:pPr>
      <w:r>
        <w:rPr>
          <w:sz w:val="20"/>
        </w:rPr>
      </w:r>
    </w:p>
    <w:p>
      <w:pPr>
        <w:pStyle w:val="0"/>
        <w:ind w:firstLine="540"/>
        <w:jc w:val="both"/>
      </w:pPr>
      <w:r>
        <w:rPr>
          <w:sz w:val="20"/>
        </w:rPr>
        <w:t xml:space="preserve">За период анализа (2019 - 2022 годы) общее количество участков недр в 3 группе НДД "выработанные" составило 628, из которых в периметр анализа на базе АС "Эффективность льгот" вошли 583 &lt;33&gt; участка.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45 участков недр не вошли в анализ по причине нулевой добычи нефти и газового конденсата за период анализа.</w:t>
      </w:r>
    </w:p>
    <w:p>
      <w:pPr>
        <w:pStyle w:val="0"/>
        <w:jc w:val="both"/>
      </w:pPr>
      <w:r>
        <w:rPr>
          <w:sz w:val="20"/>
        </w:rPr>
      </w:r>
    </w:p>
    <w:p>
      <w:pPr>
        <w:pStyle w:val="0"/>
        <w:ind w:firstLine="540"/>
        <w:jc w:val="both"/>
      </w:pPr>
      <w:r>
        <w:rPr>
          <w:sz w:val="20"/>
        </w:rPr>
        <w:t xml:space="preserve">В 2022 году на 3 группу НДД "выработанные" пришлось порядка 27% общероссийской добычи нефти и газового конденсата или 146 млн тонн.</w:t>
      </w:r>
    </w:p>
    <w:p>
      <w:pPr>
        <w:pStyle w:val="0"/>
        <w:jc w:val="both"/>
      </w:pPr>
      <w:r>
        <w:rPr>
          <w:sz w:val="20"/>
        </w:rPr>
      </w:r>
    </w:p>
    <w:p>
      <w:pPr>
        <w:pStyle w:val="0"/>
        <w:jc w:val="center"/>
      </w:pPr>
      <w:r>
        <w:rPr>
          <w:position w:val="-153"/>
        </w:rPr>
        <w:drawing>
          <wp:inline distT="0" distB="0" distL="0" distR="0">
            <wp:extent cx="5020945" cy="2073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5020945" cy="2073275"/>
                    </a:xfrm>
                    <a:prstGeom prst="rect">
                      <a:avLst/>
                    </a:prstGeom>
                    <a:noFill/>
                    <a:ln>
                      <a:noFill/>
                    </a:ln>
                  </pic:spPr>
                </pic:pic>
              </a:graphicData>
            </a:graphic>
          </wp:inline>
        </w:drawing>
      </w:r>
    </w:p>
    <w:p>
      <w:pPr>
        <w:pStyle w:val="0"/>
        <w:jc w:val="both"/>
      </w:pPr>
      <w:r>
        <w:rPr>
          <w:sz w:val="20"/>
        </w:rPr>
      </w:r>
    </w:p>
    <w:p>
      <w:pPr>
        <w:pStyle w:val="0"/>
        <w:jc w:val="center"/>
      </w:pPr>
      <w:r>
        <w:rPr>
          <w:position w:val="-118"/>
        </w:rPr>
        <w:drawing>
          <wp:inline distT="0" distB="0" distL="0" distR="0">
            <wp:extent cx="5053330" cy="1634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5053330" cy="16344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Среднее значение рентабельности по свободному денежному потоку по участкам недр 3 группы НДД "выработанные" за период анализа составило около 17,1%, среднее значение свободного денежного потока в расчете на тонну добычи находилось на уровне 6,6 тыс. руб.</w:t>
      </w:r>
    </w:p>
    <w:p>
      <w:pPr>
        <w:pStyle w:val="0"/>
        <w:spacing w:before="200" w:line-rule="auto"/>
        <w:ind w:firstLine="540"/>
        <w:jc w:val="both"/>
      </w:pPr>
      <w:r>
        <w:rPr>
          <w:sz w:val="20"/>
        </w:rPr>
        <w:t xml:space="preserve">С 2021 года по 2022 год общая величина выпадающих доходов федерального бюджета Российской Федерации, по данным системы, в связи с предоставлением данной льготы увеличилась с 167 млрд руб. до 534 млрд руб. (в 3,2 раза).</w:t>
      </w:r>
    </w:p>
    <w:p>
      <w:pPr>
        <w:pStyle w:val="0"/>
        <w:spacing w:before="200" w:line-rule="auto"/>
        <w:ind w:firstLine="540"/>
        <w:jc w:val="both"/>
      </w:pPr>
      <w:r>
        <w:rPr>
          <w:sz w:val="20"/>
        </w:rPr>
        <w:t xml:space="preserve">По итогам анализа совокупная доля добычи нефти и газового конденсата на "красных" и "желтых" участках недр в 3 группе НДД "выработанные" оценивается в 94% (141,1 млн тонн), в том числе 48% "красных" и 46% "желтых". Полученные результаты свидетельствуют о том, что экономика разработки участков недр в 3 группе НДД "выработанные" является более благоприятной по сравнению с экономикой добычи нефти на участках недр, находящихся на общей системе налогообложения. Это формирует стимулы для замещения добычи, не применяющей налоговые льготы, той добычей, в отношении которой применяются налоговые льготы, предусмотренные в рамках 3 группы НДД "выработанные".</w:t>
      </w:r>
    </w:p>
    <w:p>
      <w:pPr>
        <w:pStyle w:val="0"/>
        <w:spacing w:before="200" w:line-rule="auto"/>
        <w:ind w:firstLine="540"/>
        <w:jc w:val="both"/>
      </w:pPr>
      <w:r>
        <w:rPr>
          <w:sz w:val="20"/>
        </w:rPr>
        <w:t xml:space="preserve">Как следствие, требуется обсуждение с заинтересованными органами исполнительной власти и отраслевым сообществом корректировки параметров 3 группы НДД "выработанные".</w:t>
      </w:r>
    </w:p>
    <w:p>
      <w:pPr>
        <w:pStyle w:val="0"/>
        <w:spacing w:before="200" w:line-rule="auto"/>
        <w:ind w:firstLine="540"/>
        <w:jc w:val="both"/>
      </w:pPr>
      <w:r>
        <w:rPr>
          <w:sz w:val="20"/>
        </w:rPr>
        <w:t xml:space="preserve">Налог на дополнительный доход от добычи углеводородного сырья (НДД) 3 группа - "местоположение" &lt;34&gt;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w:t>
      </w:r>
      <w:hyperlink w:history="0" r:id="rId181"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Абзацы третий</w:t>
        </w:r>
      </w:hyperlink>
      <w:r>
        <w:rPr>
          <w:sz w:val="20"/>
        </w:rPr>
        <w:t xml:space="preserve"> и </w:t>
      </w:r>
      <w:hyperlink w:history="0" r:id="rId182"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четвертый подпункта 3 пункта 1 статьи 333.45</w:t>
        </w:r>
      </w:hyperlink>
      <w:r>
        <w:rPr>
          <w:sz w:val="20"/>
        </w:rPr>
        <w:t xml:space="preserve"> Налогового Кодекса Российской Федерации.</w:t>
      </w:r>
    </w:p>
    <w:p>
      <w:pPr>
        <w:pStyle w:val="0"/>
        <w:jc w:val="both"/>
      </w:pPr>
      <w:r>
        <w:rPr>
          <w:sz w:val="20"/>
        </w:rPr>
      </w:r>
    </w:p>
    <w:p>
      <w:pPr>
        <w:pStyle w:val="0"/>
        <w:ind w:firstLine="540"/>
        <w:jc w:val="both"/>
      </w:pPr>
      <w:r>
        <w:rPr>
          <w:sz w:val="20"/>
        </w:rPr>
        <w:t xml:space="preserve">Таблица 28. Краткая информация по льготе</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8"/>
        <w:gridCol w:w="6293"/>
      </w:tblGrid>
      <w:tr>
        <w:tblPrEx>
          <w:tblBorders>
            <w:insideH w:val="single" w:sz="4"/>
          </w:tblBorders>
        </w:tblPrEx>
        <w:tc>
          <w:tcPr>
            <w:tcW w:w="2778" w:type="dxa"/>
            <w:vAlign w:val="bottom"/>
            <w:tcBorders>
              <w:top w:val="single" w:sz="4"/>
              <w:left w:val="nil"/>
              <w:bottom w:val="single" w:sz="4"/>
              <w:right w:val="nil"/>
            </w:tcBorders>
          </w:tcPr>
          <w:p>
            <w:pPr>
              <w:pStyle w:val="0"/>
              <w:jc w:val="center"/>
            </w:pPr>
            <w:r>
              <w:rPr>
                <w:sz w:val="20"/>
              </w:rPr>
              <w:t xml:space="preserve">Показатель</w:t>
            </w:r>
          </w:p>
        </w:tc>
        <w:tc>
          <w:tcPr>
            <w:tcW w:w="6293" w:type="dxa"/>
            <w:vAlign w:val="bottom"/>
            <w:tcBorders>
              <w:top w:val="single" w:sz="4"/>
              <w:left w:val="nil"/>
              <w:bottom w:val="single" w:sz="4"/>
              <w:right w:val="nil"/>
            </w:tcBorders>
          </w:tcPr>
          <w:p>
            <w:pPr>
              <w:pStyle w:val="0"/>
              <w:jc w:val="center"/>
            </w:pPr>
            <w:r>
              <w:rPr>
                <w:sz w:val="20"/>
              </w:rPr>
              <w:t xml:space="preserve">Описание</w:t>
            </w:r>
          </w:p>
        </w:tc>
      </w:tr>
      <w:tr>
        <w:tc>
          <w:tcPr>
            <w:tcW w:w="2778" w:type="dxa"/>
            <w:vAlign w:val="center"/>
            <w:tcBorders>
              <w:top w:val="single" w:sz="4"/>
              <w:left w:val="nil"/>
              <w:bottom w:val="nil"/>
              <w:right w:val="nil"/>
            </w:tcBorders>
          </w:tcPr>
          <w:p>
            <w:pPr>
              <w:pStyle w:val="0"/>
              <w:jc w:val="both"/>
            </w:pPr>
            <w:r>
              <w:rPr>
                <w:sz w:val="20"/>
              </w:rPr>
              <w:t xml:space="preserve">Описание льготы</w:t>
            </w:r>
          </w:p>
        </w:tc>
        <w:tc>
          <w:tcPr>
            <w:tcW w:w="6293" w:type="dxa"/>
            <w:tcBorders>
              <w:top w:val="single" w:sz="4"/>
              <w:left w:val="nil"/>
              <w:bottom w:val="nil"/>
              <w:right w:val="nil"/>
            </w:tcBorders>
          </w:tcPr>
          <w:p>
            <w:pPr>
              <w:pStyle w:val="0"/>
              <w:jc w:val="both"/>
            </w:pPr>
            <w:r>
              <w:rPr>
                <w:sz w:val="20"/>
              </w:rPr>
              <w:t xml:space="preserve">НДД является новой системой налогообложения в нефтегазовой отрасли с 2019 года.</w:t>
            </w:r>
          </w:p>
        </w:tc>
      </w:tr>
      <w:tr>
        <w:tc>
          <w:tcPr>
            <w:tcW w:w="2778" w:type="dxa"/>
            <w:vAlign w:val="center"/>
            <w:tcBorders>
              <w:top w:val="nil"/>
              <w:left w:val="nil"/>
              <w:bottom w:val="nil"/>
              <w:right w:val="nil"/>
            </w:tcBorders>
          </w:tcPr>
          <w:p>
            <w:pPr>
              <w:pStyle w:val="0"/>
              <w:jc w:val="both"/>
            </w:pPr>
            <w:r>
              <w:rPr>
                <w:sz w:val="20"/>
              </w:rPr>
              <w:t xml:space="preserve">Условия применения льготы</w:t>
            </w:r>
          </w:p>
        </w:tc>
        <w:tc>
          <w:tcPr>
            <w:tcW w:w="6293" w:type="dxa"/>
            <w:tcBorders>
              <w:top w:val="nil"/>
              <w:left w:val="nil"/>
              <w:bottom w:val="nil"/>
              <w:right w:val="nil"/>
            </w:tcBorders>
          </w:tcPr>
          <w:p>
            <w:pPr>
              <w:pStyle w:val="0"/>
              <w:jc w:val="both"/>
            </w:pPr>
            <w:r>
              <w:rPr>
                <w:sz w:val="20"/>
              </w:rPr>
              <w:t xml:space="preserve">Действуете 01.01.2019.</w:t>
            </w:r>
          </w:p>
          <w:p>
            <w:pPr>
              <w:pStyle w:val="0"/>
              <w:jc w:val="both"/>
            </w:pPr>
            <w:r>
              <w:rPr>
                <w:sz w:val="20"/>
              </w:rPr>
              <w:t xml:space="preserve">Применяется при условии расположения участка недр в определенных регионах и/или указания участка недр в перечне.</w:t>
            </w:r>
          </w:p>
          <w:p>
            <w:pPr>
              <w:pStyle w:val="0"/>
              <w:jc w:val="both"/>
            </w:pPr>
            <w:r>
              <w:rPr>
                <w:sz w:val="20"/>
              </w:rPr>
              <w:t xml:space="preserve">Срок применения не ограничен.</w:t>
            </w:r>
          </w:p>
        </w:tc>
      </w:tr>
      <w:tr>
        <w:tc>
          <w:tcPr>
            <w:tcW w:w="2778" w:type="dxa"/>
            <w:tcBorders>
              <w:top w:val="nil"/>
              <w:left w:val="nil"/>
              <w:bottom w:val="nil"/>
              <w:right w:val="nil"/>
            </w:tcBorders>
          </w:tcPr>
          <w:p>
            <w:pPr>
              <w:pStyle w:val="0"/>
              <w:jc w:val="both"/>
            </w:pPr>
            <w:r>
              <w:rPr>
                <w:sz w:val="20"/>
              </w:rPr>
              <w:t xml:space="preserve">Количество участков недр за период анализа</w:t>
            </w:r>
          </w:p>
        </w:tc>
        <w:tc>
          <w:tcPr>
            <w:tcW w:w="6293" w:type="dxa"/>
            <w:vAlign w:val="center"/>
            <w:tcBorders>
              <w:top w:val="nil"/>
              <w:left w:val="nil"/>
              <w:bottom w:val="nil"/>
              <w:right w:val="nil"/>
            </w:tcBorders>
          </w:tcPr>
          <w:p>
            <w:pPr>
              <w:pStyle w:val="0"/>
              <w:jc w:val="both"/>
            </w:pPr>
            <w:r>
              <w:rPr>
                <w:sz w:val="20"/>
              </w:rPr>
              <w:t xml:space="preserve">44</w:t>
            </w:r>
          </w:p>
        </w:tc>
      </w:tr>
      <w:tr>
        <w:tc>
          <w:tcPr>
            <w:tcW w:w="2778" w:type="dxa"/>
            <w:tcBorders>
              <w:top w:val="nil"/>
              <w:left w:val="nil"/>
              <w:bottom w:val="single" w:sz="4"/>
              <w:right w:val="nil"/>
            </w:tcBorders>
          </w:tcPr>
          <w:p>
            <w:pPr>
              <w:pStyle w:val="0"/>
              <w:jc w:val="both"/>
            </w:pPr>
            <w:r>
              <w:rPr>
                <w:sz w:val="20"/>
              </w:rPr>
              <w:t xml:space="preserve">Наличие обязательств</w:t>
            </w:r>
          </w:p>
        </w:tc>
        <w:tc>
          <w:tcPr>
            <w:tcW w:w="6293" w:type="dxa"/>
            <w:tcBorders>
              <w:top w:val="nil"/>
              <w:left w:val="nil"/>
              <w:bottom w:val="single" w:sz="4"/>
              <w:right w:val="nil"/>
            </w:tcBorders>
          </w:tcPr>
          <w:p>
            <w:pPr>
              <w:pStyle w:val="0"/>
              <w:jc w:val="both"/>
            </w:pPr>
            <w:r>
              <w:rPr>
                <w:sz w:val="20"/>
              </w:rPr>
              <w:t xml:space="preserve">Нет.</w:t>
            </w:r>
          </w:p>
        </w:tc>
      </w:tr>
    </w:tbl>
    <w:p>
      <w:pPr>
        <w:pStyle w:val="0"/>
        <w:jc w:val="both"/>
      </w:pPr>
      <w:r>
        <w:rPr>
          <w:sz w:val="20"/>
        </w:rPr>
      </w:r>
    </w:p>
    <w:p>
      <w:pPr>
        <w:pStyle w:val="0"/>
        <w:ind w:firstLine="540"/>
        <w:jc w:val="both"/>
      </w:pPr>
      <w:r>
        <w:rPr>
          <w:sz w:val="20"/>
        </w:rPr>
        <w:t xml:space="preserve">За период анализа (2019 - 2022 годы) общее количество участков недр в 3 группе НДД "местоположение" составило 44, из которых в периметр анализа на базе АС "Эффективность льгот" вошли 42 &lt;35&gt; участка.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&lt;35&gt; 2 участка недр не вошли в анализ по причине нулевой добычи нефти и газового конденсата за период анализа.</w:t>
      </w:r>
    </w:p>
    <w:p>
      <w:pPr>
        <w:pStyle w:val="0"/>
        <w:jc w:val="both"/>
      </w:pPr>
      <w:r>
        <w:rPr>
          <w:sz w:val="20"/>
        </w:rPr>
      </w:r>
    </w:p>
    <w:p>
      <w:pPr>
        <w:pStyle w:val="0"/>
        <w:ind w:firstLine="540"/>
        <w:jc w:val="both"/>
      </w:pPr>
      <w:r>
        <w:rPr>
          <w:sz w:val="20"/>
        </w:rPr>
        <w:t xml:space="preserve">В 2022 году на 3 группу НДД "местоположение" пришлось 2,7% общероссийской добычи нефти и газового конденсата или 14,6 млн тонн.</w:t>
      </w:r>
    </w:p>
    <w:p>
      <w:pPr>
        <w:pStyle w:val="0"/>
        <w:jc w:val="both"/>
      </w:pPr>
      <w:r>
        <w:rPr>
          <w:sz w:val="20"/>
        </w:rPr>
      </w:r>
    </w:p>
    <w:p>
      <w:pPr>
        <w:pStyle w:val="0"/>
        <w:jc w:val="center"/>
      </w:pPr>
      <w:r>
        <w:rPr>
          <w:position w:val="-143"/>
        </w:rPr>
        <w:drawing>
          <wp:inline distT="0" distB="0" distL="0" distR="0">
            <wp:extent cx="5055870" cy="1943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5055870" cy="1943100"/>
                    </a:xfrm>
                    <a:prstGeom prst="rect">
                      <a:avLst/>
                    </a:prstGeom>
                    <a:noFill/>
                    <a:ln>
                      <a:noFill/>
                    </a:ln>
                  </pic:spPr>
                </pic:pic>
              </a:graphicData>
            </a:graphic>
          </wp:inline>
        </w:drawing>
      </w:r>
    </w:p>
    <w:p>
      <w:pPr>
        <w:pStyle w:val="0"/>
        <w:jc w:val="both"/>
      </w:pPr>
      <w:r>
        <w:rPr>
          <w:sz w:val="20"/>
        </w:rPr>
      </w:r>
    </w:p>
    <w:p>
      <w:pPr>
        <w:pStyle w:val="0"/>
        <w:jc w:val="center"/>
      </w:pPr>
      <w:r>
        <w:rPr>
          <w:position w:val="-116"/>
        </w:rPr>
        <w:drawing>
          <wp:inline distT="0" distB="0" distL="0" distR="0">
            <wp:extent cx="5043805" cy="1609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5043805" cy="16097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Среднее значение рентабельности по свободному денежному потоку по участкам недр 3 группы НДД "местоположение" за период анализа составило около 10%, среднее значение свободного денежного потока в расчете на тонну добычи находилось на уровне 3,2 тыс. руб.</w:t>
      </w:r>
    </w:p>
    <w:p>
      <w:pPr>
        <w:pStyle w:val="0"/>
        <w:spacing w:before="200" w:line-rule="auto"/>
        <w:ind w:firstLine="540"/>
        <w:jc w:val="both"/>
      </w:pPr>
      <w:r>
        <w:rPr>
          <w:sz w:val="20"/>
        </w:rPr>
        <w:t xml:space="preserve">С 2019 года по 2022 год общая величина выпадающих доходов федерального бюджета Российской Федерации, по данным системы, в связи с предоставлением данной льготы увеличилась с 33,5 млрд руб. до 53,4 млрд руб. (в 1,6 раза).</w:t>
      </w:r>
    </w:p>
    <w:p>
      <w:pPr>
        <w:pStyle w:val="0"/>
        <w:spacing w:before="200" w:line-rule="auto"/>
        <w:ind w:firstLine="540"/>
        <w:jc w:val="both"/>
      </w:pPr>
      <w:r>
        <w:rPr>
          <w:sz w:val="20"/>
        </w:rPr>
        <w:t xml:space="preserve">По итогам анализа совокупная доля добычи нефти и газового конденсата на "красных" и "желтых" участках недр в 3 группе НДД "местоположение" оценивается в 44% (7,4 млн тонн), в том числе 3% "красных" и 41% "желтых". Полученные результаты свидетельствуют о том, что экономика разработки участков недр в 3 группе НДД "местоположение" сопоставима с экономикой добычи нефти на участках недр, находящихся на общей системе налогообложения.</w:t>
      </w:r>
    </w:p>
    <w:p>
      <w:pPr>
        <w:pStyle w:val="0"/>
        <w:spacing w:before="200" w:line-rule="auto"/>
        <w:ind w:firstLine="540"/>
        <w:jc w:val="both"/>
      </w:pPr>
      <w:r>
        <w:rPr>
          <w:sz w:val="20"/>
        </w:rPr>
        <w:t xml:space="preserve">Как следствие, 3 группа НДД "местоположение" признается эффективной.</w:t>
      </w:r>
    </w:p>
    <w:p>
      <w:pPr>
        <w:pStyle w:val="0"/>
        <w:spacing w:before="200" w:line-rule="auto"/>
        <w:ind w:firstLine="540"/>
        <w:jc w:val="both"/>
      </w:pPr>
      <w:r>
        <w:rPr>
          <w:sz w:val="20"/>
        </w:rPr>
        <w:t xml:space="preserve">Налог на дополнительный доход от добычи углеводородного сырья (НДД) 4 группа &lt;36&gt;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&lt;36&gt; </w:t>
      </w:r>
      <w:hyperlink w:history="0" r:id="rId185"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Подпункт 4 пункта 1 статьи 333.45</w:t>
        </w:r>
      </w:hyperlink>
      <w:r>
        <w:rPr>
          <w:sz w:val="20"/>
        </w:rPr>
        <w:t xml:space="preserve"> Налогового Кодекса Российской Федерации.</w:t>
      </w:r>
    </w:p>
    <w:p>
      <w:pPr>
        <w:pStyle w:val="0"/>
        <w:jc w:val="both"/>
      </w:pPr>
      <w:r>
        <w:rPr>
          <w:sz w:val="20"/>
        </w:rPr>
      </w:r>
    </w:p>
    <w:p>
      <w:pPr>
        <w:pStyle w:val="0"/>
        <w:ind w:firstLine="540"/>
        <w:jc w:val="both"/>
      </w:pPr>
      <w:r>
        <w:rPr>
          <w:sz w:val="20"/>
        </w:rPr>
        <w:t xml:space="preserve">Таблица 29. Краткая информация по льготе</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2778"/>
        <w:gridCol w:w="6293"/>
      </w:tblGrid>
      <w:tr>
        <w:tblPrEx>
          <w:tblBorders>
            <w:insideH w:val="single" w:sz="4"/>
          </w:tblBorders>
        </w:tblPrEx>
        <w:tc>
          <w:tcPr>
            <w:tcW w:w="2778" w:type="dxa"/>
            <w:tcBorders>
              <w:top w:val="single" w:sz="4"/>
              <w:left w:val="nil"/>
              <w:bottom w:val="single" w:sz="4"/>
              <w:right w:val="nil"/>
            </w:tcBorders>
          </w:tcPr>
          <w:p>
            <w:pPr>
              <w:pStyle w:val="0"/>
              <w:jc w:val="center"/>
            </w:pPr>
            <w:r>
              <w:rPr>
                <w:sz w:val="20"/>
              </w:rPr>
              <w:t xml:space="preserve">Показатель</w:t>
            </w:r>
          </w:p>
        </w:tc>
        <w:tc>
          <w:tcPr>
            <w:tcW w:w="6293" w:type="dxa"/>
            <w:tcBorders>
              <w:top w:val="single" w:sz="4"/>
              <w:left w:val="nil"/>
              <w:bottom w:val="single" w:sz="4"/>
              <w:right w:val="nil"/>
            </w:tcBorders>
          </w:tcPr>
          <w:p>
            <w:pPr>
              <w:pStyle w:val="0"/>
              <w:jc w:val="center"/>
            </w:pPr>
            <w:r>
              <w:rPr>
                <w:sz w:val="20"/>
              </w:rPr>
              <w:t xml:space="preserve">Описание</w:t>
            </w:r>
          </w:p>
        </w:tc>
      </w:tr>
      <w:tr>
        <w:tc>
          <w:tcPr>
            <w:tcW w:w="2778" w:type="dxa"/>
            <w:vAlign w:val="center"/>
            <w:tcBorders>
              <w:top w:val="single" w:sz="4"/>
              <w:left w:val="nil"/>
              <w:bottom w:val="nil"/>
              <w:right w:val="nil"/>
            </w:tcBorders>
          </w:tcPr>
          <w:p>
            <w:pPr>
              <w:pStyle w:val="0"/>
              <w:jc w:val="both"/>
            </w:pPr>
            <w:r>
              <w:rPr>
                <w:sz w:val="20"/>
              </w:rPr>
              <w:t xml:space="preserve">Описание льготы</w:t>
            </w:r>
          </w:p>
        </w:tc>
        <w:tc>
          <w:tcPr>
            <w:tcW w:w="6293" w:type="dxa"/>
            <w:vAlign w:val="bottom"/>
            <w:tcBorders>
              <w:top w:val="single" w:sz="4"/>
              <w:left w:val="nil"/>
              <w:bottom w:val="nil"/>
              <w:right w:val="nil"/>
            </w:tcBorders>
          </w:tcPr>
          <w:p>
            <w:pPr>
              <w:pStyle w:val="0"/>
              <w:jc w:val="both"/>
            </w:pPr>
            <w:r>
              <w:rPr>
                <w:sz w:val="20"/>
              </w:rPr>
              <w:t xml:space="preserve">НДД является новой системой налогообложения в нефтегазовой отрасли с 2019 года.</w:t>
            </w:r>
          </w:p>
        </w:tc>
      </w:tr>
      <w:tr>
        <w:tc>
          <w:tcPr>
            <w:tcW w:w="2778" w:type="dxa"/>
            <w:vAlign w:val="center"/>
            <w:tcBorders>
              <w:top w:val="nil"/>
              <w:left w:val="nil"/>
              <w:bottom w:val="nil"/>
              <w:right w:val="nil"/>
            </w:tcBorders>
          </w:tcPr>
          <w:p>
            <w:pPr>
              <w:pStyle w:val="0"/>
              <w:jc w:val="both"/>
            </w:pPr>
            <w:r>
              <w:rPr>
                <w:sz w:val="20"/>
              </w:rPr>
              <w:t xml:space="preserve">Условия применения льготы</w:t>
            </w:r>
          </w:p>
        </w:tc>
        <w:tc>
          <w:tcPr>
            <w:tcW w:w="6293" w:type="dxa"/>
            <w:vAlign w:val="bottom"/>
            <w:tcBorders>
              <w:top w:val="nil"/>
              <w:left w:val="nil"/>
              <w:bottom w:val="nil"/>
              <w:right w:val="nil"/>
            </w:tcBorders>
          </w:tcPr>
          <w:p>
            <w:pPr>
              <w:pStyle w:val="0"/>
              <w:jc w:val="both"/>
            </w:pPr>
            <w:r>
              <w:rPr>
                <w:sz w:val="20"/>
              </w:rPr>
              <w:t xml:space="preserve">Действуете 01.01.2019.</w:t>
            </w:r>
          </w:p>
          <w:p>
            <w:pPr>
              <w:pStyle w:val="0"/>
              <w:jc w:val="both"/>
            </w:pPr>
            <w:r>
              <w:rPr>
                <w:sz w:val="20"/>
              </w:rPr>
              <w:t xml:space="preserve">Применяется при условии указания участка недр в перечне.</w:t>
            </w:r>
          </w:p>
          <w:p>
            <w:pPr>
              <w:pStyle w:val="0"/>
              <w:jc w:val="both"/>
            </w:pPr>
            <w:r>
              <w:rPr>
                <w:sz w:val="20"/>
              </w:rPr>
              <w:t xml:space="preserve">Срок применения не ограничен.</w:t>
            </w:r>
          </w:p>
        </w:tc>
      </w:tr>
      <w:tr>
        <w:tc>
          <w:tcPr>
            <w:tcW w:w="2778" w:type="dxa"/>
            <w:vAlign w:val="bottom"/>
            <w:tcBorders>
              <w:top w:val="nil"/>
              <w:left w:val="nil"/>
              <w:bottom w:val="nil"/>
              <w:right w:val="nil"/>
            </w:tcBorders>
          </w:tcPr>
          <w:p>
            <w:pPr>
              <w:pStyle w:val="0"/>
              <w:jc w:val="both"/>
            </w:pPr>
            <w:r>
              <w:rPr>
                <w:sz w:val="20"/>
              </w:rPr>
              <w:t xml:space="preserve">Количество участков недр за период анализа</w:t>
            </w:r>
          </w:p>
        </w:tc>
        <w:tc>
          <w:tcPr>
            <w:tcW w:w="6293" w:type="dxa"/>
            <w:vAlign w:val="center"/>
            <w:tcBorders>
              <w:top w:val="nil"/>
              <w:left w:val="nil"/>
              <w:bottom w:val="nil"/>
              <w:right w:val="nil"/>
            </w:tcBorders>
          </w:tcPr>
          <w:p>
            <w:pPr>
              <w:pStyle w:val="0"/>
              <w:jc w:val="both"/>
            </w:pPr>
            <w:r>
              <w:rPr>
                <w:sz w:val="20"/>
              </w:rPr>
              <w:t xml:space="preserve">74</w:t>
            </w:r>
          </w:p>
        </w:tc>
      </w:tr>
      <w:tr>
        <w:tc>
          <w:tcPr>
            <w:tcW w:w="2778" w:type="dxa"/>
            <w:tcBorders>
              <w:top w:val="nil"/>
              <w:left w:val="nil"/>
              <w:bottom w:val="single" w:sz="4"/>
              <w:right w:val="nil"/>
            </w:tcBorders>
          </w:tcPr>
          <w:p>
            <w:pPr>
              <w:pStyle w:val="0"/>
              <w:jc w:val="both"/>
            </w:pPr>
            <w:r>
              <w:rPr>
                <w:sz w:val="20"/>
              </w:rPr>
              <w:t xml:space="preserve">Наличие обязательств</w:t>
            </w:r>
          </w:p>
        </w:tc>
        <w:tc>
          <w:tcPr>
            <w:tcW w:w="6293" w:type="dxa"/>
            <w:tcBorders>
              <w:top w:val="nil"/>
              <w:left w:val="nil"/>
              <w:bottom w:val="single" w:sz="4"/>
              <w:right w:val="nil"/>
            </w:tcBorders>
          </w:tcPr>
          <w:p>
            <w:pPr>
              <w:pStyle w:val="0"/>
              <w:jc w:val="both"/>
            </w:pPr>
            <w:r>
              <w:rPr>
                <w:sz w:val="20"/>
              </w:rPr>
              <w:t xml:space="preserve">Нет.</w:t>
            </w:r>
          </w:p>
        </w:tc>
      </w:tr>
    </w:tbl>
    <w:p>
      <w:pPr>
        <w:pStyle w:val="0"/>
        <w:jc w:val="both"/>
      </w:pPr>
      <w:r>
        <w:rPr>
          <w:sz w:val="20"/>
        </w:rPr>
      </w:r>
    </w:p>
    <w:p>
      <w:pPr>
        <w:pStyle w:val="0"/>
        <w:ind w:firstLine="540"/>
        <w:jc w:val="both"/>
      </w:pPr>
      <w:r>
        <w:rPr>
          <w:sz w:val="20"/>
        </w:rPr>
        <w:t xml:space="preserve">За период анализа (2019 - 2022 годы) общее количество участков недр в 4 группе НДД составило 74, из которых в периметр анализа на базе АС "Эффективность льгот" вошли 25 &lt;37&gt; участков.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&lt;37&gt; 49 участков недр не вошли в анализ по причине нулевой добычи нефти и газового конденсата за период анализа.</w:t>
      </w:r>
    </w:p>
    <w:p>
      <w:pPr>
        <w:pStyle w:val="0"/>
        <w:jc w:val="both"/>
      </w:pPr>
      <w:r>
        <w:rPr>
          <w:sz w:val="20"/>
        </w:rPr>
      </w:r>
    </w:p>
    <w:p>
      <w:pPr>
        <w:pStyle w:val="0"/>
        <w:ind w:firstLine="540"/>
        <w:jc w:val="both"/>
      </w:pPr>
      <w:r>
        <w:rPr>
          <w:sz w:val="20"/>
        </w:rPr>
        <w:t xml:space="preserve">В 2022 году на 4 группу НДД пришлось порядка 2% общероссийской добычи нефти и газового конденсата или 8,4 млн тонн.</w:t>
      </w:r>
    </w:p>
    <w:p>
      <w:pPr>
        <w:pStyle w:val="0"/>
        <w:jc w:val="both"/>
      </w:pPr>
      <w:r>
        <w:rPr>
          <w:sz w:val="20"/>
        </w:rPr>
      </w:r>
    </w:p>
    <w:p>
      <w:pPr>
        <w:pStyle w:val="0"/>
        <w:jc w:val="center"/>
      </w:pPr>
      <w:r>
        <w:rPr>
          <w:position w:val="-142"/>
        </w:rPr>
        <w:drawing>
          <wp:inline distT="0" distB="0" distL="0" distR="0">
            <wp:extent cx="5050155" cy="19310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5050155" cy="1931035"/>
                    </a:xfrm>
                    <a:prstGeom prst="rect">
                      <a:avLst/>
                    </a:prstGeom>
                    <a:noFill/>
                    <a:ln>
                      <a:noFill/>
                    </a:ln>
                  </pic:spPr>
                </pic:pic>
              </a:graphicData>
            </a:graphic>
          </wp:inline>
        </w:drawing>
      </w:r>
    </w:p>
    <w:p>
      <w:pPr>
        <w:pStyle w:val="0"/>
        <w:jc w:val="both"/>
      </w:pPr>
      <w:r>
        <w:rPr>
          <w:sz w:val="20"/>
        </w:rPr>
      </w:r>
    </w:p>
    <w:p>
      <w:pPr>
        <w:pStyle w:val="0"/>
        <w:jc w:val="center"/>
      </w:pPr>
      <w:r>
        <w:rPr>
          <w:position w:val="-116"/>
        </w:rPr>
        <w:drawing>
          <wp:inline distT="0" distB="0" distL="0" distR="0">
            <wp:extent cx="5048250" cy="1609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5048250" cy="16097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Среднее значение рентабельности по свободному денежному потоку по участкам недр 4 группы НДД за период анализа составило 17,7%, среднее значение свободного денежного потока в расчете на тонну добычи находилось на уровне 6,3 тыс. руб.</w:t>
      </w:r>
    </w:p>
    <w:p>
      <w:pPr>
        <w:pStyle w:val="0"/>
        <w:spacing w:before="200" w:line-rule="auto"/>
        <w:ind w:firstLine="540"/>
        <w:jc w:val="both"/>
      </w:pPr>
      <w:r>
        <w:rPr>
          <w:sz w:val="20"/>
        </w:rPr>
        <w:t xml:space="preserve">С 2019 года по 2022 год общая величина выпадающих доходов федерального бюджета Российской Федерации, по данным системы, в связи с предоставлением данной льготы увеличилась с 7,6 млрд руб. до 69,4 млрд руб. (в 9,1 раза).</w:t>
      </w:r>
    </w:p>
    <w:p>
      <w:pPr>
        <w:pStyle w:val="0"/>
        <w:spacing w:before="200" w:line-rule="auto"/>
        <w:ind w:firstLine="540"/>
        <w:jc w:val="both"/>
      </w:pPr>
      <w:r>
        <w:rPr>
          <w:sz w:val="20"/>
        </w:rPr>
        <w:t xml:space="preserve">По итогам анализа совокупная доля добычи нефти и газового конденсата на "красных" и "желтых" участках недр в 4 группе НДД оценивается в 82% (5,2 млн тонн), в том числе 7% "красных" и 75% "желтых". Полученные результаты свидетельствуют о том, что экономика разработки участков недр в 4 группе НДД является более благоприятной по сравнению с экономикой добычи нефти на участках недр, находящихся на общей системе налогообложения. Это формирует стимулы для замещения добычи, не применяющей налоговые льготы, той добычей, в отношении которой применяются налоговые льготы, предусмотренные в рамках 4 группы НДД.</w:t>
      </w:r>
    </w:p>
    <w:p>
      <w:pPr>
        <w:pStyle w:val="0"/>
        <w:spacing w:before="200" w:line-rule="auto"/>
        <w:ind w:firstLine="540"/>
        <w:jc w:val="both"/>
      </w:pPr>
      <w:r>
        <w:rPr>
          <w:sz w:val="20"/>
        </w:rPr>
        <w:t xml:space="preserve">Актуальным является вопрос корректировки параметров 4 группы НДД, требующий дополнительного обсуждения.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6</w:t>
      </w:r>
    </w:p>
    <w:p>
      <w:pPr>
        <w:pStyle w:val="0"/>
        <w:jc w:val="both"/>
      </w:pPr>
      <w:r>
        <w:rPr>
          <w:sz w:val="20"/>
        </w:rPr>
      </w:r>
    </w:p>
    <w:p>
      <w:pPr>
        <w:pStyle w:val="2"/>
        <w:jc w:val="center"/>
      </w:pPr>
      <w:r>
        <w:rPr>
          <w:sz w:val="20"/>
        </w:rPr>
        <w:t xml:space="preserve">ИНФОРМАЦИЯ</w:t>
      </w:r>
    </w:p>
    <w:p>
      <w:pPr>
        <w:pStyle w:val="2"/>
        <w:jc w:val="center"/>
      </w:pPr>
      <w:r>
        <w:rPr>
          <w:sz w:val="20"/>
        </w:rPr>
        <w:t xml:space="preserve">О РАЗМЕРЕ СРЕДНЕВЗВЕШЕННОЙ СТАВКИ ИМПОРТНОГО</w:t>
      </w:r>
    </w:p>
    <w:p>
      <w:pPr>
        <w:pStyle w:val="2"/>
        <w:jc w:val="center"/>
      </w:pPr>
      <w:r>
        <w:rPr>
          <w:sz w:val="20"/>
        </w:rPr>
        <w:t xml:space="preserve">ТАРИФА ПО УКРУПНЕННЫМ ГРУППАМ ТОВАРОВ В 2022 ГОДУ,</w:t>
      </w:r>
    </w:p>
    <w:p>
      <w:pPr>
        <w:pStyle w:val="2"/>
        <w:jc w:val="center"/>
      </w:pPr>
      <w:r>
        <w:rPr>
          <w:sz w:val="20"/>
        </w:rPr>
        <w:t xml:space="preserve">А ТАКЖЕ ПРОГНОЗ ЕЕ ИЗМЕНЕНИЯ В 2023 - 2026 ГОДАХ</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tblBorders>
        <w:tblCellMar>
          <w:top w:w="102" w:type="dxa"/>
          <w:left w:w="62" w:type="dxa"/>
          <w:bottom w:w="102" w:type="dxa"/>
          <w:right w:w="62" w:type="dxa"/>
        </w:tblCellMar>
      </w:tblPr>
      <w:tblGrid>
        <w:gridCol w:w="1247"/>
        <w:gridCol w:w="3514"/>
        <w:gridCol w:w="1117"/>
        <w:gridCol w:w="1117"/>
        <w:gridCol w:w="1117"/>
        <w:gridCol w:w="1117"/>
        <w:gridCol w:w="1117"/>
        <w:gridCol w:w="1117"/>
        <w:gridCol w:w="1122"/>
      </w:tblGrid>
      <w:tr>
        <w:tc>
          <w:tcPr>
            <w:tcW w:w="1247" w:type="dxa"/>
            <w:tcBorders>
              <w:top w:val="single" w:sz="4"/>
              <w:left w:val="nil"/>
              <w:bottom w:val="single" w:sz="4"/>
              <w:right w:val="nil"/>
            </w:tcBorders>
            <w:vMerge w:val="restart"/>
          </w:tcPr>
          <w:p>
            <w:pPr>
              <w:pStyle w:val="0"/>
              <w:jc w:val="center"/>
            </w:pPr>
            <w:r>
              <w:rPr>
                <w:sz w:val="20"/>
              </w:rPr>
              <w:t xml:space="preserve">Код </w:t>
            </w:r>
            <w:hyperlink w:history="0" r:id="rId188"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ТН</w:t>
              </w:r>
            </w:hyperlink>
            <w:r>
              <w:rPr>
                <w:sz w:val="20"/>
              </w:rPr>
              <w:t xml:space="preserve"> ВЭД ЕАЭС</w:t>
            </w:r>
          </w:p>
        </w:tc>
        <w:tc>
          <w:tcPr>
            <w:tcW w:w="3514" w:type="dxa"/>
            <w:tcBorders>
              <w:top w:val="single" w:sz="4"/>
              <w:left w:val="nil"/>
              <w:bottom w:val="single" w:sz="4"/>
              <w:right w:val="nil"/>
            </w:tcBorders>
            <w:vMerge w:val="restart"/>
          </w:tcPr>
          <w:p>
            <w:pPr>
              <w:pStyle w:val="0"/>
              <w:jc w:val="center"/>
            </w:pPr>
            <w:r>
              <w:rPr>
                <w:sz w:val="20"/>
              </w:rPr>
              <w:t xml:space="preserve">Название</w:t>
            </w:r>
          </w:p>
        </w:tc>
        <w:tc>
          <w:tcPr>
            <w:gridSpan w:val="7"/>
            <w:tcW w:w="7824" w:type="dxa"/>
            <w:tcBorders>
              <w:top w:val="single" w:sz="4"/>
              <w:left w:val="nil"/>
              <w:bottom w:val="nil"/>
              <w:right w:val="nil"/>
            </w:tcBorders>
          </w:tcPr>
          <w:p>
            <w:pPr>
              <w:pStyle w:val="0"/>
              <w:jc w:val="center"/>
            </w:pPr>
            <w:r>
              <w:rPr>
                <w:sz w:val="20"/>
              </w:rPr>
              <w:t xml:space="preserve">Средневзвешенная ставка, %</w:t>
            </w:r>
          </w:p>
        </w:tc>
      </w:tr>
      <w:tr>
        <w:tblPrEx>
          <w:tblBorders>
            <w:insideH w:val="single" w:sz="4"/>
          </w:tblBorders>
        </w:tblPrEx>
        <w:tc>
          <w:tcPr>
            <w:tcBorders>
              <w:top w:val="single" w:sz="4"/>
              <w:left w:val="nil"/>
              <w:bottom w:val="single" w:sz="4"/>
              <w:right w:val="nil"/>
            </w:tcBorders>
            <w:vMerge w:val="continue"/>
          </w:tcPr>
          <w:p/>
        </w:tc>
        <w:tc>
          <w:tcPr>
            <w:tcBorders>
              <w:top w:val="single" w:sz="4"/>
              <w:left w:val="nil"/>
              <w:bottom w:val="single" w:sz="4"/>
              <w:right w:val="nil"/>
            </w:tcBorders>
            <w:vMerge w:val="continue"/>
          </w:tcPr>
          <w:p/>
        </w:tc>
        <w:tc>
          <w:tcPr>
            <w:tcW w:w="1117" w:type="dxa"/>
            <w:tcBorders>
              <w:top w:val="nil"/>
              <w:left w:val="nil"/>
              <w:bottom w:val="single" w:sz="4"/>
              <w:right w:val="nil"/>
            </w:tcBorders>
          </w:tcPr>
          <w:p>
            <w:pPr>
              <w:pStyle w:val="0"/>
              <w:jc w:val="center"/>
            </w:pPr>
            <w:r>
              <w:rPr>
                <w:sz w:val="20"/>
              </w:rPr>
              <w:t xml:space="preserve">2020 (факт)</w:t>
            </w:r>
          </w:p>
        </w:tc>
        <w:tc>
          <w:tcPr>
            <w:tcW w:w="1117" w:type="dxa"/>
            <w:tcBorders>
              <w:top w:val="nil"/>
              <w:left w:val="nil"/>
              <w:bottom w:val="single" w:sz="4"/>
              <w:right w:val="nil"/>
            </w:tcBorders>
          </w:tcPr>
          <w:p>
            <w:pPr>
              <w:pStyle w:val="0"/>
              <w:jc w:val="center"/>
            </w:pPr>
            <w:r>
              <w:rPr>
                <w:sz w:val="20"/>
              </w:rPr>
              <w:t xml:space="preserve">2021 (факт)</w:t>
            </w:r>
          </w:p>
        </w:tc>
        <w:tc>
          <w:tcPr>
            <w:tcW w:w="1117" w:type="dxa"/>
            <w:tcBorders>
              <w:top w:val="nil"/>
              <w:left w:val="nil"/>
              <w:bottom w:val="single" w:sz="4"/>
              <w:right w:val="nil"/>
            </w:tcBorders>
          </w:tcPr>
          <w:p>
            <w:pPr>
              <w:pStyle w:val="0"/>
              <w:jc w:val="center"/>
            </w:pPr>
            <w:r>
              <w:rPr>
                <w:sz w:val="20"/>
              </w:rPr>
              <w:t xml:space="preserve">2022 (факт)</w:t>
            </w:r>
          </w:p>
        </w:tc>
        <w:tc>
          <w:tcPr>
            <w:tcW w:w="1117" w:type="dxa"/>
            <w:tcBorders>
              <w:top w:val="nil"/>
              <w:left w:val="nil"/>
              <w:bottom w:val="single" w:sz="4"/>
              <w:right w:val="nil"/>
            </w:tcBorders>
          </w:tcPr>
          <w:p>
            <w:pPr>
              <w:pStyle w:val="0"/>
              <w:jc w:val="center"/>
            </w:pPr>
            <w:r>
              <w:rPr>
                <w:sz w:val="20"/>
              </w:rPr>
              <w:t xml:space="preserve">2023 (прогноз)</w:t>
            </w:r>
          </w:p>
        </w:tc>
        <w:tc>
          <w:tcPr>
            <w:tcW w:w="1117" w:type="dxa"/>
            <w:tcBorders>
              <w:top w:val="nil"/>
              <w:left w:val="nil"/>
              <w:bottom w:val="single" w:sz="4"/>
              <w:right w:val="nil"/>
            </w:tcBorders>
          </w:tcPr>
          <w:p>
            <w:pPr>
              <w:pStyle w:val="0"/>
              <w:jc w:val="center"/>
            </w:pPr>
            <w:r>
              <w:rPr>
                <w:sz w:val="20"/>
              </w:rPr>
              <w:t xml:space="preserve">2024 (прогноз)</w:t>
            </w:r>
          </w:p>
        </w:tc>
        <w:tc>
          <w:tcPr>
            <w:tcW w:w="1117" w:type="dxa"/>
            <w:tcBorders>
              <w:top w:val="nil"/>
              <w:left w:val="nil"/>
              <w:bottom w:val="single" w:sz="4"/>
              <w:right w:val="nil"/>
            </w:tcBorders>
          </w:tcPr>
          <w:p>
            <w:pPr>
              <w:pStyle w:val="0"/>
              <w:jc w:val="center"/>
            </w:pPr>
            <w:r>
              <w:rPr>
                <w:sz w:val="20"/>
              </w:rPr>
              <w:t xml:space="preserve">2025 (прогноз)</w:t>
            </w:r>
          </w:p>
        </w:tc>
        <w:tc>
          <w:tcPr>
            <w:tcW w:w="1122" w:type="dxa"/>
            <w:tcBorders>
              <w:top w:val="nil"/>
              <w:left w:val="nil"/>
              <w:bottom w:val="single" w:sz="4"/>
              <w:right w:val="nil"/>
            </w:tcBorders>
          </w:tcPr>
          <w:p>
            <w:pPr>
              <w:pStyle w:val="0"/>
              <w:jc w:val="center"/>
            </w:pPr>
            <w:r>
              <w:rPr>
                <w:sz w:val="20"/>
              </w:rPr>
              <w:t xml:space="preserve">2026 (прогноз)</w:t>
            </w:r>
          </w:p>
        </w:tc>
      </w:tr>
      <w:tr>
        <w:tc>
          <w:tcPr>
            <w:tcW w:w="1247" w:type="dxa"/>
            <w:vAlign w:val="center"/>
            <w:tcBorders>
              <w:top w:val="single" w:sz="4"/>
              <w:left w:val="nil"/>
              <w:bottom w:val="nil"/>
              <w:right w:val="nil"/>
            </w:tcBorders>
          </w:tcPr>
          <w:p>
            <w:pPr>
              <w:pStyle w:val="0"/>
              <w:jc w:val="center"/>
            </w:pPr>
            <w:r>
              <w:rPr>
                <w:sz w:val="20"/>
              </w:rPr>
              <w:t xml:space="preserve">01 - 24</w:t>
            </w:r>
          </w:p>
        </w:tc>
        <w:tc>
          <w:tcPr>
            <w:tcW w:w="3514" w:type="dxa"/>
            <w:tcBorders>
              <w:top w:val="single" w:sz="4"/>
              <w:left w:val="nil"/>
              <w:bottom w:val="nil"/>
              <w:right w:val="nil"/>
            </w:tcBorders>
          </w:tcPr>
          <w:p>
            <w:pPr>
              <w:pStyle w:val="0"/>
            </w:pPr>
            <w:r>
              <w:rPr>
                <w:sz w:val="20"/>
              </w:rPr>
              <w:t xml:space="preserve">Продовольственные товары и с/х сырье</w:t>
            </w:r>
          </w:p>
        </w:tc>
        <w:tc>
          <w:tcPr>
            <w:tcW w:w="1117" w:type="dxa"/>
            <w:vAlign w:val="center"/>
            <w:tcBorders>
              <w:top w:val="single" w:sz="4"/>
              <w:left w:val="nil"/>
              <w:bottom w:val="nil"/>
              <w:right w:val="nil"/>
            </w:tcBorders>
          </w:tcPr>
          <w:p>
            <w:pPr>
              <w:pStyle w:val="0"/>
              <w:jc w:val="center"/>
            </w:pPr>
            <w:r>
              <w:rPr>
                <w:sz w:val="20"/>
              </w:rPr>
              <w:t xml:space="preserve">6,03</w:t>
            </w:r>
          </w:p>
        </w:tc>
        <w:tc>
          <w:tcPr>
            <w:tcW w:w="1117" w:type="dxa"/>
            <w:vAlign w:val="center"/>
            <w:tcBorders>
              <w:top w:val="single" w:sz="4"/>
              <w:left w:val="nil"/>
              <w:bottom w:val="nil"/>
              <w:right w:val="nil"/>
            </w:tcBorders>
          </w:tcPr>
          <w:p>
            <w:pPr>
              <w:pStyle w:val="0"/>
              <w:jc w:val="center"/>
            </w:pPr>
            <w:r>
              <w:rPr>
                <w:sz w:val="20"/>
              </w:rPr>
              <w:t xml:space="preserve">6,04</w:t>
            </w:r>
          </w:p>
        </w:tc>
        <w:tc>
          <w:tcPr>
            <w:tcW w:w="1117" w:type="dxa"/>
            <w:vAlign w:val="center"/>
            <w:tcBorders>
              <w:top w:val="single" w:sz="4"/>
              <w:left w:val="nil"/>
              <w:bottom w:val="nil"/>
              <w:right w:val="nil"/>
            </w:tcBorders>
          </w:tcPr>
          <w:p>
            <w:pPr>
              <w:pStyle w:val="0"/>
              <w:jc w:val="center"/>
            </w:pPr>
            <w:r>
              <w:rPr>
                <w:sz w:val="20"/>
              </w:rPr>
              <w:t xml:space="preserve">4,61</w:t>
            </w:r>
          </w:p>
        </w:tc>
        <w:tc>
          <w:tcPr>
            <w:tcW w:w="1117" w:type="dxa"/>
            <w:vAlign w:val="center"/>
            <w:tcBorders>
              <w:top w:val="single" w:sz="4"/>
              <w:left w:val="nil"/>
              <w:bottom w:val="nil"/>
              <w:right w:val="nil"/>
            </w:tcBorders>
          </w:tcPr>
          <w:p>
            <w:pPr>
              <w:pStyle w:val="0"/>
              <w:jc w:val="center"/>
            </w:pPr>
            <w:r>
              <w:rPr>
                <w:sz w:val="20"/>
              </w:rPr>
              <w:t xml:space="preserve">5,81</w:t>
            </w:r>
          </w:p>
        </w:tc>
        <w:tc>
          <w:tcPr>
            <w:tcW w:w="1117" w:type="dxa"/>
            <w:vAlign w:val="center"/>
            <w:tcBorders>
              <w:top w:val="single" w:sz="4"/>
              <w:left w:val="nil"/>
              <w:bottom w:val="nil"/>
              <w:right w:val="nil"/>
            </w:tcBorders>
          </w:tcPr>
          <w:p>
            <w:pPr>
              <w:pStyle w:val="0"/>
              <w:jc w:val="center"/>
            </w:pPr>
            <w:r>
              <w:rPr>
                <w:sz w:val="20"/>
              </w:rPr>
              <w:t xml:space="preserve">6,02</w:t>
            </w:r>
          </w:p>
        </w:tc>
        <w:tc>
          <w:tcPr>
            <w:tcW w:w="1117" w:type="dxa"/>
            <w:vAlign w:val="center"/>
            <w:tcBorders>
              <w:top w:val="single" w:sz="4"/>
              <w:left w:val="nil"/>
              <w:bottom w:val="nil"/>
              <w:right w:val="nil"/>
            </w:tcBorders>
          </w:tcPr>
          <w:p>
            <w:pPr>
              <w:pStyle w:val="0"/>
              <w:jc w:val="center"/>
            </w:pPr>
            <w:r>
              <w:rPr>
                <w:sz w:val="20"/>
              </w:rPr>
              <w:t xml:space="preserve">6,06</w:t>
            </w:r>
          </w:p>
        </w:tc>
        <w:tc>
          <w:tcPr>
            <w:tcW w:w="1122" w:type="dxa"/>
            <w:vAlign w:val="center"/>
            <w:tcBorders>
              <w:top w:val="single" w:sz="4"/>
              <w:left w:val="nil"/>
              <w:bottom w:val="nil"/>
              <w:right w:val="nil"/>
            </w:tcBorders>
          </w:tcPr>
          <w:p>
            <w:pPr>
              <w:pStyle w:val="0"/>
              <w:jc w:val="center"/>
            </w:pPr>
            <w:r>
              <w:rPr>
                <w:sz w:val="20"/>
              </w:rPr>
              <w:t xml:space="preserve">6,08</w:t>
            </w:r>
          </w:p>
        </w:tc>
      </w:tr>
      <w:tr>
        <w:tc>
          <w:tcPr>
            <w:tcW w:w="1247" w:type="dxa"/>
            <w:vAlign w:val="center"/>
            <w:tcBorders>
              <w:top w:val="nil"/>
              <w:left w:val="nil"/>
              <w:bottom w:val="nil"/>
              <w:right w:val="nil"/>
            </w:tcBorders>
          </w:tcPr>
          <w:p>
            <w:pPr>
              <w:pStyle w:val="0"/>
              <w:jc w:val="center"/>
            </w:pPr>
            <w:r>
              <w:rPr>
                <w:sz w:val="20"/>
              </w:rPr>
              <w:t xml:space="preserve">25 - 27</w:t>
            </w:r>
          </w:p>
        </w:tc>
        <w:tc>
          <w:tcPr>
            <w:tcW w:w="3514" w:type="dxa"/>
            <w:tcBorders>
              <w:top w:val="nil"/>
              <w:left w:val="nil"/>
              <w:bottom w:val="nil"/>
              <w:right w:val="nil"/>
            </w:tcBorders>
          </w:tcPr>
          <w:p>
            <w:pPr>
              <w:pStyle w:val="0"/>
            </w:pPr>
            <w:r>
              <w:rPr>
                <w:sz w:val="20"/>
              </w:rPr>
              <w:t xml:space="preserve">Минеральные продукты</w:t>
            </w:r>
          </w:p>
        </w:tc>
        <w:tc>
          <w:tcPr>
            <w:tcW w:w="1117" w:type="dxa"/>
            <w:vAlign w:val="center"/>
            <w:tcBorders>
              <w:top w:val="nil"/>
              <w:left w:val="nil"/>
              <w:bottom w:val="nil"/>
              <w:right w:val="nil"/>
            </w:tcBorders>
          </w:tcPr>
          <w:p>
            <w:pPr>
              <w:pStyle w:val="0"/>
              <w:jc w:val="center"/>
            </w:pPr>
            <w:r>
              <w:rPr>
                <w:sz w:val="20"/>
              </w:rPr>
              <w:t xml:space="preserve">4,40</w:t>
            </w:r>
          </w:p>
        </w:tc>
        <w:tc>
          <w:tcPr>
            <w:tcW w:w="1117" w:type="dxa"/>
            <w:vAlign w:val="center"/>
            <w:tcBorders>
              <w:top w:val="nil"/>
              <w:left w:val="nil"/>
              <w:bottom w:val="nil"/>
              <w:right w:val="nil"/>
            </w:tcBorders>
          </w:tcPr>
          <w:p>
            <w:pPr>
              <w:pStyle w:val="0"/>
              <w:jc w:val="center"/>
            </w:pPr>
            <w:r>
              <w:rPr>
                <w:sz w:val="20"/>
              </w:rPr>
              <w:t xml:space="preserve">4,46</w:t>
            </w:r>
          </w:p>
        </w:tc>
        <w:tc>
          <w:tcPr>
            <w:tcW w:w="1117" w:type="dxa"/>
            <w:vAlign w:val="center"/>
            <w:tcBorders>
              <w:top w:val="nil"/>
              <w:left w:val="nil"/>
              <w:bottom w:val="nil"/>
              <w:right w:val="nil"/>
            </w:tcBorders>
          </w:tcPr>
          <w:p>
            <w:pPr>
              <w:pStyle w:val="0"/>
              <w:jc w:val="center"/>
            </w:pPr>
            <w:r>
              <w:rPr>
                <w:sz w:val="20"/>
              </w:rPr>
              <w:t xml:space="preserve">3,20</w:t>
            </w:r>
          </w:p>
        </w:tc>
        <w:tc>
          <w:tcPr>
            <w:tcW w:w="1117" w:type="dxa"/>
            <w:vAlign w:val="center"/>
            <w:tcBorders>
              <w:top w:val="nil"/>
              <w:left w:val="nil"/>
              <w:bottom w:val="nil"/>
              <w:right w:val="nil"/>
            </w:tcBorders>
          </w:tcPr>
          <w:p>
            <w:pPr>
              <w:pStyle w:val="0"/>
              <w:jc w:val="center"/>
            </w:pPr>
            <w:r>
              <w:rPr>
                <w:sz w:val="20"/>
              </w:rPr>
              <w:t xml:space="preserve">3,57</w:t>
            </w:r>
          </w:p>
        </w:tc>
        <w:tc>
          <w:tcPr>
            <w:tcW w:w="1117" w:type="dxa"/>
            <w:vAlign w:val="center"/>
            <w:tcBorders>
              <w:top w:val="nil"/>
              <w:left w:val="nil"/>
              <w:bottom w:val="nil"/>
              <w:right w:val="nil"/>
            </w:tcBorders>
          </w:tcPr>
          <w:p>
            <w:pPr>
              <w:pStyle w:val="0"/>
              <w:jc w:val="center"/>
            </w:pPr>
            <w:r>
              <w:rPr>
                <w:sz w:val="20"/>
              </w:rPr>
              <w:t xml:space="preserve">4,41</w:t>
            </w:r>
          </w:p>
        </w:tc>
        <w:tc>
          <w:tcPr>
            <w:tcW w:w="1117" w:type="dxa"/>
            <w:vAlign w:val="center"/>
            <w:tcBorders>
              <w:top w:val="nil"/>
              <w:left w:val="nil"/>
              <w:bottom w:val="nil"/>
              <w:right w:val="nil"/>
            </w:tcBorders>
          </w:tcPr>
          <w:p>
            <w:pPr>
              <w:pStyle w:val="0"/>
              <w:jc w:val="center"/>
            </w:pPr>
            <w:r>
              <w:rPr>
                <w:sz w:val="20"/>
              </w:rPr>
              <w:t xml:space="preserve">4,41</w:t>
            </w:r>
          </w:p>
        </w:tc>
        <w:tc>
          <w:tcPr>
            <w:tcW w:w="1122" w:type="dxa"/>
            <w:vAlign w:val="center"/>
            <w:tcBorders>
              <w:top w:val="nil"/>
              <w:left w:val="nil"/>
              <w:bottom w:val="nil"/>
              <w:right w:val="nil"/>
            </w:tcBorders>
          </w:tcPr>
          <w:p>
            <w:pPr>
              <w:pStyle w:val="0"/>
              <w:jc w:val="center"/>
            </w:pPr>
            <w:r>
              <w:rPr>
                <w:sz w:val="20"/>
              </w:rPr>
              <w:t xml:space="preserve">4,41</w:t>
            </w:r>
          </w:p>
        </w:tc>
      </w:tr>
      <w:tr>
        <w:tc>
          <w:tcPr>
            <w:tcW w:w="1247" w:type="dxa"/>
            <w:vAlign w:val="center"/>
            <w:tcBorders>
              <w:top w:val="nil"/>
              <w:left w:val="nil"/>
              <w:bottom w:val="nil"/>
              <w:right w:val="nil"/>
            </w:tcBorders>
          </w:tcPr>
          <w:p>
            <w:pPr>
              <w:pStyle w:val="0"/>
              <w:jc w:val="center"/>
            </w:pPr>
            <w:r>
              <w:rPr>
                <w:sz w:val="20"/>
              </w:rPr>
              <w:t xml:space="preserve">28 - 40</w:t>
            </w:r>
          </w:p>
        </w:tc>
        <w:tc>
          <w:tcPr>
            <w:tcW w:w="3514" w:type="dxa"/>
            <w:tcBorders>
              <w:top w:val="nil"/>
              <w:left w:val="nil"/>
              <w:bottom w:val="nil"/>
              <w:right w:val="nil"/>
            </w:tcBorders>
          </w:tcPr>
          <w:p>
            <w:pPr>
              <w:pStyle w:val="0"/>
            </w:pPr>
            <w:r>
              <w:rPr>
                <w:sz w:val="20"/>
              </w:rPr>
              <w:t xml:space="preserve">Продукция химической промышленности, каучук</w:t>
            </w:r>
          </w:p>
        </w:tc>
        <w:tc>
          <w:tcPr>
            <w:tcW w:w="1117" w:type="dxa"/>
            <w:vAlign w:val="center"/>
            <w:tcBorders>
              <w:top w:val="nil"/>
              <w:left w:val="nil"/>
              <w:bottom w:val="nil"/>
              <w:right w:val="nil"/>
            </w:tcBorders>
          </w:tcPr>
          <w:p>
            <w:pPr>
              <w:pStyle w:val="0"/>
              <w:jc w:val="center"/>
            </w:pPr>
            <w:r>
              <w:rPr>
                <w:sz w:val="20"/>
              </w:rPr>
              <w:t xml:space="preserve">4,10</w:t>
            </w:r>
          </w:p>
        </w:tc>
        <w:tc>
          <w:tcPr>
            <w:tcW w:w="1117" w:type="dxa"/>
            <w:vAlign w:val="center"/>
            <w:tcBorders>
              <w:top w:val="nil"/>
              <w:left w:val="nil"/>
              <w:bottom w:val="nil"/>
              <w:right w:val="nil"/>
            </w:tcBorders>
          </w:tcPr>
          <w:p>
            <w:pPr>
              <w:pStyle w:val="0"/>
              <w:jc w:val="center"/>
            </w:pPr>
            <w:r>
              <w:rPr>
                <w:sz w:val="20"/>
              </w:rPr>
              <w:t xml:space="preserve">4,22</w:t>
            </w:r>
          </w:p>
        </w:tc>
        <w:tc>
          <w:tcPr>
            <w:tcW w:w="1117" w:type="dxa"/>
            <w:vAlign w:val="center"/>
            <w:tcBorders>
              <w:top w:val="nil"/>
              <w:left w:val="nil"/>
              <w:bottom w:val="nil"/>
              <w:right w:val="nil"/>
            </w:tcBorders>
          </w:tcPr>
          <w:p>
            <w:pPr>
              <w:pStyle w:val="0"/>
              <w:jc w:val="center"/>
            </w:pPr>
            <w:r>
              <w:rPr>
                <w:sz w:val="20"/>
              </w:rPr>
              <w:t xml:space="preserve">2,53</w:t>
            </w:r>
          </w:p>
        </w:tc>
        <w:tc>
          <w:tcPr>
            <w:tcW w:w="1117" w:type="dxa"/>
            <w:vAlign w:val="center"/>
            <w:tcBorders>
              <w:top w:val="nil"/>
              <w:left w:val="nil"/>
              <w:bottom w:val="nil"/>
              <w:right w:val="nil"/>
            </w:tcBorders>
          </w:tcPr>
          <w:p>
            <w:pPr>
              <w:pStyle w:val="0"/>
              <w:jc w:val="center"/>
            </w:pPr>
            <w:r>
              <w:rPr>
                <w:sz w:val="20"/>
              </w:rPr>
              <w:t xml:space="preserve">3,72</w:t>
            </w:r>
          </w:p>
        </w:tc>
        <w:tc>
          <w:tcPr>
            <w:tcW w:w="1117" w:type="dxa"/>
            <w:vAlign w:val="center"/>
            <w:tcBorders>
              <w:top w:val="nil"/>
              <w:left w:val="nil"/>
              <w:bottom w:val="nil"/>
              <w:right w:val="nil"/>
            </w:tcBorders>
          </w:tcPr>
          <w:p>
            <w:pPr>
              <w:pStyle w:val="0"/>
              <w:jc w:val="center"/>
            </w:pPr>
            <w:r>
              <w:rPr>
                <w:sz w:val="20"/>
              </w:rPr>
              <w:t xml:space="preserve">4,15</w:t>
            </w:r>
          </w:p>
        </w:tc>
        <w:tc>
          <w:tcPr>
            <w:tcW w:w="1117" w:type="dxa"/>
            <w:vAlign w:val="center"/>
            <w:tcBorders>
              <w:top w:val="nil"/>
              <w:left w:val="nil"/>
              <w:bottom w:val="nil"/>
              <w:right w:val="nil"/>
            </w:tcBorders>
          </w:tcPr>
          <w:p>
            <w:pPr>
              <w:pStyle w:val="0"/>
              <w:jc w:val="center"/>
            </w:pPr>
            <w:r>
              <w:rPr>
                <w:sz w:val="20"/>
              </w:rPr>
              <w:t xml:space="preserve">4,17</w:t>
            </w:r>
          </w:p>
        </w:tc>
        <w:tc>
          <w:tcPr>
            <w:tcW w:w="1122" w:type="dxa"/>
            <w:vAlign w:val="center"/>
            <w:tcBorders>
              <w:top w:val="nil"/>
              <w:left w:val="nil"/>
              <w:bottom w:val="nil"/>
              <w:right w:val="nil"/>
            </w:tcBorders>
          </w:tcPr>
          <w:p>
            <w:pPr>
              <w:pStyle w:val="0"/>
              <w:jc w:val="center"/>
            </w:pPr>
            <w:r>
              <w:rPr>
                <w:sz w:val="20"/>
              </w:rPr>
              <w:t xml:space="preserve">4,17</w:t>
            </w:r>
          </w:p>
        </w:tc>
      </w:tr>
      <w:tr>
        <w:tc>
          <w:tcPr>
            <w:tcW w:w="1247" w:type="dxa"/>
            <w:vAlign w:val="center"/>
            <w:tcBorders>
              <w:top w:val="nil"/>
              <w:left w:val="nil"/>
              <w:bottom w:val="nil"/>
              <w:right w:val="nil"/>
            </w:tcBorders>
          </w:tcPr>
          <w:p>
            <w:pPr>
              <w:pStyle w:val="0"/>
              <w:jc w:val="center"/>
            </w:pPr>
            <w:r>
              <w:rPr>
                <w:sz w:val="20"/>
              </w:rPr>
              <w:t xml:space="preserve">41 - 43</w:t>
            </w:r>
          </w:p>
        </w:tc>
        <w:tc>
          <w:tcPr>
            <w:tcW w:w="3514" w:type="dxa"/>
            <w:tcBorders>
              <w:top w:val="nil"/>
              <w:left w:val="nil"/>
              <w:bottom w:val="nil"/>
              <w:right w:val="nil"/>
            </w:tcBorders>
          </w:tcPr>
          <w:p>
            <w:pPr>
              <w:pStyle w:val="0"/>
            </w:pPr>
            <w:r>
              <w:rPr>
                <w:sz w:val="20"/>
              </w:rPr>
              <w:t xml:space="preserve">Кожевенное сырье, пушнина и изделия из них</w:t>
            </w:r>
          </w:p>
        </w:tc>
        <w:tc>
          <w:tcPr>
            <w:tcW w:w="1117" w:type="dxa"/>
            <w:vAlign w:val="center"/>
            <w:tcBorders>
              <w:top w:val="nil"/>
              <w:left w:val="nil"/>
              <w:bottom w:val="nil"/>
              <w:right w:val="nil"/>
            </w:tcBorders>
          </w:tcPr>
          <w:p>
            <w:pPr>
              <w:pStyle w:val="0"/>
              <w:jc w:val="center"/>
            </w:pPr>
            <w:r>
              <w:rPr>
                <w:sz w:val="20"/>
              </w:rPr>
              <w:t xml:space="preserve">11,85</w:t>
            </w:r>
          </w:p>
        </w:tc>
        <w:tc>
          <w:tcPr>
            <w:tcW w:w="1117" w:type="dxa"/>
            <w:vAlign w:val="center"/>
            <w:tcBorders>
              <w:top w:val="nil"/>
              <w:left w:val="nil"/>
              <w:bottom w:val="nil"/>
              <w:right w:val="nil"/>
            </w:tcBorders>
          </w:tcPr>
          <w:p>
            <w:pPr>
              <w:pStyle w:val="0"/>
              <w:jc w:val="center"/>
            </w:pPr>
            <w:r>
              <w:rPr>
                <w:sz w:val="20"/>
              </w:rPr>
              <w:t xml:space="preserve">12,05</w:t>
            </w:r>
          </w:p>
        </w:tc>
        <w:tc>
          <w:tcPr>
            <w:tcW w:w="1117" w:type="dxa"/>
            <w:vAlign w:val="center"/>
            <w:tcBorders>
              <w:top w:val="nil"/>
              <w:left w:val="nil"/>
              <w:bottom w:val="nil"/>
              <w:right w:val="nil"/>
            </w:tcBorders>
          </w:tcPr>
          <w:p>
            <w:pPr>
              <w:pStyle w:val="0"/>
              <w:jc w:val="center"/>
            </w:pPr>
            <w:r>
              <w:rPr>
                <w:sz w:val="20"/>
              </w:rPr>
              <w:t xml:space="preserve">12,10</w:t>
            </w:r>
          </w:p>
        </w:tc>
        <w:tc>
          <w:tcPr>
            <w:tcW w:w="1117" w:type="dxa"/>
            <w:vAlign w:val="center"/>
            <w:tcBorders>
              <w:top w:val="nil"/>
              <w:left w:val="nil"/>
              <w:bottom w:val="nil"/>
              <w:right w:val="nil"/>
            </w:tcBorders>
          </w:tcPr>
          <w:p>
            <w:pPr>
              <w:pStyle w:val="0"/>
              <w:jc w:val="center"/>
            </w:pPr>
            <w:r>
              <w:rPr>
                <w:sz w:val="20"/>
              </w:rPr>
              <w:t xml:space="preserve">11,82</w:t>
            </w:r>
          </w:p>
        </w:tc>
        <w:tc>
          <w:tcPr>
            <w:tcW w:w="1117" w:type="dxa"/>
            <w:vAlign w:val="center"/>
            <w:tcBorders>
              <w:top w:val="nil"/>
              <w:left w:val="nil"/>
              <w:bottom w:val="nil"/>
              <w:right w:val="nil"/>
            </w:tcBorders>
          </w:tcPr>
          <w:p>
            <w:pPr>
              <w:pStyle w:val="0"/>
              <w:jc w:val="center"/>
            </w:pPr>
            <w:r>
              <w:rPr>
                <w:sz w:val="20"/>
              </w:rPr>
              <w:t xml:space="preserve">11,82</w:t>
            </w:r>
          </w:p>
        </w:tc>
        <w:tc>
          <w:tcPr>
            <w:tcW w:w="1117" w:type="dxa"/>
            <w:vAlign w:val="center"/>
            <w:tcBorders>
              <w:top w:val="nil"/>
              <w:left w:val="nil"/>
              <w:bottom w:val="nil"/>
              <w:right w:val="nil"/>
            </w:tcBorders>
          </w:tcPr>
          <w:p>
            <w:pPr>
              <w:pStyle w:val="0"/>
              <w:jc w:val="center"/>
            </w:pPr>
            <w:r>
              <w:rPr>
                <w:sz w:val="20"/>
              </w:rPr>
              <w:t xml:space="preserve">11,82</w:t>
            </w:r>
          </w:p>
        </w:tc>
        <w:tc>
          <w:tcPr>
            <w:tcW w:w="1122" w:type="dxa"/>
            <w:vAlign w:val="center"/>
            <w:tcBorders>
              <w:top w:val="nil"/>
              <w:left w:val="nil"/>
              <w:bottom w:val="nil"/>
              <w:right w:val="nil"/>
            </w:tcBorders>
          </w:tcPr>
          <w:p>
            <w:pPr>
              <w:pStyle w:val="0"/>
              <w:jc w:val="center"/>
            </w:pPr>
            <w:r>
              <w:rPr>
                <w:sz w:val="20"/>
              </w:rPr>
              <w:t xml:space="preserve">11,82</w:t>
            </w:r>
          </w:p>
        </w:tc>
      </w:tr>
      <w:tr>
        <w:tc>
          <w:tcPr>
            <w:tcW w:w="1247" w:type="dxa"/>
            <w:vAlign w:val="center"/>
            <w:tcBorders>
              <w:top w:val="nil"/>
              <w:left w:val="nil"/>
              <w:bottom w:val="nil"/>
              <w:right w:val="nil"/>
            </w:tcBorders>
          </w:tcPr>
          <w:p>
            <w:pPr>
              <w:pStyle w:val="0"/>
              <w:jc w:val="center"/>
            </w:pPr>
            <w:r>
              <w:rPr>
                <w:sz w:val="20"/>
              </w:rPr>
              <w:t xml:space="preserve">44 - 49</w:t>
            </w:r>
          </w:p>
        </w:tc>
        <w:tc>
          <w:tcPr>
            <w:tcW w:w="3514" w:type="dxa"/>
            <w:vAlign w:val="bottom"/>
            <w:tcBorders>
              <w:top w:val="nil"/>
              <w:left w:val="nil"/>
              <w:bottom w:val="nil"/>
              <w:right w:val="nil"/>
            </w:tcBorders>
          </w:tcPr>
          <w:p>
            <w:pPr>
              <w:pStyle w:val="0"/>
            </w:pPr>
            <w:r>
              <w:rPr>
                <w:sz w:val="20"/>
              </w:rPr>
              <w:t xml:space="preserve">Древесина и целлюлозно-бумажные изделия</w:t>
            </w:r>
          </w:p>
        </w:tc>
        <w:tc>
          <w:tcPr>
            <w:tcW w:w="1117" w:type="dxa"/>
            <w:vAlign w:val="center"/>
            <w:tcBorders>
              <w:top w:val="nil"/>
              <w:left w:val="nil"/>
              <w:bottom w:val="nil"/>
              <w:right w:val="nil"/>
            </w:tcBorders>
          </w:tcPr>
          <w:p>
            <w:pPr>
              <w:pStyle w:val="0"/>
              <w:jc w:val="center"/>
            </w:pPr>
            <w:r>
              <w:rPr>
                <w:sz w:val="20"/>
              </w:rPr>
              <w:t xml:space="preserve">5,57</w:t>
            </w:r>
          </w:p>
        </w:tc>
        <w:tc>
          <w:tcPr>
            <w:tcW w:w="1117" w:type="dxa"/>
            <w:vAlign w:val="center"/>
            <w:tcBorders>
              <w:top w:val="nil"/>
              <w:left w:val="nil"/>
              <w:bottom w:val="nil"/>
              <w:right w:val="nil"/>
            </w:tcBorders>
          </w:tcPr>
          <w:p>
            <w:pPr>
              <w:pStyle w:val="0"/>
              <w:jc w:val="center"/>
            </w:pPr>
            <w:r>
              <w:rPr>
                <w:sz w:val="20"/>
              </w:rPr>
              <w:t xml:space="preserve">5,60</w:t>
            </w:r>
          </w:p>
        </w:tc>
        <w:tc>
          <w:tcPr>
            <w:tcW w:w="1117" w:type="dxa"/>
            <w:vAlign w:val="center"/>
            <w:tcBorders>
              <w:top w:val="nil"/>
              <w:left w:val="nil"/>
              <w:bottom w:val="nil"/>
              <w:right w:val="nil"/>
            </w:tcBorders>
          </w:tcPr>
          <w:p>
            <w:pPr>
              <w:pStyle w:val="0"/>
              <w:jc w:val="center"/>
            </w:pPr>
            <w:r>
              <w:rPr>
                <w:sz w:val="20"/>
              </w:rPr>
              <w:t xml:space="preserve">3,07</w:t>
            </w:r>
          </w:p>
        </w:tc>
        <w:tc>
          <w:tcPr>
            <w:tcW w:w="1117" w:type="dxa"/>
            <w:vAlign w:val="center"/>
            <w:tcBorders>
              <w:top w:val="nil"/>
              <w:left w:val="nil"/>
              <w:bottom w:val="nil"/>
              <w:right w:val="nil"/>
            </w:tcBorders>
          </w:tcPr>
          <w:p>
            <w:pPr>
              <w:pStyle w:val="0"/>
              <w:jc w:val="center"/>
            </w:pPr>
            <w:r>
              <w:rPr>
                <w:sz w:val="20"/>
              </w:rPr>
              <w:t xml:space="preserve">4,73</w:t>
            </w:r>
          </w:p>
        </w:tc>
        <w:tc>
          <w:tcPr>
            <w:tcW w:w="1117" w:type="dxa"/>
            <w:vAlign w:val="center"/>
            <w:tcBorders>
              <w:top w:val="nil"/>
              <w:left w:val="nil"/>
              <w:bottom w:val="nil"/>
              <w:right w:val="nil"/>
            </w:tcBorders>
          </w:tcPr>
          <w:p>
            <w:pPr>
              <w:pStyle w:val="0"/>
              <w:jc w:val="center"/>
            </w:pPr>
            <w:r>
              <w:rPr>
                <w:sz w:val="20"/>
              </w:rPr>
              <w:t xml:space="preserve">5,59</w:t>
            </w:r>
          </w:p>
        </w:tc>
        <w:tc>
          <w:tcPr>
            <w:tcW w:w="1117" w:type="dxa"/>
            <w:vAlign w:val="center"/>
            <w:tcBorders>
              <w:top w:val="nil"/>
              <w:left w:val="nil"/>
              <w:bottom w:val="nil"/>
              <w:right w:val="nil"/>
            </w:tcBorders>
          </w:tcPr>
          <w:p>
            <w:pPr>
              <w:pStyle w:val="0"/>
              <w:jc w:val="center"/>
            </w:pPr>
            <w:r>
              <w:rPr>
                <w:sz w:val="20"/>
              </w:rPr>
              <w:t xml:space="preserve">5,59</w:t>
            </w:r>
          </w:p>
        </w:tc>
        <w:tc>
          <w:tcPr>
            <w:tcW w:w="1122" w:type="dxa"/>
            <w:vAlign w:val="center"/>
            <w:tcBorders>
              <w:top w:val="nil"/>
              <w:left w:val="nil"/>
              <w:bottom w:val="nil"/>
              <w:right w:val="nil"/>
            </w:tcBorders>
          </w:tcPr>
          <w:p>
            <w:pPr>
              <w:pStyle w:val="0"/>
              <w:jc w:val="center"/>
            </w:pPr>
            <w:r>
              <w:rPr>
                <w:sz w:val="20"/>
              </w:rPr>
              <w:t xml:space="preserve">5,59</w:t>
            </w:r>
          </w:p>
        </w:tc>
      </w:tr>
      <w:tr>
        <w:tc>
          <w:tcPr>
            <w:tcW w:w="1247" w:type="dxa"/>
            <w:vAlign w:val="center"/>
            <w:tcBorders>
              <w:top w:val="nil"/>
              <w:left w:val="nil"/>
              <w:bottom w:val="nil"/>
              <w:right w:val="nil"/>
            </w:tcBorders>
          </w:tcPr>
          <w:p>
            <w:pPr>
              <w:pStyle w:val="0"/>
              <w:jc w:val="center"/>
            </w:pPr>
            <w:r>
              <w:rPr>
                <w:sz w:val="20"/>
              </w:rPr>
              <w:t xml:space="preserve">50 - 67</w:t>
            </w:r>
          </w:p>
        </w:tc>
        <w:tc>
          <w:tcPr>
            <w:tcW w:w="3514" w:type="dxa"/>
            <w:tcBorders>
              <w:top w:val="nil"/>
              <w:left w:val="nil"/>
              <w:bottom w:val="nil"/>
              <w:right w:val="nil"/>
            </w:tcBorders>
          </w:tcPr>
          <w:p>
            <w:pPr>
              <w:pStyle w:val="0"/>
            </w:pPr>
            <w:r>
              <w:rPr>
                <w:sz w:val="20"/>
              </w:rPr>
              <w:t xml:space="preserve">Текстиль, текстильные изделия и обувь</w:t>
            </w:r>
          </w:p>
        </w:tc>
        <w:tc>
          <w:tcPr>
            <w:tcW w:w="1117" w:type="dxa"/>
            <w:vAlign w:val="center"/>
            <w:tcBorders>
              <w:top w:val="nil"/>
              <w:left w:val="nil"/>
              <w:bottom w:val="nil"/>
              <w:right w:val="nil"/>
            </w:tcBorders>
          </w:tcPr>
          <w:p>
            <w:pPr>
              <w:pStyle w:val="0"/>
              <w:jc w:val="center"/>
            </w:pPr>
            <w:r>
              <w:rPr>
                <w:sz w:val="20"/>
              </w:rPr>
              <w:t xml:space="preserve">7,07</w:t>
            </w:r>
          </w:p>
        </w:tc>
        <w:tc>
          <w:tcPr>
            <w:tcW w:w="1117" w:type="dxa"/>
            <w:vAlign w:val="center"/>
            <w:tcBorders>
              <w:top w:val="nil"/>
              <w:left w:val="nil"/>
              <w:bottom w:val="nil"/>
              <w:right w:val="nil"/>
            </w:tcBorders>
          </w:tcPr>
          <w:p>
            <w:pPr>
              <w:pStyle w:val="0"/>
              <w:jc w:val="center"/>
            </w:pPr>
            <w:r>
              <w:rPr>
                <w:sz w:val="20"/>
              </w:rPr>
              <w:t xml:space="preserve">7,75</w:t>
            </w:r>
          </w:p>
        </w:tc>
        <w:tc>
          <w:tcPr>
            <w:tcW w:w="1117" w:type="dxa"/>
            <w:vAlign w:val="center"/>
            <w:tcBorders>
              <w:top w:val="nil"/>
              <w:left w:val="nil"/>
              <w:bottom w:val="nil"/>
              <w:right w:val="nil"/>
            </w:tcBorders>
          </w:tcPr>
          <w:p>
            <w:pPr>
              <w:pStyle w:val="0"/>
              <w:jc w:val="center"/>
            </w:pPr>
            <w:r>
              <w:rPr>
                <w:sz w:val="20"/>
              </w:rPr>
              <w:t xml:space="preserve">6,91</w:t>
            </w:r>
          </w:p>
        </w:tc>
        <w:tc>
          <w:tcPr>
            <w:tcW w:w="1117" w:type="dxa"/>
            <w:vAlign w:val="center"/>
            <w:tcBorders>
              <w:top w:val="nil"/>
              <w:left w:val="nil"/>
              <w:bottom w:val="nil"/>
              <w:right w:val="nil"/>
            </w:tcBorders>
          </w:tcPr>
          <w:p>
            <w:pPr>
              <w:pStyle w:val="0"/>
              <w:jc w:val="center"/>
            </w:pPr>
            <w:r>
              <w:rPr>
                <w:sz w:val="20"/>
              </w:rPr>
              <w:t xml:space="preserve">7,19</w:t>
            </w:r>
          </w:p>
        </w:tc>
        <w:tc>
          <w:tcPr>
            <w:tcW w:w="1117" w:type="dxa"/>
            <w:vAlign w:val="center"/>
            <w:tcBorders>
              <w:top w:val="nil"/>
              <w:left w:val="nil"/>
              <w:bottom w:val="nil"/>
              <w:right w:val="nil"/>
            </w:tcBorders>
          </w:tcPr>
          <w:p>
            <w:pPr>
              <w:pStyle w:val="0"/>
              <w:jc w:val="center"/>
            </w:pPr>
            <w:r>
              <w:rPr>
                <w:sz w:val="20"/>
              </w:rPr>
              <w:t xml:space="preserve">7,22</w:t>
            </w:r>
          </w:p>
        </w:tc>
        <w:tc>
          <w:tcPr>
            <w:tcW w:w="1117" w:type="dxa"/>
            <w:vAlign w:val="center"/>
            <w:tcBorders>
              <w:top w:val="nil"/>
              <w:left w:val="nil"/>
              <w:bottom w:val="nil"/>
              <w:right w:val="nil"/>
            </w:tcBorders>
          </w:tcPr>
          <w:p>
            <w:pPr>
              <w:pStyle w:val="0"/>
              <w:jc w:val="center"/>
            </w:pPr>
            <w:r>
              <w:rPr>
                <w:sz w:val="20"/>
              </w:rPr>
              <w:t xml:space="preserve">7,22</w:t>
            </w:r>
          </w:p>
        </w:tc>
        <w:tc>
          <w:tcPr>
            <w:tcW w:w="1122" w:type="dxa"/>
            <w:vAlign w:val="center"/>
            <w:tcBorders>
              <w:top w:val="nil"/>
              <w:left w:val="nil"/>
              <w:bottom w:val="nil"/>
              <w:right w:val="nil"/>
            </w:tcBorders>
          </w:tcPr>
          <w:p>
            <w:pPr>
              <w:pStyle w:val="0"/>
              <w:jc w:val="center"/>
            </w:pPr>
            <w:r>
              <w:rPr>
                <w:sz w:val="20"/>
              </w:rPr>
              <w:t xml:space="preserve">7,22</w:t>
            </w:r>
          </w:p>
        </w:tc>
      </w:tr>
      <w:tr>
        <w:tc>
          <w:tcPr>
            <w:tcW w:w="1247" w:type="dxa"/>
            <w:vAlign w:val="center"/>
            <w:tcBorders>
              <w:top w:val="nil"/>
              <w:left w:val="nil"/>
              <w:bottom w:val="nil"/>
              <w:right w:val="nil"/>
            </w:tcBorders>
          </w:tcPr>
          <w:p>
            <w:pPr>
              <w:pStyle w:val="0"/>
              <w:jc w:val="center"/>
            </w:pPr>
            <w:r>
              <w:rPr>
                <w:sz w:val="20"/>
              </w:rPr>
              <w:t xml:space="preserve">71 - 83</w:t>
            </w:r>
          </w:p>
        </w:tc>
        <w:tc>
          <w:tcPr>
            <w:tcW w:w="3514" w:type="dxa"/>
            <w:tcBorders>
              <w:top w:val="nil"/>
              <w:left w:val="nil"/>
              <w:bottom w:val="nil"/>
              <w:right w:val="nil"/>
            </w:tcBorders>
          </w:tcPr>
          <w:p>
            <w:pPr>
              <w:pStyle w:val="0"/>
            </w:pPr>
            <w:r>
              <w:rPr>
                <w:sz w:val="20"/>
              </w:rPr>
              <w:t xml:space="preserve">Металлы, драгоценные камни и изделия из них</w:t>
            </w:r>
          </w:p>
        </w:tc>
        <w:tc>
          <w:tcPr>
            <w:tcW w:w="1117" w:type="dxa"/>
            <w:vAlign w:val="center"/>
            <w:tcBorders>
              <w:top w:val="nil"/>
              <w:left w:val="nil"/>
              <w:bottom w:val="nil"/>
              <w:right w:val="nil"/>
            </w:tcBorders>
          </w:tcPr>
          <w:p>
            <w:pPr>
              <w:pStyle w:val="0"/>
              <w:jc w:val="center"/>
            </w:pPr>
            <w:r>
              <w:rPr>
                <w:sz w:val="20"/>
              </w:rPr>
              <w:t xml:space="preserve">6,68</w:t>
            </w:r>
          </w:p>
        </w:tc>
        <w:tc>
          <w:tcPr>
            <w:tcW w:w="1117" w:type="dxa"/>
            <w:vAlign w:val="center"/>
            <w:tcBorders>
              <w:top w:val="nil"/>
              <w:left w:val="nil"/>
              <w:bottom w:val="nil"/>
              <w:right w:val="nil"/>
            </w:tcBorders>
          </w:tcPr>
          <w:p>
            <w:pPr>
              <w:pStyle w:val="0"/>
              <w:jc w:val="center"/>
            </w:pPr>
            <w:r>
              <w:rPr>
                <w:sz w:val="20"/>
              </w:rPr>
              <w:t xml:space="preserve">6,83</w:t>
            </w:r>
          </w:p>
        </w:tc>
        <w:tc>
          <w:tcPr>
            <w:tcW w:w="1117" w:type="dxa"/>
            <w:vAlign w:val="center"/>
            <w:tcBorders>
              <w:top w:val="nil"/>
              <w:left w:val="nil"/>
              <w:bottom w:val="nil"/>
              <w:right w:val="nil"/>
            </w:tcBorders>
          </w:tcPr>
          <w:p>
            <w:pPr>
              <w:pStyle w:val="0"/>
              <w:jc w:val="center"/>
            </w:pPr>
            <w:r>
              <w:rPr>
                <w:sz w:val="20"/>
              </w:rPr>
              <w:t xml:space="preserve">5,70</w:t>
            </w:r>
          </w:p>
        </w:tc>
        <w:tc>
          <w:tcPr>
            <w:tcW w:w="1117" w:type="dxa"/>
            <w:vAlign w:val="center"/>
            <w:tcBorders>
              <w:top w:val="nil"/>
              <w:left w:val="nil"/>
              <w:bottom w:val="nil"/>
              <w:right w:val="nil"/>
            </w:tcBorders>
          </w:tcPr>
          <w:p>
            <w:pPr>
              <w:pStyle w:val="0"/>
              <w:jc w:val="center"/>
            </w:pPr>
            <w:r>
              <w:rPr>
                <w:sz w:val="20"/>
              </w:rPr>
              <w:t xml:space="preserve">6,75</w:t>
            </w:r>
          </w:p>
        </w:tc>
        <w:tc>
          <w:tcPr>
            <w:tcW w:w="1117" w:type="dxa"/>
            <w:vAlign w:val="center"/>
            <w:tcBorders>
              <w:top w:val="nil"/>
              <w:left w:val="nil"/>
              <w:bottom w:val="nil"/>
              <w:right w:val="nil"/>
            </w:tcBorders>
          </w:tcPr>
          <w:p>
            <w:pPr>
              <w:pStyle w:val="0"/>
              <w:jc w:val="center"/>
            </w:pPr>
            <w:r>
              <w:rPr>
                <w:sz w:val="20"/>
              </w:rPr>
              <w:t xml:space="preserve">7,14</w:t>
            </w:r>
          </w:p>
        </w:tc>
        <w:tc>
          <w:tcPr>
            <w:tcW w:w="1117" w:type="dxa"/>
            <w:vAlign w:val="center"/>
            <w:tcBorders>
              <w:top w:val="nil"/>
              <w:left w:val="nil"/>
              <w:bottom w:val="nil"/>
              <w:right w:val="nil"/>
            </w:tcBorders>
          </w:tcPr>
          <w:p>
            <w:pPr>
              <w:pStyle w:val="0"/>
              <w:jc w:val="center"/>
            </w:pPr>
            <w:r>
              <w:rPr>
                <w:sz w:val="20"/>
              </w:rPr>
              <w:t xml:space="preserve">7,14</w:t>
            </w:r>
          </w:p>
        </w:tc>
        <w:tc>
          <w:tcPr>
            <w:tcW w:w="1122" w:type="dxa"/>
            <w:vAlign w:val="center"/>
            <w:tcBorders>
              <w:top w:val="nil"/>
              <w:left w:val="nil"/>
              <w:bottom w:val="nil"/>
              <w:right w:val="nil"/>
            </w:tcBorders>
          </w:tcPr>
          <w:p>
            <w:pPr>
              <w:pStyle w:val="0"/>
              <w:jc w:val="center"/>
            </w:pPr>
            <w:r>
              <w:rPr>
                <w:sz w:val="20"/>
              </w:rPr>
              <w:t xml:space="preserve">7,14</w:t>
            </w:r>
          </w:p>
        </w:tc>
      </w:tr>
      <w:tr>
        <w:tc>
          <w:tcPr>
            <w:tcW w:w="1247" w:type="dxa"/>
            <w:vAlign w:val="center"/>
            <w:tcBorders>
              <w:top w:val="nil"/>
              <w:left w:val="nil"/>
              <w:bottom w:val="nil"/>
              <w:right w:val="nil"/>
            </w:tcBorders>
          </w:tcPr>
          <w:p>
            <w:pPr>
              <w:pStyle w:val="0"/>
              <w:jc w:val="center"/>
            </w:pPr>
            <w:r>
              <w:rPr>
                <w:sz w:val="20"/>
              </w:rPr>
              <w:t xml:space="preserve">84 - 90</w:t>
            </w:r>
          </w:p>
        </w:tc>
        <w:tc>
          <w:tcPr>
            <w:tcW w:w="3514" w:type="dxa"/>
            <w:vAlign w:val="bottom"/>
            <w:tcBorders>
              <w:top w:val="nil"/>
              <w:left w:val="nil"/>
              <w:bottom w:val="nil"/>
              <w:right w:val="nil"/>
            </w:tcBorders>
          </w:tcPr>
          <w:p>
            <w:pPr>
              <w:pStyle w:val="0"/>
            </w:pPr>
            <w:r>
              <w:rPr>
                <w:sz w:val="20"/>
              </w:rPr>
              <w:t xml:space="preserve">Машины, оборудование и транспортные средства</w:t>
            </w:r>
          </w:p>
        </w:tc>
        <w:tc>
          <w:tcPr>
            <w:tcW w:w="1117" w:type="dxa"/>
            <w:vAlign w:val="center"/>
            <w:tcBorders>
              <w:top w:val="nil"/>
              <w:left w:val="nil"/>
              <w:bottom w:val="nil"/>
              <w:right w:val="nil"/>
            </w:tcBorders>
          </w:tcPr>
          <w:p>
            <w:pPr>
              <w:pStyle w:val="0"/>
              <w:jc w:val="center"/>
            </w:pPr>
            <w:r>
              <w:rPr>
                <w:sz w:val="20"/>
              </w:rPr>
              <w:t xml:space="preserve">3,18</w:t>
            </w:r>
          </w:p>
        </w:tc>
        <w:tc>
          <w:tcPr>
            <w:tcW w:w="1117" w:type="dxa"/>
            <w:vAlign w:val="center"/>
            <w:tcBorders>
              <w:top w:val="nil"/>
              <w:left w:val="nil"/>
              <w:bottom w:val="nil"/>
              <w:right w:val="nil"/>
            </w:tcBorders>
          </w:tcPr>
          <w:p>
            <w:pPr>
              <w:pStyle w:val="0"/>
              <w:jc w:val="center"/>
            </w:pPr>
            <w:r>
              <w:rPr>
                <w:sz w:val="20"/>
              </w:rPr>
              <w:t xml:space="preserve">3,38</w:t>
            </w:r>
          </w:p>
        </w:tc>
        <w:tc>
          <w:tcPr>
            <w:tcW w:w="1117" w:type="dxa"/>
            <w:vAlign w:val="center"/>
            <w:tcBorders>
              <w:top w:val="nil"/>
              <w:left w:val="nil"/>
              <w:bottom w:val="nil"/>
              <w:right w:val="nil"/>
            </w:tcBorders>
          </w:tcPr>
          <w:p>
            <w:pPr>
              <w:pStyle w:val="0"/>
              <w:jc w:val="center"/>
            </w:pPr>
            <w:r>
              <w:rPr>
                <w:sz w:val="20"/>
              </w:rPr>
              <w:t xml:space="preserve">2,89</w:t>
            </w:r>
          </w:p>
        </w:tc>
        <w:tc>
          <w:tcPr>
            <w:tcW w:w="1117" w:type="dxa"/>
            <w:vAlign w:val="center"/>
            <w:tcBorders>
              <w:top w:val="nil"/>
              <w:left w:val="nil"/>
              <w:bottom w:val="nil"/>
              <w:right w:val="nil"/>
            </w:tcBorders>
          </w:tcPr>
          <w:p>
            <w:pPr>
              <w:pStyle w:val="0"/>
              <w:jc w:val="center"/>
            </w:pPr>
            <w:r>
              <w:rPr>
                <w:sz w:val="20"/>
              </w:rPr>
              <w:t xml:space="preserve">3,67</w:t>
            </w:r>
          </w:p>
        </w:tc>
        <w:tc>
          <w:tcPr>
            <w:tcW w:w="1117" w:type="dxa"/>
            <w:vAlign w:val="center"/>
            <w:tcBorders>
              <w:top w:val="nil"/>
              <w:left w:val="nil"/>
              <w:bottom w:val="nil"/>
              <w:right w:val="nil"/>
            </w:tcBorders>
          </w:tcPr>
          <w:p>
            <w:pPr>
              <w:pStyle w:val="0"/>
              <w:jc w:val="center"/>
            </w:pPr>
            <w:r>
              <w:rPr>
                <w:sz w:val="20"/>
              </w:rPr>
              <w:t xml:space="preserve">3,77</w:t>
            </w:r>
          </w:p>
        </w:tc>
        <w:tc>
          <w:tcPr>
            <w:tcW w:w="1117" w:type="dxa"/>
            <w:vAlign w:val="center"/>
            <w:tcBorders>
              <w:top w:val="nil"/>
              <w:left w:val="nil"/>
              <w:bottom w:val="nil"/>
              <w:right w:val="nil"/>
            </w:tcBorders>
          </w:tcPr>
          <w:p>
            <w:pPr>
              <w:pStyle w:val="0"/>
              <w:jc w:val="center"/>
            </w:pPr>
            <w:r>
              <w:rPr>
                <w:sz w:val="20"/>
              </w:rPr>
              <w:t xml:space="preserve">3,77</w:t>
            </w:r>
          </w:p>
        </w:tc>
        <w:tc>
          <w:tcPr>
            <w:tcW w:w="1122" w:type="dxa"/>
            <w:vAlign w:val="center"/>
            <w:tcBorders>
              <w:top w:val="nil"/>
              <w:left w:val="nil"/>
              <w:bottom w:val="nil"/>
              <w:right w:val="nil"/>
            </w:tcBorders>
          </w:tcPr>
          <w:p>
            <w:pPr>
              <w:pStyle w:val="0"/>
              <w:jc w:val="center"/>
            </w:pPr>
            <w:r>
              <w:rPr>
                <w:sz w:val="20"/>
              </w:rPr>
              <w:t xml:space="preserve">3,76</w:t>
            </w:r>
          </w:p>
        </w:tc>
      </w:tr>
      <w:tr>
        <w:tc>
          <w:tcPr>
            <w:tcW w:w="1247" w:type="dxa"/>
            <w:vAlign w:val="center"/>
            <w:tcBorders>
              <w:top w:val="nil"/>
              <w:left w:val="nil"/>
              <w:bottom w:val="single" w:sz="4"/>
              <w:right w:val="nil"/>
            </w:tcBorders>
          </w:tcPr>
          <w:p>
            <w:pPr>
              <w:pStyle w:val="0"/>
              <w:jc w:val="center"/>
            </w:pPr>
            <w:r>
              <w:rPr>
                <w:sz w:val="20"/>
              </w:rPr>
              <w:t xml:space="preserve">68 - 70,</w:t>
            </w:r>
          </w:p>
          <w:p>
            <w:pPr>
              <w:pStyle w:val="0"/>
              <w:jc w:val="center"/>
            </w:pPr>
            <w:r>
              <w:rPr>
                <w:sz w:val="20"/>
              </w:rPr>
              <w:t xml:space="preserve">91 - 97</w:t>
            </w:r>
          </w:p>
        </w:tc>
        <w:tc>
          <w:tcPr>
            <w:tcW w:w="3514" w:type="dxa"/>
            <w:tcBorders>
              <w:top w:val="nil"/>
              <w:left w:val="nil"/>
              <w:bottom w:val="single" w:sz="4"/>
              <w:right w:val="nil"/>
            </w:tcBorders>
          </w:tcPr>
          <w:p>
            <w:pPr>
              <w:pStyle w:val="0"/>
            </w:pPr>
            <w:r>
              <w:rPr>
                <w:sz w:val="20"/>
              </w:rPr>
              <w:t xml:space="preserve">Другие товары</w:t>
            </w:r>
          </w:p>
        </w:tc>
        <w:tc>
          <w:tcPr>
            <w:tcW w:w="1117" w:type="dxa"/>
            <w:vAlign w:val="center"/>
            <w:tcBorders>
              <w:top w:val="nil"/>
              <w:left w:val="nil"/>
              <w:bottom w:val="single" w:sz="4"/>
              <w:right w:val="nil"/>
            </w:tcBorders>
          </w:tcPr>
          <w:p>
            <w:pPr>
              <w:pStyle w:val="0"/>
              <w:jc w:val="center"/>
            </w:pPr>
            <w:r>
              <w:rPr>
                <w:sz w:val="20"/>
              </w:rPr>
              <w:t xml:space="preserve">9,70</w:t>
            </w:r>
          </w:p>
        </w:tc>
        <w:tc>
          <w:tcPr>
            <w:tcW w:w="1117" w:type="dxa"/>
            <w:vAlign w:val="center"/>
            <w:tcBorders>
              <w:top w:val="nil"/>
              <w:left w:val="nil"/>
              <w:bottom w:val="single" w:sz="4"/>
              <w:right w:val="nil"/>
            </w:tcBorders>
          </w:tcPr>
          <w:p>
            <w:pPr>
              <w:pStyle w:val="0"/>
              <w:jc w:val="center"/>
            </w:pPr>
            <w:r>
              <w:rPr>
                <w:sz w:val="20"/>
              </w:rPr>
              <w:t xml:space="preserve">9,71</w:t>
            </w:r>
          </w:p>
        </w:tc>
        <w:tc>
          <w:tcPr>
            <w:tcW w:w="1117" w:type="dxa"/>
            <w:vAlign w:val="center"/>
            <w:tcBorders>
              <w:top w:val="nil"/>
              <w:left w:val="nil"/>
              <w:bottom w:val="single" w:sz="4"/>
              <w:right w:val="nil"/>
            </w:tcBorders>
          </w:tcPr>
          <w:p>
            <w:pPr>
              <w:pStyle w:val="0"/>
              <w:jc w:val="center"/>
            </w:pPr>
            <w:r>
              <w:rPr>
                <w:sz w:val="20"/>
              </w:rPr>
              <w:t xml:space="preserve">9,46</w:t>
            </w:r>
          </w:p>
        </w:tc>
        <w:tc>
          <w:tcPr>
            <w:tcW w:w="1117" w:type="dxa"/>
            <w:vAlign w:val="center"/>
            <w:tcBorders>
              <w:top w:val="nil"/>
              <w:left w:val="nil"/>
              <w:bottom w:val="single" w:sz="4"/>
              <w:right w:val="nil"/>
            </w:tcBorders>
          </w:tcPr>
          <w:p>
            <w:pPr>
              <w:pStyle w:val="0"/>
              <w:jc w:val="center"/>
            </w:pPr>
            <w:r>
              <w:rPr>
                <w:sz w:val="20"/>
              </w:rPr>
              <w:t xml:space="preserve">9,55</w:t>
            </w:r>
          </w:p>
        </w:tc>
        <w:tc>
          <w:tcPr>
            <w:tcW w:w="1117" w:type="dxa"/>
            <w:vAlign w:val="center"/>
            <w:tcBorders>
              <w:top w:val="nil"/>
              <w:left w:val="nil"/>
              <w:bottom w:val="single" w:sz="4"/>
              <w:right w:val="nil"/>
            </w:tcBorders>
          </w:tcPr>
          <w:p>
            <w:pPr>
              <w:pStyle w:val="0"/>
              <w:jc w:val="center"/>
            </w:pPr>
            <w:r>
              <w:rPr>
                <w:sz w:val="20"/>
              </w:rPr>
              <w:t xml:space="preserve">9,65</w:t>
            </w:r>
          </w:p>
        </w:tc>
        <w:tc>
          <w:tcPr>
            <w:tcW w:w="1117" w:type="dxa"/>
            <w:vAlign w:val="center"/>
            <w:tcBorders>
              <w:top w:val="nil"/>
              <w:left w:val="nil"/>
              <w:bottom w:val="single" w:sz="4"/>
              <w:right w:val="nil"/>
            </w:tcBorders>
          </w:tcPr>
          <w:p>
            <w:pPr>
              <w:pStyle w:val="0"/>
              <w:jc w:val="center"/>
            </w:pPr>
            <w:r>
              <w:rPr>
                <w:sz w:val="20"/>
              </w:rPr>
              <w:t xml:space="preserve">9,65</w:t>
            </w:r>
          </w:p>
        </w:tc>
        <w:tc>
          <w:tcPr>
            <w:tcW w:w="1122" w:type="dxa"/>
            <w:vAlign w:val="center"/>
            <w:tcBorders>
              <w:top w:val="nil"/>
              <w:left w:val="nil"/>
              <w:bottom w:val="single" w:sz="4"/>
              <w:right w:val="nil"/>
            </w:tcBorders>
          </w:tcPr>
          <w:p>
            <w:pPr>
              <w:pStyle w:val="0"/>
              <w:jc w:val="center"/>
            </w:pPr>
            <w:r>
              <w:rPr>
                <w:sz w:val="20"/>
              </w:rPr>
              <w:t xml:space="preserve">9,65</w:t>
            </w:r>
          </w:p>
        </w:tc>
      </w:tr>
    </w:tbl>
    <w:p>
      <w:pPr>
        <w:sectPr>
          <w:headerReference w:type="default" r:id="rId28"/>
          <w:headerReference w:type="first" r:id="rId28"/>
          <w:footerReference w:type="default" r:id="rId29"/>
          <w:footerReference w:type="first" r:id="rId2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приложений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outlineLvl w:val="0"/>
        <w:jc w:val="right"/>
      </w:pPr>
      <w:r>
        <w:rPr>
          <w:sz w:val="20"/>
        </w:rPr>
        <w:t xml:space="preserve">Приложение 6</w:t>
      </w:r>
    </w:p>
    <w:p>
      <w:pPr>
        <w:pStyle w:val="0"/>
        <w:jc w:val="both"/>
      </w:pPr>
      <w:r>
        <w:rPr>
          <w:sz w:val="20"/>
        </w:rPr>
      </w:r>
    </w:p>
    <w:p>
      <w:pPr>
        <w:pStyle w:val="2"/>
        <w:jc w:val="center"/>
      </w:pPr>
      <w:r>
        <w:rPr>
          <w:sz w:val="20"/>
        </w:rPr>
        <w:t xml:space="preserve">ПЕРЕЧЕНЬ</w:t>
      </w:r>
    </w:p>
    <w:p>
      <w:pPr>
        <w:pStyle w:val="2"/>
        <w:jc w:val="center"/>
      </w:pPr>
      <w:r>
        <w:rPr>
          <w:sz w:val="20"/>
        </w:rPr>
        <w:t xml:space="preserve">РЕШЕНИЙ В СФЕРЕ ТАМОЖЕННО-ТАРИФНОГО РЕГУЛИРОВАНИЯ,</w:t>
      </w:r>
    </w:p>
    <w:p>
      <w:pPr>
        <w:pStyle w:val="2"/>
        <w:jc w:val="center"/>
      </w:pPr>
      <w:r>
        <w:rPr>
          <w:sz w:val="20"/>
        </w:rPr>
        <w:t xml:space="preserve">ПРИНЯТЫХ В 2022 - 2023 ГГ.</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814"/>
        <w:gridCol w:w="2154"/>
        <w:gridCol w:w="4592"/>
      </w:tblGrid>
      <w:tr>
        <w:tc>
          <w:tcPr>
            <w:tcW w:w="510" w:type="dxa"/>
          </w:tcPr>
          <w:p>
            <w:pPr>
              <w:pStyle w:val="0"/>
              <w:jc w:val="center"/>
            </w:pPr>
            <w:r>
              <w:rPr>
                <w:sz w:val="20"/>
              </w:rPr>
              <w:t xml:space="preserve">N п/п</w:t>
            </w:r>
          </w:p>
        </w:tc>
        <w:tc>
          <w:tcPr>
            <w:tcW w:w="1814" w:type="dxa"/>
          </w:tcPr>
          <w:p>
            <w:pPr>
              <w:pStyle w:val="0"/>
              <w:jc w:val="center"/>
            </w:pPr>
            <w:r>
              <w:rPr>
                <w:sz w:val="20"/>
              </w:rPr>
              <w:t xml:space="preserve">N и дата решения Коллегии ЕЭК/Совета ЕЭК</w:t>
            </w:r>
          </w:p>
        </w:tc>
        <w:tc>
          <w:tcPr>
            <w:tcW w:w="2154" w:type="dxa"/>
          </w:tcPr>
          <w:p>
            <w:pPr>
              <w:pStyle w:val="0"/>
              <w:jc w:val="center"/>
            </w:pPr>
            <w:r>
              <w:rPr>
                <w:sz w:val="20"/>
              </w:rPr>
              <w:t xml:space="preserve">Наименование товара</w:t>
            </w:r>
          </w:p>
        </w:tc>
        <w:tc>
          <w:tcPr>
            <w:tcW w:w="4592" w:type="dxa"/>
          </w:tcPr>
          <w:p>
            <w:pPr>
              <w:pStyle w:val="0"/>
              <w:jc w:val="center"/>
            </w:pPr>
            <w:r>
              <w:rPr>
                <w:sz w:val="20"/>
              </w:rPr>
              <w:t xml:space="preserve">Содержание меры</w:t>
            </w:r>
          </w:p>
        </w:tc>
      </w:tr>
      <w:tr>
        <w:tc>
          <w:tcPr>
            <w:gridSpan w:val="4"/>
            <w:tcW w:w="9070" w:type="dxa"/>
            <w:vAlign w:val="center"/>
          </w:tcPr>
          <w:p>
            <w:pPr>
              <w:pStyle w:val="0"/>
              <w:outlineLvl w:val="1"/>
              <w:jc w:val="center"/>
            </w:pPr>
            <w:r>
              <w:rPr>
                <w:sz w:val="20"/>
              </w:rPr>
              <w:t xml:space="preserve">Решения Совета ЕЭК </w:t>
            </w:r>
            <w:hyperlink w:history="0" w:anchor="P5832" w:tooltip="&lt;38&gt; По чувствительным товарам.">
              <w:r>
                <w:rPr>
                  <w:sz w:val="20"/>
                  <w:color w:val="0000ff"/>
                </w:rPr>
                <w:t xml:space="preserve">&lt;38&gt;</w:t>
              </w:r>
            </w:hyperlink>
          </w:p>
        </w:tc>
      </w:tr>
      <w:tr>
        <w:tc>
          <w:tcPr>
            <w:tcW w:w="510" w:type="dxa"/>
            <w:vAlign w:val="center"/>
          </w:tcPr>
          <w:p>
            <w:pPr>
              <w:pStyle w:val="0"/>
              <w:jc w:val="center"/>
            </w:pPr>
            <w:r>
              <w:rPr>
                <w:sz w:val="20"/>
              </w:rPr>
              <w:t xml:space="preserve">1</w:t>
            </w:r>
          </w:p>
        </w:tc>
        <w:tc>
          <w:tcPr>
            <w:tcW w:w="1814" w:type="dxa"/>
            <w:vAlign w:val="center"/>
          </w:tcPr>
          <w:p>
            <w:pPr>
              <w:pStyle w:val="0"/>
              <w:jc w:val="center"/>
            </w:pPr>
            <w:hyperlink w:history="0" r:id="rId189" w:tooltip="Решение Совета Евразийской экономической комиссии от 21.01.2022 N 7 &quot;О внесении изменения в Решение Комиссии Таможенного союза от 27 ноября 2009 г. N 130 в отношении оксидов титана&quot; {КонсультантПлюс}">
              <w:r>
                <w:rPr>
                  <w:sz w:val="20"/>
                  <w:color w:val="0000ff"/>
                </w:rPr>
                <w:t xml:space="preserve">Решение</w:t>
              </w:r>
            </w:hyperlink>
            <w:r>
              <w:rPr>
                <w:sz w:val="20"/>
              </w:rPr>
              <w:t xml:space="preserve"> Совета ЕЭК от 21.01.2022 N 7</w:t>
            </w:r>
          </w:p>
        </w:tc>
        <w:tc>
          <w:tcPr>
            <w:tcW w:w="2154" w:type="dxa"/>
            <w:vAlign w:val="center"/>
          </w:tcPr>
          <w:p>
            <w:pPr>
              <w:pStyle w:val="0"/>
              <w:jc w:val="center"/>
            </w:pPr>
            <w:r>
              <w:rPr>
                <w:sz w:val="20"/>
              </w:rPr>
              <w:t xml:space="preserve">Оксиды титана</w:t>
            </w:r>
          </w:p>
        </w:tc>
        <w:tc>
          <w:tcPr>
            <w:tcW w:w="4592" w:type="dxa"/>
            <w:vAlign w:val="center"/>
          </w:tcPr>
          <w:p>
            <w:pPr>
              <w:pStyle w:val="0"/>
              <w:jc w:val="both"/>
            </w:pPr>
            <w:r>
              <w:rPr>
                <w:sz w:val="20"/>
              </w:rPr>
              <w:t xml:space="preserve">Предоставление тарифной льготы виде освобождения от уплаты ввозной таможенной пошлины на отдельные товары, ввозимые в Республику Беларусь в объеме не более 360 тонн ежегодно для использования в производстве химических волокон и нитей при условии подтверждения целевого назначения ввозимого товара уполномоченными органами.</w:t>
            </w:r>
          </w:p>
        </w:tc>
      </w:tr>
      <w:tr>
        <w:tc>
          <w:tcPr>
            <w:tcW w:w="510" w:type="dxa"/>
            <w:vAlign w:val="center"/>
          </w:tcPr>
          <w:p>
            <w:pPr>
              <w:pStyle w:val="0"/>
              <w:jc w:val="center"/>
            </w:pPr>
            <w:r>
              <w:rPr>
                <w:sz w:val="20"/>
              </w:rPr>
              <w:t xml:space="preserve">2</w:t>
            </w:r>
          </w:p>
        </w:tc>
        <w:tc>
          <w:tcPr>
            <w:tcW w:w="1814" w:type="dxa"/>
            <w:vAlign w:val="center"/>
          </w:tcPr>
          <w:p>
            <w:pPr>
              <w:pStyle w:val="0"/>
              <w:jc w:val="center"/>
            </w:pPr>
            <w:hyperlink w:history="0" r:id="rId190" w:tooltip="Решение Совета Евразийской экономической комиссии от 18.02.2022 N 21 &quot;Об установлении ставки ввозной таможенной пошлины Единого таможенного тарифа Евразийского экономического союза в отношении терефталевой кислоты и ее солей&quot; {КонсультантПлюс}">
              <w:r>
                <w:rPr>
                  <w:sz w:val="20"/>
                  <w:color w:val="0000ff"/>
                </w:rPr>
                <w:t xml:space="preserve">Решение</w:t>
              </w:r>
            </w:hyperlink>
            <w:r>
              <w:rPr>
                <w:sz w:val="20"/>
              </w:rPr>
              <w:t xml:space="preserve"> Совета ЕЭК от 18.02.2022</w:t>
            </w:r>
          </w:p>
        </w:tc>
        <w:tc>
          <w:tcPr>
            <w:tcW w:w="2154" w:type="dxa"/>
            <w:vAlign w:val="center"/>
          </w:tcPr>
          <w:p>
            <w:pPr>
              <w:pStyle w:val="0"/>
              <w:jc w:val="center"/>
            </w:pPr>
            <w:r>
              <w:rPr>
                <w:sz w:val="20"/>
              </w:rPr>
              <w:t xml:space="preserve">Терефталевая кислота и ее соли</w:t>
            </w:r>
          </w:p>
        </w:tc>
        <w:tc>
          <w:tcPr>
            <w:tcW w:w="4592" w:type="dxa"/>
            <w:vAlign w:val="center"/>
          </w:tcPr>
          <w:p>
            <w:pPr>
              <w:pStyle w:val="0"/>
              <w:jc w:val="both"/>
            </w:pPr>
            <w:r>
              <w:rPr>
                <w:sz w:val="20"/>
              </w:rPr>
              <w:t xml:space="preserve">Установление нулевой ставки ввозной таможенной пошлины сроком с 24.03.2022 по 31.03.2024 включительно.</w:t>
            </w:r>
          </w:p>
        </w:tc>
      </w:tr>
      <w:tr>
        <w:tc>
          <w:tcPr>
            <w:tcW w:w="510" w:type="dxa"/>
            <w:vAlign w:val="center"/>
          </w:tcPr>
          <w:p>
            <w:pPr>
              <w:pStyle w:val="0"/>
              <w:jc w:val="center"/>
            </w:pPr>
            <w:r>
              <w:rPr>
                <w:sz w:val="20"/>
              </w:rPr>
              <w:t xml:space="preserve">3</w:t>
            </w:r>
          </w:p>
        </w:tc>
        <w:tc>
          <w:tcPr>
            <w:tcW w:w="1814" w:type="dxa"/>
            <w:vAlign w:val="center"/>
          </w:tcPr>
          <w:p>
            <w:pPr>
              <w:pStyle w:val="0"/>
              <w:jc w:val="center"/>
            </w:pPr>
            <w:hyperlink w:history="0" r:id="rId191" w:tooltip="Решение Совета Евразийской экономической комиссии от 18.02.2022 N 22 &quot;Об установлении ставок ввозных таможенных пошлин Единого таможенного тарифа Евразийского экономического союза в отношении отдельных видов нитей&quot; {КонсультантПлюс}">
              <w:r>
                <w:rPr>
                  <w:sz w:val="20"/>
                  <w:color w:val="0000ff"/>
                </w:rPr>
                <w:t xml:space="preserve">Решение</w:t>
              </w:r>
            </w:hyperlink>
            <w:r>
              <w:rPr>
                <w:sz w:val="20"/>
              </w:rPr>
              <w:t xml:space="preserve"> Совета ЕЭК от 18.02.2022 N 22</w:t>
            </w:r>
          </w:p>
        </w:tc>
        <w:tc>
          <w:tcPr>
            <w:tcW w:w="2154" w:type="dxa"/>
            <w:vAlign w:val="center"/>
          </w:tcPr>
          <w:p>
            <w:pPr>
              <w:pStyle w:val="0"/>
              <w:jc w:val="center"/>
            </w:pPr>
            <w:r>
              <w:rPr>
                <w:sz w:val="20"/>
              </w:rPr>
              <w:t xml:space="preserve">Отдельные виды нитей</w:t>
            </w:r>
          </w:p>
        </w:tc>
        <w:tc>
          <w:tcPr>
            <w:tcW w:w="4592" w:type="dxa"/>
            <w:vAlign w:val="center"/>
          </w:tcPr>
          <w:p>
            <w:pPr>
              <w:pStyle w:val="0"/>
              <w:jc w:val="both"/>
            </w:pPr>
            <w:r>
              <w:rPr>
                <w:sz w:val="20"/>
              </w:rPr>
              <w:t xml:space="preserve">Установление нулевых ставок ввозных таможенных пошлин сроком с 24.03.2022 по 31.03.2025 включительно.</w:t>
            </w:r>
          </w:p>
        </w:tc>
      </w:tr>
      <w:tr>
        <w:tc>
          <w:tcPr>
            <w:tcW w:w="510" w:type="dxa"/>
            <w:vAlign w:val="center"/>
          </w:tcPr>
          <w:p>
            <w:pPr>
              <w:pStyle w:val="0"/>
              <w:jc w:val="center"/>
            </w:pPr>
            <w:r>
              <w:rPr>
                <w:sz w:val="20"/>
              </w:rPr>
              <w:t xml:space="preserve">4</w:t>
            </w:r>
          </w:p>
        </w:tc>
        <w:tc>
          <w:tcPr>
            <w:tcW w:w="1814" w:type="dxa"/>
            <w:vAlign w:val="center"/>
          </w:tcPr>
          <w:p>
            <w:pPr>
              <w:pStyle w:val="0"/>
              <w:jc w:val="center"/>
            </w:pPr>
            <w:hyperlink w:history="0" r:id="rId192" w:tooltip="Решение Совета Евразийской экономической комиссии от 18.02.2022 N 44 &quot;Об установлении ставки ввозной таможенной пошлины Единого таможенного тарифа Евразийского экономического союза в отношении отдельных видов двигателей внутреннего сгорания&quot; {КонсультантПлюс}">
              <w:r>
                <w:rPr>
                  <w:sz w:val="20"/>
                  <w:color w:val="0000ff"/>
                </w:rPr>
                <w:t xml:space="preserve">Решение</w:t>
              </w:r>
            </w:hyperlink>
            <w:r>
              <w:rPr>
                <w:sz w:val="20"/>
              </w:rPr>
              <w:t xml:space="preserve"> Совета ЕЭК от 18.02.2022 N 44</w:t>
            </w:r>
          </w:p>
        </w:tc>
        <w:tc>
          <w:tcPr>
            <w:tcW w:w="2154" w:type="dxa"/>
            <w:vAlign w:val="center"/>
          </w:tcPr>
          <w:p>
            <w:pPr>
              <w:pStyle w:val="0"/>
              <w:jc w:val="center"/>
            </w:pPr>
            <w:r>
              <w:rPr>
                <w:sz w:val="20"/>
              </w:rPr>
              <w:t xml:space="preserve">Отдельные виды двигателей внутреннего сгорания</w:t>
            </w:r>
          </w:p>
        </w:tc>
        <w:tc>
          <w:tcPr>
            <w:tcW w:w="4592" w:type="dxa"/>
            <w:vAlign w:val="center"/>
          </w:tcPr>
          <w:p>
            <w:pPr>
              <w:pStyle w:val="0"/>
              <w:jc w:val="both"/>
            </w:pPr>
            <w:r>
              <w:rPr>
                <w:sz w:val="20"/>
              </w:rPr>
              <w:t xml:space="preserve">Установление нулевой ставки ввозной таможенной пошлины сроком с 14.04.2022 по 31.12.2022 включительно.</w:t>
            </w:r>
          </w:p>
        </w:tc>
      </w:tr>
      <w:tr>
        <w:tc>
          <w:tcPr>
            <w:tcW w:w="510" w:type="dxa"/>
            <w:vAlign w:val="center"/>
          </w:tcPr>
          <w:p>
            <w:pPr>
              <w:pStyle w:val="0"/>
              <w:jc w:val="center"/>
            </w:pPr>
            <w:r>
              <w:rPr>
                <w:sz w:val="20"/>
              </w:rPr>
              <w:t xml:space="preserve">5</w:t>
            </w:r>
          </w:p>
        </w:tc>
        <w:tc>
          <w:tcPr>
            <w:tcW w:w="1814" w:type="dxa"/>
            <w:vAlign w:val="center"/>
          </w:tcPr>
          <w:p>
            <w:pPr>
              <w:pStyle w:val="0"/>
              <w:jc w:val="center"/>
            </w:pPr>
            <w:hyperlink w:history="0" r:id="rId193" w:tooltip="Решение Совета Евразийской экономической комиссии от 17.03.2022 N 29 &quot;Об установлении ставок ввозных таможенных пошлин Единого таможенного тарифа Евразийского экономического союза в отношении отдельных видов рыбы и о внесении изменения в перечень товаров, в отношении которых 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пошлин, более низкие по сравнению со ставками пошлин Единого тамо {КонсультантПлюс}">
              <w:r>
                <w:rPr>
                  <w:sz w:val="20"/>
                  <w:color w:val="0000ff"/>
                </w:rPr>
                <w:t xml:space="preserve">Решение</w:t>
              </w:r>
            </w:hyperlink>
            <w:r>
              <w:rPr>
                <w:sz w:val="20"/>
              </w:rPr>
              <w:t xml:space="preserve"> Совета ЕЭК от 17.03.2022 N 29</w:t>
            </w:r>
          </w:p>
        </w:tc>
        <w:tc>
          <w:tcPr>
            <w:tcW w:w="2154" w:type="dxa"/>
            <w:vAlign w:val="center"/>
          </w:tcPr>
          <w:p>
            <w:pPr>
              <w:pStyle w:val="0"/>
              <w:jc w:val="center"/>
            </w:pPr>
            <w:r>
              <w:rPr>
                <w:sz w:val="20"/>
              </w:rPr>
              <w:t xml:space="preserve">Отдельные виды рыбы</w:t>
            </w:r>
          </w:p>
        </w:tc>
        <w:tc>
          <w:tcPr>
            <w:tcW w:w="4592" w:type="dxa"/>
            <w:vAlign w:val="center"/>
          </w:tcPr>
          <w:p>
            <w:pPr>
              <w:pStyle w:val="0"/>
              <w:jc w:val="both"/>
            </w:pPr>
            <w:r>
              <w:rPr>
                <w:sz w:val="20"/>
              </w:rPr>
              <w:t xml:space="preserve">Внесение изменений в перечень изъятий Республики Казахстан из ЕТТ ЕАЭС, в связи с ранее принятым решением Коллегии ЕЭК об изменении ставок ввозных таможенных пошлин.</w:t>
            </w:r>
          </w:p>
        </w:tc>
      </w:tr>
      <w:tr>
        <w:tc>
          <w:tcPr>
            <w:tcW w:w="510" w:type="dxa"/>
            <w:vAlign w:val="center"/>
          </w:tcPr>
          <w:p>
            <w:pPr>
              <w:pStyle w:val="0"/>
              <w:jc w:val="center"/>
            </w:pPr>
            <w:r>
              <w:rPr>
                <w:sz w:val="20"/>
              </w:rPr>
              <w:t xml:space="preserve">6</w:t>
            </w:r>
          </w:p>
        </w:tc>
        <w:tc>
          <w:tcPr>
            <w:tcW w:w="1814" w:type="dxa"/>
            <w:vAlign w:val="center"/>
          </w:tcPr>
          <w:p>
            <w:pPr>
              <w:pStyle w:val="0"/>
              <w:jc w:val="center"/>
            </w:pPr>
            <w:hyperlink w:history="0" r:id="rId194" w:tooltip="Решение Совета Евразийской экономической комиссии от 17.03.2022 N 30 &quot;О внесении изменения в перечень товаров, в отношении которых 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пошлин, более низкие по сравнению со ставками пошлин Единого таможенного тарифа Евразийского экономического союза, и размеров таких ставок пошлин в отношении отдельных видов целлюлозы древесной полубеленой или  {КонсультантПлюс}">
              <w:r>
                <w:rPr>
                  <w:sz w:val="20"/>
                  <w:color w:val="0000ff"/>
                </w:rPr>
                <w:t xml:space="preserve">Решение</w:t>
              </w:r>
            </w:hyperlink>
            <w:r>
              <w:rPr>
                <w:sz w:val="20"/>
              </w:rPr>
              <w:t xml:space="preserve"> Совета ЕЭК от 17.03.2022 N 30</w:t>
            </w:r>
          </w:p>
        </w:tc>
        <w:tc>
          <w:tcPr>
            <w:tcW w:w="2154" w:type="dxa"/>
            <w:vAlign w:val="center"/>
          </w:tcPr>
          <w:p>
            <w:pPr>
              <w:pStyle w:val="0"/>
              <w:jc w:val="center"/>
            </w:pPr>
            <w:r>
              <w:rPr>
                <w:sz w:val="20"/>
              </w:rPr>
              <w:t xml:space="preserve">Отдельные виды целлюлозы древесной из эвкалипта</w:t>
            </w:r>
          </w:p>
        </w:tc>
        <w:tc>
          <w:tcPr>
            <w:tcW w:w="4592" w:type="dxa"/>
            <w:vAlign w:val="center"/>
          </w:tcPr>
          <w:p>
            <w:pPr>
              <w:pStyle w:val="0"/>
              <w:jc w:val="both"/>
            </w:pPr>
            <w:r>
              <w:rPr>
                <w:sz w:val="20"/>
              </w:rPr>
              <w:t xml:space="preserve">Внесение изменений в перечень изъятий Республики Казахстан из ЕТТ ЕАЭС, в связи с ранее принятым решением Коллегии ЕЭК об изменении ставок ввозных таможенных пошлин.</w:t>
            </w:r>
          </w:p>
        </w:tc>
      </w:tr>
      <w:tr>
        <w:tc>
          <w:tcPr>
            <w:tcW w:w="510" w:type="dxa"/>
            <w:vAlign w:val="center"/>
          </w:tcPr>
          <w:p>
            <w:pPr>
              <w:pStyle w:val="0"/>
              <w:jc w:val="center"/>
            </w:pPr>
            <w:r>
              <w:rPr>
                <w:sz w:val="20"/>
              </w:rPr>
              <w:t xml:space="preserve">7</w:t>
            </w:r>
          </w:p>
        </w:tc>
        <w:tc>
          <w:tcPr>
            <w:tcW w:w="1814" w:type="dxa"/>
            <w:vAlign w:val="center"/>
          </w:tcPr>
          <w:p>
            <w:pPr>
              <w:pStyle w:val="0"/>
              <w:jc w:val="center"/>
            </w:pPr>
            <w:hyperlink w:history="0" r:id="rId195" w:tooltip="Решение Совета Евразийской экономической комиссии от 17.03.2022 N 34 &quot;Об установлении ставок ввозных таможенных пошлин Единого таможенного тарифа Евразийского экономического союза в отношении отдельных видов товаров, ввозимых в целях реализации мер, направленных на повышение устойчивости экономик государств - членов Евразийского экономического союза&quot; {КонсультантПлюс}">
              <w:r>
                <w:rPr>
                  <w:sz w:val="20"/>
                  <w:color w:val="0000ff"/>
                </w:rPr>
                <w:t xml:space="preserve">Решение</w:t>
              </w:r>
            </w:hyperlink>
            <w:r>
              <w:rPr>
                <w:sz w:val="20"/>
              </w:rPr>
              <w:t xml:space="preserve"> Совета ЕЭК от 17.03.2022 N 34</w:t>
            </w:r>
          </w:p>
        </w:tc>
        <w:tc>
          <w:tcPr>
            <w:tcW w:w="2154" w:type="dxa"/>
            <w:vAlign w:val="center"/>
          </w:tcPr>
          <w:p>
            <w:pPr>
              <w:pStyle w:val="0"/>
              <w:jc w:val="center"/>
            </w:pPr>
            <w:r>
              <w:rPr>
                <w:sz w:val="20"/>
              </w:rPr>
              <w:t xml:space="preserve">Отдельные виды фруктового пюре, анилин, отдельные виды тканей</w:t>
            </w:r>
          </w:p>
        </w:tc>
        <w:tc>
          <w:tcPr>
            <w:tcW w:w="4592" w:type="dxa"/>
            <w:vAlign w:val="center"/>
          </w:tcPr>
          <w:p>
            <w:pPr>
              <w:pStyle w:val="0"/>
              <w:jc w:val="both"/>
            </w:pPr>
            <w:r>
              <w:rPr>
                <w:sz w:val="20"/>
              </w:rPr>
              <w:t xml:space="preserve">Установление нулевых ставок ввозных таможенных пошлин сроком с 28.03.2022 в отношении:</w:t>
            </w:r>
          </w:p>
          <w:p>
            <w:pPr>
              <w:pStyle w:val="0"/>
              <w:jc w:val="both"/>
            </w:pPr>
            <w:r>
              <w:rPr>
                <w:sz w:val="20"/>
              </w:rPr>
              <w:t xml:space="preserve">- фруктовое пюре по 30.04.2023 включительно;</w:t>
            </w:r>
          </w:p>
          <w:p>
            <w:pPr>
              <w:pStyle w:val="0"/>
              <w:jc w:val="both"/>
            </w:pPr>
            <w:r>
              <w:rPr>
                <w:sz w:val="20"/>
              </w:rPr>
              <w:t xml:space="preserve">- анилин и ткани по 30.04.2025 включительно.</w:t>
            </w:r>
          </w:p>
        </w:tc>
      </w:tr>
      <w:tr>
        <w:tc>
          <w:tcPr>
            <w:tcW w:w="510" w:type="dxa"/>
            <w:vAlign w:val="center"/>
          </w:tcPr>
          <w:p>
            <w:pPr>
              <w:pStyle w:val="0"/>
              <w:jc w:val="center"/>
            </w:pPr>
            <w:r>
              <w:rPr>
                <w:sz w:val="20"/>
              </w:rPr>
              <w:t xml:space="preserve">8</w:t>
            </w:r>
          </w:p>
        </w:tc>
        <w:tc>
          <w:tcPr>
            <w:tcW w:w="1814" w:type="dxa"/>
            <w:vAlign w:val="center"/>
          </w:tcPr>
          <w:p>
            <w:pPr>
              <w:pStyle w:val="0"/>
              <w:jc w:val="center"/>
            </w:pPr>
            <w:hyperlink w:history="0" r:id="rId196" w:tooltip="Решение Совета Евразийской экономической комиссии от 17.03.2022 N 37 (ред. от 17.10.2022) &quot;О внесении изменений в некоторые решения Комиссии Таможенного союза и об утверждении перечней товаров, ввозимых на таможенную территорию Евразийского экономического союза в целях реализации мер, направленных на повышение устойчивости экономик государств - членов Евразийского экономического союза&quot; {КонсультантПлюс}">
              <w:r>
                <w:rPr>
                  <w:sz w:val="20"/>
                  <w:color w:val="0000ff"/>
                </w:rPr>
                <w:t xml:space="preserve">Решение</w:t>
              </w:r>
            </w:hyperlink>
            <w:r>
              <w:rPr>
                <w:sz w:val="20"/>
              </w:rPr>
              <w:t xml:space="preserve"> Совета ЕЭК от 17.03.2022 N 37</w:t>
            </w:r>
          </w:p>
        </w:tc>
        <w:tc>
          <w:tcPr>
            <w:tcW w:w="2154" w:type="dxa"/>
            <w:vAlign w:val="center"/>
          </w:tcPr>
          <w:p>
            <w:pPr>
              <w:pStyle w:val="0"/>
              <w:jc w:val="center"/>
            </w:pPr>
            <w:r>
              <w:rPr>
                <w:sz w:val="20"/>
              </w:rPr>
              <w:t xml:space="preserve">Широкая номенклатура товаров</w:t>
            </w:r>
          </w:p>
        </w:tc>
        <w:tc>
          <w:tcPr>
            <w:tcW w:w="4592" w:type="dxa"/>
            <w:vAlign w:val="center"/>
          </w:tcPr>
          <w:p>
            <w:pPr>
              <w:pStyle w:val="0"/>
              <w:jc w:val="both"/>
            </w:pPr>
            <w:r>
              <w:rPr>
                <w:sz w:val="20"/>
              </w:rPr>
              <w:t xml:space="preserve">Предоставление тарифной льготы виде освобождения от уплаты ввозной таможенной пошлины на товары, ввозимые в страны ЕАЭС, сроком с 28.03.2022 по 30.09.2022 включительно.</w:t>
            </w:r>
          </w:p>
        </w:tc>
      </w:tr>
      <w:tr>
        <w:tc>
          <w:tcPr>
            <w:tcW w:w="510" w:type="dxa"/>
            <w:vAlign w:val="center"/>
          </w:tcPr>
          <w:p>
            <w:pPr>
              <w:pStyle w:val="0"/>
              <w:jc w:val="center"/>
            </w:pPr>
            <w:r>
              <w:rPr>
                <w:sz w:val="20"/>
              </w:rPr>
              <w:t xml:space="preserve">9</w:t>
            </w:r>
          </w:p>
        </w:tc>
        <w:tc>
          <w:tcPr>
            <w:tcW w:w="1814" w:type="dxa"/>
            <w:vAlign w:val="center"/>
          </w:tcPr>
          <w:p>
            <w:pPr>
              <w:pStyle w:val="0"/>
              <w:jc w:val="center"/>
            </w:pPr>
            <w:hyperlink w:history="0" r:id="rId197" w:tooltip="Решение Совета Евразийской экономической комиссии от 17.03.2022 N 38 &quot;О внесении изменений в некоторые решения Комиссии Таможенного союза в отношении комплектующих для производства тепловыделяющих сборок для атомных станций&quot; {КонсультантПлюс}">
              <w:r>
                <w:rPr>
                  <w:sz w:val="20"/>
                  <w:color w:val="0000ff"/>
                </w:rPr>
                <w:t xml:space="preserve">Решение</w:t>
              </w:r>
            </w:hyperlink>
            <w:r>
              <w:rPr>
                <w:sz w:val="20"/>
              </w:rPr>
              <w:t xml:space="preserve"> Совета ЕЭК от 17.03.2022 N 38</w:t>
            </w:r>
          </w:p>
        </w:tc>
        <w:tc>
          <w:tcPr>
            <w:tcW w:w="2154" w:type="dxa"/>
            <w:vAlign w:val="center"/>
          </w:tcPr>
          <w:p>
            <w:pPr>
              <w:pStyle w:val="0"/>
              <w:jc w:val="center"/>
            </w:pPr>
            <w:r>
              <w:rPr>
                <w:sz w:val="20"/>
              </w:rPr>
              <w:t xml:space="preserve">Комплектующие для производства тепловыделяющих сборок для атомных станций</w:t>
            </w:r>
          </w:p>
        </w:tc>
        <w:tc>
          <w:tcPr>
            <w:tcW w:w="4592" w:type="dxa"/>
            <w:vAlign w:val="center"/>
          </w:tcPr>
          <w:p>
            <w:pPr>
              <w:pStyle w:val="0"/>
              <w:jc w:val="both"/>
            </w:pPr>
            <w:r>
              <w:rPr>
                <w:sz w:val="20"/>
              </w:rPr>
              <w:t xml:space="preserve">Предоставление тарифной льготы в виде освобождения от уплаты ввозной таможенной пошлины на товары, ввозимые в Республику Казахстан сроком с 28.03.2022 по 31.12.2024 включительно.</w:t>
            </w:r>
          </w:p>
        </w:tc>
      </w:tr>
      <w:tr>
        <w:tc>
          <w:tcPr>
            <w:tcW w:w="510" w:type="dxa"/>
            <w:vAlign w:val="center"/>
          </w:tcPr>
          <w:p>
            <w:pPr>
              <w:pStyle w:val="0"/>
              <w:jc w:val="center"/>
            </w:pPr>
            <w:r>
              <w:rPr>
                <w:sz w:val="20"/>
              </w:rPr>
              <w:t xml:space="preserve">10</w:t>
            </w:r>
          </w:p>
        </w:tc>
        <w:tc>
          <w:tcPr>
            <w:tcW w:w="1814" w:type="dxa"/>
            <w:vAlign w:val="center"/>
          </w:tcPr>
          <w:p>
            <w:pPr>
              <w:pStyle w:val="0"/>
              <w:jc w:val="center"/>
            </w:pPr>
            <w:hyperlink w:history="0" r:id="rId198" w:tooltip="Решение Совета Евразийской экономической комиссии от 17.03.2022 N 39 &quot;О внесении изменений в некоторые решения Комиссии Таможенного союза и Совета Евразийской экономической комиссии в отношении отдельных видов моторных транспортных средств с электрическими двигателями&quot; ------------ Утратил силу или отменен {КонсультантПлюс}">
              <w:r>
                <w:rPr>
                  <w:sz w:val="20"/>
                  <w:color w:val="0000ff"/>
                </w:rPr>
                <w:t xml:space="preserve">Решение</w:t>
              </w:r>
            </w:hyperlink>
            <w:r>
              <w:rPr>
                <w:sz w:val="20"/>
              </w:rPr>
              <w:t xml:space="preserve"> Совета ЕЭК от 17.03.2022 N 39</w:t>
            </w:r>
          </w:p>
        </w:tc>
        <w:tc>
          <w:tcPr>
            <w:tcW w:w="2154" w:type="dxa"/>
            <w:vAlign w:val="center"/>
          </w:tcPr>
          <w:p>
            <w:pPr>
              <w:pStyle w:val="0"/>
              <w:jc w:val="center"/>
            </w:pPr>
            <w:r>
              <w:rPr>
                <w:sz w:val="20"/>
              </w:rPr>
              <w:t xml:space="preserve">Отдельные виды моторных транспортных средств с электрическими двигателями</w:t>
            </w:r>
          </w:p>
        </w:tc>
        <w:tc>
          <w:tcPr>
            <w:tcW w:w="4592" w:type="dxa"/>
            <w:vAlign w:val="center"/>
          </w:tcPr>
          <w:p>
            <w:pPr>
              <w:pStyle w:val="0"/>
              <w:jc w:val="both"/>
            </w:pPr>
            <w:r>
              <w:rPr>
                <w:sz w:val="20"/>
              </w:rPr>
              <w:t xml:space="preserve">Предоставление тарифной льготы виде освобождения от уплаты ввозной таможенной пошлины на товары, ввозимые в страны ЕАЭС в ограниченном количестве и только для граждан, постоянно проживающих в Республике Армения, Республике Беларусь, Республике Казахстан, Киргизской Республике.</w:t>
            </w:r>
          </w:p>
        </w:tc>
      </w:tr>
      <w:tr>
        <w:tc>
          <w:tcPr>
            <w:tcW w:w="510" w:type="dxa"/>
            <w:vAlign w:val="center"/>
          </w:tcPr>
          <w:p>
            <w:pPr>
              <w:pStyle w:val="0"/>
              <w:jc w:val="center"/>
            </w:pPr>
            <w:r>
              <w:rPr>
                <w:sz w:val="20"/>
              </w:rPr>
              <w:t xml:space="preserve">11</w:t>
            </w:r>
          </w:p>
        </w:tc>
        <w:tc>
          <w:tcPr>
            <w:tcW w:w="1814" w:type="dxa"/>
            <w:vAlign w:val="center"/>
          </w:tcPr>
          <w:p>
            <w:pPr>
              <w:pStyle w:val="0"/>
              <w:jc w:val="center"/>
            </w:pPr>
            <w:hyperlink w:history="0" r:id="rId199" w:tooltip="Решение Совета Евразийской экономической комиссии от 05.04.2022 N 46 &quot;Об установлении ставок ввозных таможенных пошлин Единого таможенного тарифа Евразийского экономического союза в отношении отдельных видов товаров, а также о внесении изменений в некоторые решения Комиссии Таможенного союза и Совета Евразийской экономической комиссии&quot; {КонсультантПлюс}">
              <w:r>
                <w:rPr>
                  <w:sz w:val="20"/>
                  <w:color w:val="0000ff"/>
                </w:rPr>
                <w:t xml:space="preserve">Решение</w:t>
              </w:r>
            </w:hyperlink>
            <w:r>
              <w:rPr>
                <w:sz w:val="20"/>
              </w:rPr>
              <w:t xml:space="preserve"> Совета ЕЭК от 05.04.2022 N 46</w:t>
            </w:r>
          </w:p>
        </w:tc>
        <w:tc>
          <w:tcPr>
            <w:tcW w:w="2154" w:type="dxa"/>
            <w:vAlign w:val="center"/>
          </w:tcPr>
          <w:p>
            <w:pPr>
              <w:pStyle w:val="0"/>
              <w:jc w:val="center"/>
            </w:pPr>
            <w:r>
              <w:rPr>
                <w:sz w:val="20"/>
              </w:rPr>
              <w:t xml:space="preserve">Широкая номенклатура товаров</w:t>
            </w:r>
          </w:p>
        </w:tc>
        <w:tc>
          <w:tcPr>
            <w:tcW w:w="4592" w:type="dxa"/>
            <w:vAlign w:val="center"/>
          </w:tcPr>
          <w:p>
            <w:pPr>
              <w:pStyle w:val="0"/>
              <w:jc w:val="both"/>
            </w:pPr>
            <w:r>
              <w:rPr>
                <w:sz w:val="20"/>
              </w:rPr>
              <w:t xml:space="preserve">Установление нулевых ставок ввозных таможенных пошлин сроком с 28.03.2022 по 30.09.2022 включительно.</w:t>
            </w:r>
          </w:p>
        </w:tc>
      </w:tr>
      <w:tr>
        <w:tc>
          <w:tcPr>
            <w:tcW w:w="510" w:type="dxa"/>
            <w:vAlign w:val="center"/>
          </w:tcPr>
          <w:p>
            <w:pPr>
              <w:pStyle w:val="0"/>
              <w:jc w:val="center"/>
            </w:pPr>
            <w:r>
              <w:rPr>
                <w:sz w:val="20"/>
              </w:rPr>
              <w:t xml:space="preserve">12</w:t>
            </w:r>
          </w:p>
        </w:tc>
        <w:tc>
          <w:tcPr>
            <w:tcW w:w="1814" w:type="dxa"/>
            <w:vAlign w:val="center"/>
          </w:tcPr>
          <w:p>
            <w:pPr>
              <w:pStyle w:val="0"/>
              <w:jc w:val="center"/>
            </w:pPr>
            <w:hyperlink w:history="0" r:id="rId200" w:tooltip="Решение Совета Евразийской экономической комиссии от 05.04.2022 N 49 &quot;О внесении изменения в Решение Комиссии Таможенного союза от 27 ноября 2009 г. N 130&quot; {КонсультантПлюс}">
              <w:r>
                <w:rPr>
                  <w:sz w:val="20"/>
                  <w:color w:val="0000ff"/>
                </w:rPr>
                <w:t xml:space="preserve">Решение</w:t>
              </w:r>
            </w:hyperlink>
            <w:r>
              <w:rPr>
                <w:sz w:val="20"/>
              </w:rPr>
              <w:t xml:space="preserve"> Совета ЕЭК от 05.04.2022 N 49</w:t>
            </w:r>
          </w:p>
        </w:tc>
        <w:tc>
          <w:tcPr>
            <w:tcW w:w="2154" w:type="dxa"/>
            <w:vAlign w:val="center"/>
          </w:tcPr>
          <w:p>
            <w:pPr>
              <w:pStyle w:val="0"/>
              <w:jc w:val="center"/>
            </w:pPr>
            <w:r>
              <w:rPr>
                <w:sz w:val="20"/>
              </w:rPr>
              <w:t xml:space="preserve">Отдельные виды моторных транспортных средств с электрическими двигателями</w:t>
            </w:r>
          </w:p>
        </w:tc>
        <w:tc>
          <w:tcPr>
            <w:tcW w:w="4592" w:type="dxa"/>
            <w:vAlign w:val="center"/>
          </w:tcPr>
          <w:p>
            <w:pPr>
              <w:pStyle w:val="0"/>
              <w:jc w:val="both"/>
            </w:pPr>
            <w:r>
              <w:rPr>
                <w:sz w:val="20"/>
              </w:rPr>
              <w:t xml:space="preserve">Техническая корректировка объема беспошлинного ввоза электромобилей для Республики Казахстан</w:t>
            </w:r>
          </w:p>
        </w:tc>
      </w:tr>
      <w:tr>
        <w:tc>
          <w:tcPr>
            <w:tcW w:w="510" w:type="dxa"/>
            <w:vAlign w:val="center"/>
          </w:tcPr>
          <w:p>
            <w:pPr>
              <w:pStyle w:val="0"/>
              <w:jc w:val="center"/>
            </w:pPr>
            <w:r>
              <w:rPr>
                <w:sz w:val="20"/>
              </w:rPr>
              <w:t xml:space="preserve">13</w:t>
            </w:r>
          </w:p>
        </w:tc>
        <w:tc>
          <w:tcPr>
            <w:tcW w:w="1814" w:type="dxa"/>
            <w:vAlign w:val="center"/>
          </w:tcPr>
          <w:p>
            <w:pPr>
              <w:pStyle w:val="0"/>
              <w:jc w:val="center"/>
            </w:pPr>
            <w:hyperlink w:history="0" r:id="rId201" w:tooltip="Решение Совета Евразийской экономической комиссии от 15.04.2022 N 62 &quot;О внесении изменений в единую Товарную номенклатуру внешнеэкономической деятельности Евразийского экономического союза и Единый таможенный тариф Евразийского экономического союза, а также в перечень чувствительных товаров, в отношении которых решение об изменении ставки ввозной таможенной пошлины принимается Советом Евразийской экономической комиссии, в отношении волокнообразующего полиэтилентерефталата&quot; {КонсультантПлюс}">
              <w:r>
                <w:rPr>
                  <w:sz w:val="20"/>
                  <w:color w:val="0000ff"/>
                </w:rPr>
                <w:t xml:space="preserve">Решение</w:t>
              </w:r>
            </w:hyperlink>
            <w:r>
              <w:rPr>
                <w:sz w:val="20"/>
              </w:rPr>
              <w:t xml:space="preserve"> Совета ЕЭК от 15.04.2022 N 62</w:t>
            </w:r>
          </w:p>
        </w:tc>
        <w:tc>
          <w:tcPr>
            <w:tcW w:w="2154" w:type="dxa"/>
            <w:vAlign w:val="center"/>
          </w:tcPr>
          <w:p>
            <w:pPr>
              <w:pStyle w:val="0"/>
              <w:jc w:val="center"/>
            </w:pPr>
            <w:r>
              <w:rPr>
                <w:sz w:val="20"/>
              </w:rPr>
              <w:t xml:space="preserve">Волокнообразующий полиэтилентерефталат</w:t>
            </w:r>
          </w:p>
        </w:tc>
        <w:tc>
          <w:tcPr>
            <w:tcW w:w="4592" w:type="dxa"/>
            <w:vAlign w:val="center"/>
          </w:tcPr>
          <w:p>
            <w:pPr>
              <w:pStyle w:val="0"/>
              <w:jc w:val="both"/>
            </w:pPr>
            <w:r>
              <w:rPr>
                <w:sz w:val="20"/>
              </w:rPr>
              <w:t xml:space="preserve">Установление нулевой ставки ввозной таможенной пошлины сроком с 28.04.2022 по 30.04.2023 включительно (с выделением в </w:t>
            </w:r>
            <w:hyperlink w:history="0" r:id="rId202"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ТН</w:t>
              </w:r>
            </w:hyperlink>
            <w:r>
              <w:rPr>
                <w:sz w:val="20"/>
              </w:rPr>
              <w:t xml:space="preserve"> ВЭД ЕАЭС отдельной подсубпозиции).</w:t>
            </w:r>
          </w:p>
        </w:tc>
      </w:tr>
      <w:tr>
        <w:tc>
          <w:tcPr>
            <w:tcW w:w="510" w:type="dxa"/>
            <w:vAlign w:val="center"/>
          </w:tcPr>
          <w:p>
            <w:pPr>
              <w:pStyle w:val="0"/>
              <w:jc w:val="center"/>
            </w:pPr>
            <w:r>
              <w:rPr>
                <w:sz w:val="20"/>
              </w:rPr>
              <w:t xml:space="preserve">14</w:t>
            </w:r>
          </w:p>
        </w:tc>
        <w:tc>
          <w:tcPr>
            <w:tcW w:w="1814" w:type="dxa"/>
            <w:vAlign w:val="center"/>
          </w:tcPr>
          <w:p>
            <w:pPr>
              <w:pStyle w:val="0"/>
              <w:jc w:val="center"/>
            </w:pPr>
            <w:hyperlink w:history="0" r:id="rId203" w:tooltip="Решение Совета Евразийской экономической комиссии от 15.04.2022 N 76 &quot;Об установлении ставок ввозных таможенных пошлин Единого таможенного тарифа Евразийского экономического союза в отношении отдельных видов товаров, а также о внесении изменений в некоторые решения Комиссии Таможенного союза и Совета Евразийской экономической комиссии&quot; {КонсультантПлюс}">
              <w:r>
                <w:rPr>
                  <w:sz w:val="20"/>
                  <w:color w:val="0000ff"/>
                </w:rPr>
                <w:t xml:space="preserve">Решение</w:t>
              </w:r>
            </w:hyperlink>
            <w:r>
              <w:rPr>
                <w:sz w:val="20"/>
              </w:rPr>
              <w:t xml:space="preserve"> Совета ЕЭК от 15.04.2022 N 76</w:t>
            </w:r>
          </w:p>
        </w:tc>
        <w:tc>
          <w:tcPr>
            <w:tcW w:w="2154" w:type="dxa"/>
            <w:vAlign w:val="center"/>
          </w:tcPr>
          <w:p>
            <w:pPr>
              <w:pStyle w:val="0"/>
              <w:jc w:val="center"/>
            </w:pPr>
            <w:r>
              <w:rPr>
                <w:sz w:val="20"/>
              </w:rPr>
              <w:t xml:space="preserve">Широкая номенклатура товаров</w:t>
            </w:r>
          </w:p>
        </w:tc>
        <w:tc>
          <w:tcPr>
            <w:tcW w:w="4592" w:type="dxa"/>
            <w:vAlign w:val="center"/>
          </w:tcPr>
          <w:p>
            <w:pPr>
              <w:pStyle w:val="0"/>
              <w:jc w:val="both"/>
            </w:pPr>
            <w:r>
              <w:rPr>
                <w:sz w:val="20"/>
              </w:rPr>
              <w:t xml:space="preserve">Установление нулевых ставок ввозных таможенных пошлин сроком с 28.03.2022 по 30.09.2022 включительно.</w:t>
            </w:r>
          </w:p>
        </w:tc>
      </w:tr>
      <w:tr>
        <w:tc>
          <w:tcPr>
            <w:tcW w:w="510" w:type="dxa"/>
            <w:vAlign w:val="center"/>
          </w:tcPr>
          <w:p>
            <w:pPr>
              <w:pStyle w:val="0"/>
              <w:jc w:val="center"/>
            </w:pPr>
            <w:r>
              <w:rPr>
                <w:sz w:val="20"/>
              </w:rPr>
              <w:t xml:space="preserve">15</w:t>
            </w:r>
          </w:p>
        </w:tc>
        <w:tc>
          <w:tcPr>
            <w:tcW w:w="1814" w:type="dxa"/>
            <w:vAlign w:val="center"/>
          </w:tcPr>
          <w:p>
            <w:pPr>
              <w:pStyle w:val="0"/>
              <w:jc w:val="center"/>
            </w:pPr>
            <w:hyperlink w:history="0" r:id="rId204" w:tooltip="Решение Совета Евразийской экономической комиссии от 10.06.2022 N 92 &quot;О внесении изменений в перечень товаров, в отношении которых 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пошлин, более низкие по сравнению со ставками пошлин Единого таможенного тарифа Евразийского экономического союза, и размеров таких ставок пошлин в отношении отдельных видов орехов и семян&quot; {КонсультантПлюс}">
              <w:r>
                <w:rPr>
                  <w:sz w:val="20"/>
                  <w:color w:val="0000ff"/>
                </w:rPr>
                <w:t xml:space="preserve">Решение</w:t>
              </w:r>
            </w:hyperlink>
            <w:r>
              <w:rPr>
                <w:sz w:val="20"/>
              </w:rPr>
              <w:t xml:space="preserve"> Совета ЕЭК от 10.06.2022 N 92</w:t>
            </w:r>
          </w:p>
        </w:tc>
        <w:tc>
          <w:tcPr>
            <w:tcW w:w="2154" w:type="dxa"/>
            <w:vAlign w:val="center"/>
          </w:tcPr>
          <w:p>
            <w:pPr>
              <w:pStyle w:val="0"/>
              <w:jc w:val="center"/>
            </w:pPr>
            <w:r>
              <w:rPr>
                <w:sz w:val="20"/>
              </w:rPr>
              <w:t xml:space="preserve">Отдельные виды орехов и семян</w:t>
            </w:r>
          </w:p>
        </w:tc>
        <w:tc>
          <w:tcPr>
            <w:tcW w:w="4592" w:type="dxa"/>
            <w:vAlign w:val="center"/>
          </w:tcPr>
          <w:p>
            <w:pPr>
              <w:pStyle w:val="0"/>
              <w:jc w:val="both"/>
            </w:pPr>
            <w:r>
              <w:rPr>
                <w:sz w:val="20"/>
              </w:rPr>
              <w:t xml:space="preserve">Внесение изменений в перечень изъятий Республики Казахстан из ЕТТ ЕАЭС, в связи с ранее принятым решением Коллегии ЕЭК об изменении ставок ввозных таможенных пошлин.</w:t>
            </w:r>
          </w:p>
        </w:tc>
      </w:tr>
      <w:tr>
        <w:tc>
          <w:tcPr>
            <w:tcW w:w="510" w:type="dxa"/>
            <w:vAlign w:val="center"/>
          </w:tcPr>
          <w:p>
            <w:pPr>
              <w:pStyle w:val="0"/>
              <w:jc w:val="center"/>
            </w:pPr>
            <w:r>
              <w:rPr>
                <w:sz w:val="20"/>
              </w:rPr>
              <w:t xml:space="preserve">16</w:t>
            </w:r>
          </w:p>
        </w:tc>
        <w:tc>
          <w:tcPr>
            <w:tcW w:w="1814" w:type="dxa"/>
            <w:vAlign w:val="center"/>
          </w:tcPr>
          <w:p>
            <w:pPr>
              <w:pStyle w:val="0"/>
              <w:jc w:val="center"/>
            </w:pPr>
            <w:hyperlink w:history="0" r:id="rId205" w:tooltip="Решение Совета Евразийской экономической комиссии от 10.06.2022 N 94 &quot;О внесении изменений в Решение Комиссии Таможенного союза от 27 ноября 2009 г. N 130 в отношении отдельных видов гражданских пассажирских самолетов&quot; {КонсультантПлюс}">
              <w:r>
                <w:rPr>
                  <w:sz w:val="20"/>
                  <w:color w:val="0000ff"/>
                </w:rPr>
                <w:t xml:space="preserve">Решение</w:t>
              </w:r>
            </w:hyperlink>
            <w:r>
              <w:rPr>
                <w:sz w:val="20"/>
              </w:rPr>
              <w:t xml:space="preserve"> Совета ЕЭК от 10.06.2022 N 94</w:t>
            </w:r>
          </w:p>
        </w:tc>
        <w:tc>
          <w:tcPr>
            <w:tcW w:w="2154" w:type="dxa"/>
            <w:vAlign w:val="center"/>
          </w:tcPr>
          <w:p>
            <w:pPr>
              <w:pStyle w:val="0"/>
              <w:jc w:val="center"/>
            </w:pPr>
            <w:r>
              <w:rPr>
                <w:sz w:val="20"/>
              </w:rPr>
              <w:t xml:space="preserve">Отдельные виды гражданских пассажирских самолетов</w:t>
            </w:r>
          </w:p>
        </w:tc>
        <w:tc>
          <w:tcPr>
            <w:tcW w:w="4592" w:type="dxa"/>
            <w:vAlign w:val="center"/>
          </w:tcPr>
          <w:p>
            <w:pPr>
              <w:pStyle w:val="0"/>
              <w:jc w:val="both"/>
            </w:pPr>
            <w:r>
              <w:rPr>
                <w:sz w:val="20"/>
              </w:rPr>
              <w:t xml:space="preserve">Продление срока действия тарифной льготы в виде освобождения от уплаты ввозной таможенной пошлины с 24.06.2022 в отношении ввозимых:</w:t>
            </w:r>
          </w:p>
          <w:p>
            <w:pPr>
              <w:pStyle w:val="0"/>
              <w:jc w:val="both"/>
            </w:pPr>
            <w:r>
              <w:rPr>
                <w:sz w:val="20"/>
              </w:rPr>
              <w:t xml:space="preserve">- турбореактивных гражданских пассажирских самолетов по 31.12.2028;</w:t>
            </w:r>
          </w:p>
          <w:p>
            <w:pPr>
              <w:pStyle w:val="0"/>
              <w:jc w:val="both"/>
            </w:pPr>
            <w:r>
              <w:rPr>
                <w:sz w:val="20"/>
              </w:rPr>
              <w:t xml:space="preserve">- турбовинтовых гражданских пассажирских самолетов по 31.12.2025.</w:t>
            </w:r>
          </w:p>
        </w:tc>
      </w:tr>
      <w:tr>
        <w:tc>
          <w:tcPr>
            <w:tcW w:w="510" w:type="dxa"/>
            <w:vAlign w:val="center"/>
          </w:tcPr>
          <w:p>
            <w:pPr>
              <w:pStyle w:val="0"/>
              <w:jc w:val="center"/>
            </w:pPr>
            <w:r>
              <w:rPr>
                <w:sz w:val="20"/>
              </w:rPr>
              <w:t xml:space="preserve">17</w:t>
            </w:r>
          </w:p>
        </w:tc>
        <w:tc>
          <w:tcPr>
            <w:tcW w:w="1814" w:type="dxa"/>
            <w:vAlign w:val="center"/>
          </w:tcPr>
          <w:p>
            <w:pPr>
              <w:pStyle w:val="0"/>
              <w:jc w:val="center"/>
            </w:pPr>
            <w:hyperlink w:history="0" r:id="rId206" w:tooltip="Решение Совета Евразийской экономической комиссии от 10.06.2022 N 99 &quot;Об установлении ставок ввозных таможенных пошлин Единого таможенного тарифа Евразийского экономического союза в отношении отдельных видов машин стиральных и аппаратуры приемной для телевизионной связи&quot; {КонсультантПлюс}">
              <w:r>
                <w:rPr>
                  <w:sz w:val="20"/>
                  <w:color w:val="0000ff"/>
                </w:rPr>
                <w:t xml:space="preserve">Решение</w:t>
              </w:r>
            </w:hyperlink>
            <w:r>
              <w:rPr>
                <w:sz w:val="20"/>
              </w:rPr>
              <w:t xml:space="preserve"> Совета ЕЭК от 10.06.2022 N 99</w:t>
            </w:r>
          </w:p>
        </w:tc>
        <w:tc>
          <w:tcPr>
            <w:tcW w:w="2154" w:type="dxa"/>
            <w:vAlign w:val="center"/>
          </w:tcPr>
          <w:p>
            <w:pPr>
              <w:pStyle w:val="0"/>
              <w:jc w:val="center"/>
            </w:pPr>
            <w:r>
              <w:rPr>
                <w:sz w:val="20"/>
              </w:rPr>
              <w:t xml:space="preserve">Отдельные виды машин стиральных и аппаратуры приемной для телевизионной связи</w:t>
            </w:r>
          </w:p>
        </w:tc>
        <w:tc>
          <w:tcPr>
            <w:tcW w:w="4592" w:type="dxa"/>
          </w:tcPr>
          <w:p>
            <w:pPr>
              <w:pStyle w:val="0"/>
              <w:jc w:val="both"/>
            </w:pPr>
            <w:r>
              <w:rPr>
                <w:sz w:val="20"/>
              </w:rPr>
              <w:t xml:space="preserve">Восстановление с 02.07.2022 ставок ввозных таможенных пошлин.</w:t>
            </w:r>
          </w:p>
        </w:tc>
      </w:tr>
      <w:tr>
        <w:tc>
          <w:tcPr>
            <w:tcW w:w="510" w:type="dxa"/>
            <w:vAlign w:val="center"/>
          </w:tcPr>
          <w:p>
            <w:pPr>
              <w:pStyle w:val="0"/>
              <w:jc w:val="center"/>
            </w:pPr>
            <w:r>
              <w:rPr>
                <w:sz w:val="20"/>
              </w:rPr>
              <w:t xml:space="preserve">18</w:t>
            </w:r>
          </w:p>
        </w:tc>
        <w:tc>
          <w:tcPr>
            <w:tcW w:w="1814" w:type="dxa"/>
            <w:vAlign w:val="center"/>
          </w:tcPr>
          <w:p>
            <w:pPr>
              <w:pStyle w:val="0"/>
              <w:jc w:val="center"/>
            </w:pPr>
            <w:hyperlink w:history="0" r:id="rId207" w:tooltip="Решение Совета Евразийской экономической комиссии от 21.06.2022 N 100 &quot;Об установлении ставки ввозной таможенной пошлины Единого таможенного тарифа Евразийского экономического союза в отношении машин свекловичных ботворезных и машин свеклоуборочных и о внесении изменений в перечень товаров, в отношении которых 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пошлин, более низкие по сравн {КонсультантПлюс}">
              <w:r>
                <w:rPr>
                  <w:sz w:val="20"/>
                  <w:color w:val="0000ff"/>
                </w:rPr>
                <w:t xml:space="preserve">Решение</w:t>
              </w:r>
            </w:hyperlink>
            <w:r>
              <w:rPr>
                <w:sz w:val="20"/>
              </w:rPr>
              <w:t xml:space="preserve"> Совета ЕЭК от 21.06.2022 N 100</w:t>
            </w:r>
          </w:p>
        </w:tc>
        <w:tc>
          <w:tcPr>
            <w:tcW w:w="2154" w:type="dxa"/>
            <w:vAlign w:val="center"/>
          </w:tcPr>
          <w:p>
            <w:pPr>
              <w:pStyle w:val="0"/>
              <w:jc w:val="center"/>
            </w:pPr>
            <w:r>
              <w:rPr>
                <w:sz w:val="20"/>
              </w:rPr>
              <w:t xml:space="preserve">Машины свекловичные ботворезные и машины свеклоуборочные</w:t>
            </w:r>
          </w:p>
        </w:tc>
        <w:tc>
          <w:tcPr>
            <w:tcW w:w="4592" w:type="dxa"/>
            <w:vAlign w:val="center"/>
          </w:tcPr>
          <w:p>
            <w:pPr>
              <w:pStyle w:val="0"/>
              <w:jc w:val="both"/>
            </w:pPr>
            <w:r>
              <w:rPr>
                <w:sz w:val="20"/>
              </w:rPr>
              <w:t xml:space="preserve">Установление нулевой ставки ввозной таможенной пошлины сроком с 02.07.2022 по 30.06.2024 включительно.</w:t>
            </w:r>
          </w:p>
        </w:tc>
      </w:tr>
      <w:tr>
        <w:tc>
          <w:tcPr>
            <w:tcW w:w="510" w:type="dxa"/>
            <w:vAlign w:val="center"/>
          </w:tcPr>
          <w:p>
            <w:pPr>
              <w:pStyle w:val="0"/>
              <w:jc w:val="center"/>
            </w:pPr>
            <w:r>
              <w:rPr>
                <w:sz w:val="20"/>
              </w:rPr>
              <w:t xml:space="preserve">19</w:t>
            </w:r>
          </w:p>
        </w:tc>
        <w:tc>
          <w:tcPr>
            <w:tcW w:w="1814" w:type="dxa"/>
            <w:vAlign w:val="center"/>
          </w:tcPr>
          <w:p>
            <w:pPr>
              <w:pStyle w:val="0"/>
              <w:jc w:val="center"/>
            </w:pPr>
            <w:hyperlink w:history="0" r:id="rId208" w:tooltip="Решение Совета Евразийской экономической комиссии от 21.06.2022 N 101 &quot;О внесении изменений в некоторые решения Комиссии Таможенного союза в отношении рефрижераторных контейнеров, а также частей и комплектующих для сельскохозяйственной техники&quot; {КонсультантПлюс}">
              <w:r>
                <w:rPr>
                  <w:sz w:val="20"/>
                  <w:color w:val="0000ff"/>
                </w:rPr>
                <w:t xml:space="preserve">Решение</w:t>
              </w:r>
            </w:hyperlink>
            <w:r>
              <w:rPr>
                <w:sz w:val="20"/>
              </w:rPr>
              <w:t xml:space="preserve"> Совета ЕЭК от 21.06.2022 N 101</w:t>
            </w:r>
          </w:p>
        </w:tc>
        <w:tc>
          <w:tcPr>
            <w:tcW w:w="2154" w:type="dxa"/>
            <w:vAlign w:val="center"/>
          </w:tcPr>
          <w:p>
            <w:pPr>
              <w:pStyle w:val="0"/>
              <w:jc w:val="center"/>
            </w:pPr>
            <w:r>
              <w:rPr>
                <w:sz w:val="20"/>
              </w:rPr>
              <w:t xml:space="preserve">Рефрижераторные контейнеры, части и комплектующие для сельскохозяйственной техники.</w:t>
            </w:r>
          </w:p>
        </w:tc>
        <w:tc>
          <w:tcPr>
            <w:tcW w:w="4592" w:type="dxa"/>
            <w:vAlign w:val="center"/>
          </w:tcPr>
          <w:p>
            <w:pPr>
              <w:pStyle w:val="0"/>
              <w:jc w:val="both"/>
            </w:pPr>
            <w:r>
              <w:rPr>
                <w:sz w:val="20"/>
              </w:rPr>
              <w:t xml:space="preserve">Предоставление тарифной льготы в виде освобождения от уплаты ввозных таможенных пошлин с 02.07.2022 в отношении:</w:t>
            </w:r>
          </w:p>
          <w:p>
            <w:pPr>
              <w:pStyle w:val="0"/>
              <w:jc w:val="both"/>
            </w:pPr>
            <w:r>
              <w:rPr>
                <w:sz w:val="20"/>
              </w:rPr>
              <w:t xml:space="preserve">- рефрижераторные контейнеры длиной от 20 до 40 футов по 30.06.2024;</w:t>
            </w:r>
          </w:p>
          <w:p>
            <w:pPr>
              <w:pStyle w:val="0"/>
              <w:jc w:val="both"/>
            </w:pPr>
            <w:r>
              <w:rPr>
                <w:sz w:val="20"/>
              </w:rPr>
              <w:t xml:space="preserve">- части и комплектующие для свеклоуборочных комбайнов, в частности приводных ремней, предохранителей, отдельных видов галогенных ламп по 31.12.2022 (при условии подтверждения Минсельхоза России);</w:t>
            </w:r>
          </w:p>
          <w:p>
            <w:pPr>
              <w:pStyle w:val="0"/>
              <w:jc w:val="both"/>
            </w:pPr>
            <w:r>
              <w:rPr>
                <w:sz w:val="20"/>
              </w:rPr>
              <w:t xml:space="preserve">- части и комплектующие для свеклоуборочных комбайнов, в частности отдельных видов поршневых двигателей, конденсаторов, частей для моторных транспортных средств и компрессоров по 30.06.2023 (при условии подтверждения Минсельхоза России);</w:t>
            </w:r>
          </w:p>
          <w:p>
            <w:pPr>
              <w:pStyle w:val="0"/>
              <w:jc w:val="both"/>
            </w:pPr>
            <w:r>
              <w:rPr>
                <w:sz w:val="20"/>
              </w:rPr>
              <w:t xml:space="preserve">- частей и комплектующих для сельскохозяйственной техники, в частности спиральных пружин, стеклянных баллонов, цепей, рессор, прожекторов и ламп по 31.12.2022 (при условии подтверждения Минсельхоза России).</w:t>
            </w:r>
          </w:p>
        </w:tc>
      </w:tr>
      <w:tr>
        <w:tc>
          <w:tcPr>
            <w:tcW w:w="510" w:type="dxa"/>
            <w:vAlign w:val="center"/>
          </w:tcPr>
          <w:p>
            <w:pPr>
              <w:pStyle w:val="0"/>
              <w:jc w:val="center"/>
            </w:pPr>
            <w:r>
              <w:rPr>
                <w:sz w:val="20"/>
              </w:rPr>
              <w:t xml:space="preserve">20</w:t>
            </w:r>
          </w:p>
        </w:tc>
        <w:tc>
          <w:tcPr>
            <w:tcW w:w="1814" w:type="dxa"/>
            <w:vAlign w:val="center"/>
          </w:tcPr>
          <w:p>
            <w:pPr>
              <w:pStyle w:val="0"/>
              <w:jc w:val="center"/>
            </w:pPr>
            <w:hyperlink w:history="0" r:id="rId209" w:tooltip="Решение Совета Евразийской экономической комиссии от 21.06.2022 N 102 &quot;О внесении изменения в Решение Комиссии Таможенного союза от 27 ноября 2009 г. N 130 в отношении сахара белого и сахара-сырца тростникового&quot; {КонсультантПлюс}">
              <w:r>
                <w:rPr>
                  <w:sz w:val="20"/>
                  <w:color w:val="0000ff"/>
                </w:rPr>
                <w:t xml:space="preserve">Решение</w:t>
              </w:r>
            </w:hyperlink>
            <w:r>
              <w:rPr>
                <w:sz w:val="20"/>
              </w:rPr>
              <w:t xml:space="preserve"> Совета ЕЭК от 21.06.2022 N 102</w:t>
            </w:r>
          </w:p>
        </w:tc>
        <w:tc>
          <w:tcPr>
            <w:tcW w:w="2154" w:type="dxa"/>
            <w:vAlign w:val="center"/>
          </w:tcPr>
          <w:p>
            <w:pPr>
              <w:pStyle w:val="0"/>
              <w:jc w:val="center"/>
            </w:pPr>
            <w:r>
              <w:rPr>
                <w:sz w:val="20"/>
              </w:rPr>
              <w:t xml:space="preserve">Сахар белый и сахар-сырец тростниковый</w:t>
            </w:r>
          </w:p>
        </w:tc>
        <w:tc>
          <w:tcPr>
            <w:tcW w:w="4592" w:type="dxa"/>
            <w:vAlign w:val="center"/>
          </w:tcPr>
          <w:p>
            <w:pPr>
              <w:pStyle w:val="0"/>
              <w:jc w:val="both"/>
            </w:pPr>
            <w:r>
              <w:rPr>
                <w:sz w:val="20"/>
              </w:rPr>
              <w:t xml:space="preserve">Продление срока действия тарифной льготы в виде освобождения от уплаты ввозных таможенных пошлин сроком с 02.07.2022 по 31.10.2022 включительно.</w:t>
            </w:r>
          </w:p>
        </w:tc>
      </w:tr>
      <w:tr>
        <w:tc>
          <w:tcPr>
            <w:tcW w:w="510" w:type="dxa"/>
            <w:vAlign w:val="center"/>
          </w:tcPr>
          <w:p>
            <w:pPr>
              <w:pStyle w:val="0"/>
              <w:jc w:val="center"/>
            </w:pPr>
            <w:r>
              <w:rPr>
                <w:sz w:val="20"/>
              </w:rPr>
              <w:t xml:space="preserve">21</w:t>
            </w:r>
          </w:p>
        </w:tc>
        <w:tc>
          <w:tcPr>
            <w:tcW w:w="1814" w:type="dxa"/>
            <w:vAlign w:val="center"/>
          </w:tcPr>
          <w:p>
            <w:pPr>
              <w:pStyle w:val="0"/>
              <w:jc w:val="center"/>
            </w:pPr>
            <w:hyperlink w:history="0" r:id="rId210" w:tooltip="Решение Совета Евразийской экономической комиссии от 15.07.2022 N 117 &quot;О внесении изменения в Решение Комиссии Таможенного союза от 27 ноября 2009 г. N 130 в отношении сахара белого и сахара-сырца тростникового&quot; {КонсультантПлюс}">
              <w:r>
                <w:rPr>
                  <w:sz w:val="20"/>
                  <w:color w:val="0000ff"/>
                </w:rPr>
                <w:t xml:space="preserve">Решение</w:t>
              </w:r>
            </w:hyperlink>
            <w:r>
              <w:rPr>
                <w:sz w:val="20"/>
              </w:rPr>
              <w:t xml:space="preserve"> Совета ЕЭК от 15.07.2022 N 117</w:t>
            </w:r>
          </w:p>
        </w:tc>
        <w:tc>
          <w:tcPr>
            <w:tcW w:w="2154" w:type="dxa"/>
            <w:vAlign w:val="center"/>
          </w:tcPr>
          <w:p>
            <w:pPr>
              <w:pStyle w:val="0"/>
              <w:jc w:val="center"/>
            </w:pPr>
            <w:r>
              <w:rPr>
                <w:sz w:val="20"/>
              </w:rPr>
              <w:t xml:space="preserve">Сахар белый и сахар-сырец тростниковый</w:t>
            </w:r>
          </w:p>
        </w:tc>
        <w:tc>
          <w:tcPr>
            <w:tcW w:w="4592" w:type="dxa"/>
            <w:vAlign w:val="center"/>
          </w:tcPr>
          <w:p>
            <w:pPr>
              <w:pStyle w:val="0"/>
              <w:jc w:val="both"/>
            </w:pPr>
            <w:r>
              <w:rPr>
                <w:sz w:val="20"/>
              </w:rPr>
              <w:t xml:space="preserve">Продление срока действия тарифной льготы в виде освобождения от уплаты ввозных таможенных пошлин сроком с 14.08.2022 по 31.12.2022 включительно.</w:t>
            </w:r>
          </w:p>
        </w:tc>
      </w:tr>
      <w:tr>
        <w:tc>
          <w:tcPr>
            <w:tcW w:w="510" w:type="dxa"/>
            <w:vAlign w:val="center"/>
          </w:tcPr>
          <w:p>
            <w:pPr>
              <w:pStyle w:val="0"/>
              <w:jc w:val="center"/>
            </w:pPr>
            <w:r>
              <w:rPr>
                <w:sz w:val="20"/>
              </w:rPr>
              <w:t xml:space="preserve">22</w:t>
            </w:r>
          </w:p>
        </w:tc>
        <w:tc>
          <w:tcPr>
            <w:tcW w:w="1814" w:type="dxa"/>
            <w:vAlign w:val="center"/>
          </w:tcPr>
          <w:p>
            <w:pPr>
              <w:pStyle w:val="0"/>
              <w:jc w:val="center"/>
            </w:pPr>
            <w:hyperlink w:history="0" r:id="rId211" w:tooltip="Решение Совета Евразийской экономической комиссии от 23.09.2022 N 144 &quot;О внесении изменения в перечень товаров, в отношении которых 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пошлин, более низкие по сравнению со ставками пошлин Единого таможенного тарифа Евразийского экономического союза, и размеров таких ставок пошлин в отношении выключателей для производства ручных электроинструм {КонсультантПлюс}">
              <w:r>
                <w:rPr>
                  <w:sz w:val="20"/>
                  <w:color w:val="0000ff"/>
                </w:rPr>
                <w:t xml:space="preserve">Решение</w:t>
              </w:r>
            </w:hyperlink>
            <w:r>
              <w:rPr>
                <w:sz w:val="20"/>
              </w:rPr>
              <w:t xml:space="preserve"> Совета ЕЭК от 23.09.2022 N 144</w:t>
            </w:r>
          </w:p>
        </w:tc>
        <w:tc>
          <w:tcPr>
            <w:tcW w:w="2154" w:type="dxa"/>
            <w:vAlign w:val="center"/>
          </w:tcPr>
          <w:p>
            <w:pPr>
              <w:pStyle w:val="0"/>
              <w:jc w:val="center"/>
            </w:pPr>
            <w:r>
              <w:rPr>
                <w:sz w:val="20"/>
              </w:rPr>
              <w:t xml:space="preserve">Выключатели для производства ручных электроинструментов</w:t>
            </w:r>
          </w:p>
        </w:tc>
        <w:tc>
          <w:tcPr>
            <w:tcW w:w="4592" w:type="dxa"/>
            <w:vAlign w:val="center"/>
          </w:tcPr>
          <w:p>
            <w:pPr>
              <w:pStyle w:val="0"/>
              <w:jc w:val="both"/>
            </w:pPr>
            <w:r>
              <w:rPr>
                <w:sz w:val="20"/>
              </w:rPr>
              <w:t xml:space="preserve">Внесение изменений в перечень изъятий Республики Казахстан из ЕТТ ЕАЭС, в связи с ранее принятым решением Коллегии ЕЭК об изменении ставки ввозной таможенной пошлины.</w:t>
            </w:r>
          </w:p>
        </w:tc>
      </w:tr>
      <w:tr>
        <w:tc>
          <w:tcPr>
            <w:tcW w:w="510" w:type="dxa"/>
            <w:vAlign w:val="center"/>
          </w:tcPr>
          <w:p>
            <w:pPr>
              <w:pStyle w:val="0"/>
              <w:jc w:val="center"/>
            </w:pPr>
            <w:r>
              <w:rPr>
                <w:sz w:val="20"/>
              </w:rPr>
              <w:t xml:space="preserve">23</w:t>
            </w:r>
          </w:p>
        </w:tc>
        <w:tc>
          <w:tcPr>
            <w:tcW w:w="1814" w:type="dxa"/>
            <w:vAlign w:val="center"/>
          </w:tcPr>
          <w:p>
            <w:pPr>
              <w:pStyle w:val="0"/>
              <w:jc w:val="center"/>
            </w:pPr>
            <w:hyperlink w:history="0" r:id="rId212" w:tooltip="Решение Совета Евразийской экономической комиссии от 23.09.2022 N 145 &quot;О внесении изменений в перечень товаров, в отношении которых 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пошлин, более низкие по сравнению со ставками пошлин Единого таможенного тарифа Евразийского экономического союза, и размеров таких ставок пошлин в отношении отдельных видов контейнеров&quot; {КонсультантПлюс}">
              <w:r>
                <w:rPr>
                  <w:sz w:val="20"/>
                  <w:color w:val="0000ff"/>
                </w:rPr>
                <w:t xml:space="preserve">Решение</w:t>
              </w:r>
            </w:hyperlink>
            <w:r>
              <w:rPr>
                <w:sz w:val="20"/>
              </w:rPr>
              <w:t xml:space="preserve"> Совета ЕЭК от 23.09.2023 N 145</w:t>
            </w:r>
          </w:p>
        </w:tc>
        <w:tc>
          <w:tcPr>
            <w:tcW w:w="2154" w:type="dxa"/>
            <w:vAlign w:val="center"/>
          </w:tcPr>
          <w:p>
            <w:pPr>
              <w:pStyle w:val="0"/>
              <w:jc w:val="center"/>
            </w:pPr>
            <w:r>
              <w:rPr>
                <w:sz w:val="20"/>
              </w:rPr>
              <w:t xml:space="preserve">Отдельные виды контейнеров</w:t>
            </w:r>
          </w:p>
        </w:tc>
        <w:tc>
          <w:tcPr>
            <w:tcW w:w="4592" w:type="dxa"/>
            <w:vAlign w:val="center"/>
          </w:tcPr>
          <w:p>
            <w:pPr>
              <w:pStyle w:val="0"/>
              <w:jc w:val="both"/>
            </w:pPr>
            <w:r>
              <w:rPr>
                <w:sz w:val="20"/>
              </w:rPr>
              <w:t xml:space="preserve">Внесение изменений в перечень изъятий Республики Казахстан из ЕТТ ЕАЭС, в связи с ранее принятым решением Коллегии ЕЭК об изменении ставки ввозной таможенной пошлины.</w:t>
            </w:r>
          </w:p>
        </w:tc>
      </w:tr>
      <w:tr>
        <w:tc>
          <w:tcPr>
            <w:tcW w:w="510" w:type="dxa"/>
            <w:vAlign w:val="center"/>
          </w:tcPr>
          <w:p>
            <w:pPr>
              <w:pStyle w:val="0"/>
              <w:jc w:val="center"/>
            </w:pPr>
            <w:r>
              <w:rPr>
                <w:sz w:val="20"/>
              </w:rPr>
              <w:t xml:space="preserve">24</w:t>
            </w:r>
          </w:p>
        </w:tc>
        <w:tc>
          <w:tcPr>
            <w:tcW w:w="1814" w:type="dxa"/>
            <w:vAlign w:val="center"/>
          </w:tcPr>
          <w:p>
            <w:pPr>
              <w:pStyle w:val="0"/>
              <w:jc w:val="center"/>
            </w:pPr>
            <w:hyperlink w:history="0" r:id="rId213" w:tooltip="Решение Совета Евразийской экономической комиссии от 23.09.2022 N 150 &quot;Об установлении ставок ввозных таможенных пошлин Единого таможенного тарифа Евразийского экономического союза в отношении отдельных видов товаров, а также о внесении изменений в некоторые решения Комиссии Таможенного союза и Совета Евразийской экономической комиссии&quot; {КонсультантПлюс}">
              <w:r>
                <w:rPr>
                  <w:sz w:val="20"/>
                  <w:color w:val="0000ff"/>
                </w:rPr>
                <w:t xml:space="preserve">Решение</w:t>
              </w:r>
            </w:hyperlink>
            <w:r>
              <w:rPr>
                <w:sz w:val="20"/>
              </w:rPr>
              <w:t xml:space="preserve"> Совета ЕЭК от 23.09.2022 N 150</w:t>
            </w:r>
          </w:p>
        </w:tc>
        <w:tc>
          <w:tcPr>
            <w:tcW w:w="2154" w:type="dxa"/>
            <w:vAlign w:val="center"/>
          </w:tcPr>
          <w:p>
            <w:pPr>
              <w:pStyle w:val="0"/>
              <w:jc w:val="center"/>
            </w:pPr>
            <w:r>
              <w:rPr>
                <w:sz w:val="20"/>
              </w:rPr>
              <w:t xml:space="preserve">Широкая номенклатура товаров</w:t>
            </w:r>
          </w:p>
        </w:tc>
        <w:tc>
          <w:tcPr>
            <w:tcW w:w="4592" w:type="dxa"/>
            <w:vAlign w:val="center"/>
          </w:tcPr>
          <w:p>
            <w:pPr>
              <w:pStyle w:val="0"/>
              <w:jc w:val="both"/>
            </w:pPr>
            <w:r>
              <w:rPr>
                <w:sz w:val="20"/>
              </w:rPr>
              <w:t xml:space="preserve">Продление нулевых ставок ввозных таможенных пошлин сроком с 01.10.2022 по 31.03.2023 включительно.</w:t>
            </w:r>
          </w:p>
        </w:tc>
      </w:tr>
      <w:tr>
        <w:tc>
          <w:tcPr>
            <w:tcW w:w="510" w:type="dxa"/>
            <w:vAlign w:val="center"/>
          </w:tcPr>
          <w:p>
            <w:pPr>
              <w:pStyle w:val="0"/>
              <w:jc w:val="center"/>
            </w:pPr>
            <w:r>
              <w:rPr>
                <w:sz w:val="20"/>
              </w:rPr>
              <w:t xml:space="preserve">25</w:t>
            </w:r>
          </w:p>
        </w:tc>
        <w:tc>
          <w:tcPr>
            <w:tcW w:w="1814" w:type="dxa"/>
            <w:vAlign w:val="center"/>
          </w:tcPr>
          <w:p>
            <w:pPr>
              <w:pStyle w:val="0"/>
              <w:jc w:val="center"/>
            </w:pPr>
            <w:hyperlink w:history="0" r:id="rId214" w:tooltip="Решение Совета Евразийской экономической комиссии от 23.09.2022 N 153 &quot;О внесении изменения в перечень категорий товаров, временное нахождение и использование которых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quot; ------------ Утратил силу или отменен {КонсультантПлюс}">
              <w:r>
                <w:rPr>
                  <w:sz w:val="20"/>
                  <w:color w:val="0000ff"/>
                </w:rPr>
                <w:t xml:space="preserve">Решение</w:t>
              </w:r>
            </w:hyperlink>
            <w:r>
              <w:rPr>
                <w:sz w:val="20"/>
              </w:rPr>
              <w:t xml:space="preserve"> Совета ЕЭК от 23.09.2022 N 153</w:t>
            </w:r>
          </w:p>
        </w:tc>
        <w:tc>
          <w:tcPr>
            <w:tcW w:w="2154" w:type="dxa"/>
            <w:vAlign w:val="center"/>
          </w:tcPr>
          <w:p>
            <w:pPr>
              <w:pStyle w:val="0"/>
              <w:jc w:val="center"/>
            </w:pPr>
            <w:r>
              <w:rPr>
                <w:sz w:val="20"/>
              </w:rPr>
              <w:t xml:space="preserve">Отдельные виды гражданских пассажирских самолетов</w:t>
            </w:r>
          </w:p>
        </w:tc>
        <w:tc>
          <w:tcPr>
            <w:tcW w:w="4592" w:type="dxa"/>
            <w:vAlign w:val="center"/>
          </w:tcPr>
          <w:p>
            <w:pPr>
              <w:pStyle w:val="0"/>
              <w:jc w:val="both"/>
            </w:pPr>
            <w:r>
              <w:rPr>
                <w:sz w:val="20"/>
              </w:rPr>
              <w:t xml:space="preserve">Временное нахождение и использование товаров на таможенной территории ЕАЭС в соответствии с таможенной процедурой временного ввоза без уплаты ввозных таможенных пошлин, налогов сроком на 14 календарных дней с 13.10.2022.</w:t>
            </w:r>
          </w:p>
        </w:tc>
      </w:tr>
      <w:tr>
        <w:tc>
          <w:tcPr>
            <w:tcW w:w="510" w:type="dxa"/>
            <w:vAlign w:val="center"/>
          </w:tcPr>
          <w:p>
            <w:pPr>
              <w:pStyle w:val="0"/>
              <w:jc w:val="center"/>
            </w:pPr>
            <w:r>
              <w:rPr>
                <w:sz w:val="20"/>
              </w:rPr>
              <w:t xml:space="preserve">26</w:t>
            </w:r>
          </w:p>
        </w:tc>
        <w:tc>
          <w:tcPr>
            <w:tcW w:w="1814" w:type="dxa"/>
            <w:vAlign w:val="center"/>
          </w:tcPr>
          <w:p>
            <w:pPr>
              <w:pStyle w:val="0"/>
              <w:jc w:val="center"/>
            </w:pPr>
            <w:hyperlink w:history="0" r:id="rId215" w:tooltip="Решение Совета Евразийской экономической комиссии от 17.10.2022 N 159 &quot;О внесении изменений в Решение Комиссии Таможенного союза от 27 ноября 2009 г. N 130 и некоторые решения Совета Евразийской экономической комиссии в отношении отдельных видов товаров для производства и реализации продовольственной и парфюмерно-косметической продукции, а также тканей и нитей&quot; {КонсультантПлюс}">
              <w:r>
                <w:rPr>
                  <w:sz w:val="20"/>
                  <w:color w:val="0000ff"/>
                </w:rPr>
                <w:t xml:space="preserve">Решение</w:t>
              </w:r>
            </w:hyperlink>
            <w:r>
              <w:rPr>
                <w:sz w:val="20"/>
              </w:rPr>
              <w:t xml:space="preserve"> Совета ЕЭК от 17.10.2022 N 159</w:t>
            </w:r>
          </w:p>
        </w:tc>
        <w:tc>
          <w:tcPr>
            <w:tcW w:w="2154" w:type="dxa"/>
            <w:vAlign w:val="center"/>
          </w:tcPr>
          <w:p>
            <w:pPr>
              <w:pStyle w:val="0"/>
              <w:jc w:val="center"/>
            </w:pPr>
            <w:r>
              <w:rPr>
                <w:sz w:val="20"/>
              </w:rPr>
              <w:t xml:space="preserve">Отдельные виды товаров для производства и реализации продовольственной и парфюмерно-косметической продукции, а также тканей и нитей</w:t>
            </w:r>
          </w:p>
        </w:tc>
        <w:tc>
          <w:tcPr>
            <w:tcW w:w="4592" w:type="dxa"/>
          </w:tcPr>
          <w:p>
            <w:pPr>
              <w:pStyle w:val="0"/>
              <w:jc w:val="both"/>
            </w:pPr>
            <w:r>
              <w:rPr>
                <w:sz w:val="20"/>
              </w:rPr>
              <w:t xml:space="preserve">Предоставление тарифной льготы в виде освобождения от уплаты ввозных таможенных пошлин сроком с 01.10.2022 по 31.03.2023 включительно.</w:t>
            </w:r>
          </w:p>
        </w:tc>
      </w:tr>
      <w:tr>
        <w:tc>
          <w:tcPr>
            <w:tcW w:w="510" w:type="dxa"/>
            <w:vAlign w:val="center"/>
          </w:tcPr>
          <w:p>
            <w:pPr>
              <w:pStyle w:val="0"/>
              <w:jc w:val="center"/>
            </w:pPr>
            <w:r>
              <w:rPr>
                <w:sz w:val="20"/>
              </w:rPr>
              <w:t xml:space="preserve">27</w:t>
            </w:r>
          </w:p>
        </w:tc>
        <w:tc>
          <w:tcPr>
            <w:tcW w:w="1814" w:type="dxa"/>
            <w:vAlign w:val="center"/>
          </w:tcPr>
          <w:p>
            <w:pPr>
              <w:pStyle w:val="0"/>
              <w:jc w:val="center"/>
            </w:pPr>
            <w:hyperlink w:history="0" r:id="rId216" w:tooltip="Решение Совета Евразийской экономической комиссии от 14.12.2022 N 168 &quot;Об установлении ставки ввозной таможенной пошлины Единого таможенного тарифа Евразийского экономического союза в отношении отдельных видов двигателей внутреннего сгорания&quot; {КонсультантПлюс}">
              <w:r>
                <w:rPr>
                  <w:sz w:val="20"/>
                  <w:color w:val="0000ff"/>
                </w:rPr>
                <w:t xml:space="preserve">Решение</w:t>
              </w:r>
            </w:hyperlink>
            <w:r>
              <w:rPr>
                <w:sz w:val="20"/>
              </w:rPr>
              <w:t xml:space="preserve"> Совета ЕЭК от 14.12.2022 N 168</w:t>
            </w:r>
          </w:p>
        </w:tc>
        <w:tc>
          <w:tcPr>
            <w:tcW w:w="2154" w:type="dxa"/>
            <w:vAlign w:val="center"/>
          </w:tcPr>
          <w:p>
            <w:pPr>
              <w:pStyle w:val="0"/>
              <w:jc w:val="center"/>
            </w:pPr>
            <w:r>
              <w:rPr>
                <w:sz w:val="20"/>
              </w:rPr>
              <w:t xml:space="preserve">Отдельные виды двигателей внутреннего сгорания</w:t>
            </w:r>
          </w:p>
        </w:tc>
        <w:tc>
          <w:tcPr>
            <w:tcW w:w="4592" w:type="dxa"/>
            <w:vAlign w:val="center"/>
          </w:tcPr>
          <w:p>
            <w:pPr>
              <w:pStyle w:val="0"/>
              <w:jc w:val="both"/>
            </w:pPr>
            <w:r>
              <w:rPr>
                <w:sz w:val="20"/>
              </w:rPr>
              <w:t xml:space="preserve">Продление нулевой ставки ввозной пошлины сроком с 01.01.2023 по 31.03.2024 включительно.</w:t>
            </w:r>
          </w:p>
        </w:tc>
      </w:tr>
      <w:tr>
        <w:tc>
          <w:tcPr>
            <w:tcW w:w="510" w:type="dxa"/>
            <w:vAlign w:val="center"/>
          </w:tcPr>
          <w:p>
            <w:pPr>
              <w:pStyle w:val="0"/>
              <w:jc w:val="center"/>
            </w:pPr>
            <w:r>
              <w:rPr>
                <w:sz w:val="20"/>
              </w:rPr>
              <w:t xml:space="preserve">28</w:t>
            </w:r>
          </w:p>
        </w:tc>
        <w:tc>
          <w:tcPr>
            <w:tcW w:w="1814" w:type="dxa"/>
            <w:vAlign w:val="center"/>
          </w:tcPr>
          <w:p>
            <w:pPr>
              <w:pStyle w:val="0"/>
              <w:jc w:val="center"/>
            </w:pPr>
            <w:hyperlink w:history="0" r:id="rId217" w:tooltip="Решение Совета Евразийской экономической комиссии от 25.01.2023 N 7 &quot;Об установлении ставки ввозной таможенной пошлины Единого таможенного тарифа Евразийского экономического союза в отношении поливинилхлорида пластифицированного для производства обоев&quot; {КонсультантПлюс}">
              <w:r>
                <w:rPr>
                  <w:sz w:val="20"/>
                  <w:color w:val="0000ff"/>
                </w:rPr>
                <w:t xml:space="preserve">Решение</w:t>
              </w:r>
            </w:hyperlink>
            <w:r>
              <w:rPr>
                <w:sz w:val="20"/>
              </w:rPr>
              <w:t xml:space="preserve"> Совета ЕЭК от 25.01.2023 N 7</w:t>
            </w:r>
          </w:p>
        </w:tc>
        <w:tc>
          <w:tcPr>
            <w:tcW w:w="2154" w:type="dxa"/>
            <w:vAlign w:val="center"/>
          </w:tcPr>
          <w:p>
            <w:pPr>
              <w:pStyle w:val="0"/>
              <w:jc w:val="center"/>
            </w:pPr>
            <w:r>
              <w:rPr>
                <w:sz w:val="20"/>
              </w:rPr>
              <w:t xml:space="preserve">Поливинилхлорид пластифицированный для производства обоев</w:t>
            </w:r>
          </w:p>
        </w:tc>
        <w:tc>
          <w:tcPr>
            <w:tcW w:w="4592" w:type="dxa"/>
          </w:tcPr>
          <w:p>
            <w:pPr>
              <w:pStyle w:val="0"/>
              <w:jc w:val="both"/>
            </w:pPr>
            <w:r>
              <w:rPr>
                <w:sz w:val="20"/>
              </w:rPr>
              <w:t xml:space="preserve">Установление нулевой ставки ввозной таможенной пошлины сроком с 06.02.2023 по 29.02.2024 включительно.</w:t>
            </w:r>
          </w:p>
        </w:tc>
      </w:tr>
      <w:tr>
        <w:tc>
          <w:tcPr>
            <w:tcW w:w="510" w:type="dxa"/>
            <w:vAlign w:val="center"/>
          </w:tcPr>
          <w:p>
            <w:pPr>
              <w:pStyle w:val="0"/>
              <w:jc w:val="center"/>
            </w:pPr>
            <w:r>
              <w:rPr>
                <w:sz w:val="20"/>
              </w:rPr>
              <w:t xml:space="preserve">29</w:t>
            </w:r>
          </w:p>
        </w:tc>
        <w:tc>
          <w:tcPr>
            <w:tcW w:w="1814" w:type="dxa"/>
            <w:vAlign w:val="center"/>
          </w:tcPr>
          <w:p>
            <w:pPr>
              <w:pStyle w:val="0"/>
              <w:jc w:val="center"/>
            </w:pPr>
            <w:hyperlink w:history="0" r:id="rId218" w:tooltip="Решение Совета Евразийской экономической комиссии от 25.01.2023 N 19 &quot;О внесении изменений в некоторые решения Комиссии Таможенного союза в отношении отдельных видов мяса крупного рогатого скота&quot; {КонсультантПлюс}">
              <w:r>
                <w:rPr>
                  <w:sz w:val="20"/>
                  <w:color w:val="0000ff"/>
                </w:rPr>
                <w:t xml:space="preserve">Решение</w:t>
              </w:r>
            </w:hyperlink>
            <w:r>
              <w:rPr>
                <w:sz w:val="20"/>
              </w:rPr>
              <w:t xml:space="preserve"> Совета ЕЭК от 25.01.2023 N 19</w:t>
            </w:r>
          </w:p>
        </w:tc>
        <w:tc>
          <w:tcPr>
            <w:tcW w:w="2154" w:type="dxa"/>
            <w:vAlign w:val="center"/>
          </w:tcPr>
          <w:p>
            <w:pPr>
              <w:pStyle w:val="0"/>
              <w:jc w:val="center"/>
            </w:pPr>
            <w:r>
              <w:rPr>
                <w:sz w:val="20"/>
              </w:rPr>
              <w:t xml:space="preserve">Отдельные виды мяса крупного рогатого скота</w:t>
            </w:r>
          </w:p>
        </w:tc>
        <w:tc>
          <w:tcPr>
            <w:tcW w:w="4592" w:type="dxa"/>
            <w:vAlign w:val="center"/>
          </w:tcPr>
          <w:p>
            <w:pPr>
              <w:pStyle w:val="0"/>
              <w:jc w:val="both"/>
            </w:pPr>
            <w:r>
              <w:rPr>
                <w:sz w:val="20"/>
              </w:rPr>
              <w:t xml:space="preserve">Предоставление для России тарифной льготы в виде освобождения от уплаты ввозных таможенных пошлин с 01.01.2023 по 31.12.2023 в объеме 100 тыс. тонн</w:t>
            </w:r>
          </w:p>
        </w:tc>
      </w:tr>
      <w:tr>
        <w:tblPrEx>
          <w:tblBorders>
            <w:insideH w:val="nil"/>
          </w:tblBorders>
        </w:tblPrEx>
        <w:tc>
          <w:tcPr>
            <w:gridSpan w:val="4"/>
            <w:tcW w:w="9070"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имеется в виду Решение Совета ЕЭК N 25 от 15.02.2023, а не от 25.01.2023.</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510" w:type="dxa"/>
            <w:vAlign w:val="center"/>
            <w:tcBorders>
              <w:top w:val="nil"/>
            </w:tcBorders>
          </w:tcPr>
          <w:p>
            <w:pPr>
              <w:pStyle w:val="0"/>
              <w:jc w:val="center"/>
            </w:pPr>
            <w:r>
              <w:rPr>
                <w:sz w:val="20"/>
              </w:rPr>
              <w:t xml:space="preserve">30</w:t>
            </w:r>
          </w:p>
        </w:tc>
        <w:tc>
          <w:tcPr>
            <w:tcW w:w="1814" w:type="dxa"/>
            <w:vAlign w:val="center"/>
            <w:tcBorders>
              <w:top w:val="nil"/>
            </w:tcBorders>
          </w:tcPr>
          <w:p>
            <w:pPr>
              <w:pStyle w:val="0"/>
              <w:jc w:val="center"/>
            </w:pPr>
            <w:hyperlink w:history="0" r:id="rId219" w:tooltip="Решение Совета Евразийской экономической комиссии от 15.02.2023 N 25 &quot;О внесении изменения в перечень товаров, в отношении которых 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пошлин, более низкие по сравнению со ставками пошлин Единого таможенного тарифа Евразийского экономического союза, и размеров таких ставок пошлин в отношении частей газовых турбин мощностью более 5000 кВт, но н {КонсультантПлюс}">
              <w:r>
                <w:rPr>
                  <w:sz w:val="20"/>
                  <w:color w:val="0000ff"/>
                </w:rPr>
                <w:t xml:space="preserve">Решение</w:t>
              </w:r>
            </w:hyperlink>
            <w:r>
              <w:rPr>
                <w:sz w:val="20"/>
              </w:rPr>
              <w:t xml:space="preserve"> Совета ЕЭК от 25.01.2023 N 25</w:t>
            </w:r>
          </w:p>
        </w:tc>
        <w:tc>
          <w:tcPr>
            <w:tcW w:w="2154" w:type="dxa"/>
            <w:vAlign w:val="center"/>
            <w:tcBorders>
              <w:top w:val="nil"/>
            </w:tcBorders>
          </w:tcPr>
          <w:p>
            <w:pPr>
              <w:pStyle w:val="0"/>
              <w:jc w:val="center"/>
            </w:pPr>
            <w:r>
              <w:rPr>
                <w:sz w:val="20"/>
              </w:rPr>
              <w:t xml:space="preserve">Части газовых турбин мощностью более 5000 кВт, но не более 50 000 кВт</w:t>
            </w:r>
          </w:p>
        </w:tc>
        <w:tc>
          <w:tcPr>
            <w:tcW w:w="4592" w:type="dxa"/>
            <w:vAlign w:val="center"/>
            <w:tcBorders>
              <w:top w:val="nil"/>
            </w:tcBorders>
          </w:tcPr>
          <w:p>
            <w:pPr>
              <w:pStyle w:val="0"/>
              <w:jc w:val="both"/>
            </w:pPr>
            <w:r>
              <w:rPr>
                <w:sz w:val="20"/>
              </w:rPr>
              <w:t xml:space="preserve">Внесение изменений в перечень изъятий Республики Казахстан из ЕТТ ЕАЭС, в связи с ранее принятым решением Коллегии ЕЭК об изменении ставок ввозных таможенных пошлин.</w:t>
            </w:r>
          </w:p>
        </w:tc>
      </w:tr>
      <w:tr>
        <w:tc>
          <w:tcPr>
            <w:tcW w:w="510" w:type="dxa"/>
            <w:vAlign w:val="center"/>
          </w:tcPr>
          <w:p>
            <w:pPr>
              <w:pStyle w:val="0"/>
              <w:jc w:val="center"/>
            </w:pPr>
            <w:r>
              <w:rPr>
                <w:sz w:val="20"/>
              </w:rPr>
              <w:t xml:space="preserve">31</w:t>
            </w:r>
          </w:p>
        </w:tc>
        <w:tc>
          <w:tcPr>
            <w:tcW w:w="1814" w:type="dxa"/>
            <w:vAlign w:val="center"/>
          </w:tcPr>
          <w:p>
            <w:pPr>
              <w:pStyle w:val="0"/>
              <w:jc w:val="center"/>
            </w:pPr>
            <w:hyperlink w:history="0" r:id="rId220" w:tooltip="Решение Совета Евразийской экономической комиссии от 15.02.2023 N 26 &quot;О внесении изменений в перечень товаров, в отношении которых 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пошлин, более низкие по сравнению со ставками пошлин Единого таможенного тарифа Евразийского экономического союза, и размеров таких ставок пошлин в отношении отдельных видов контейнеров&quot; {КонсультантПлюс}">
              <w:r>
                <w:rPr>
                  <w:sz w:val="20"/>
                  <w:color w:val="0000ff"/>
                </w:rPr>
                <w:t xml:space="preserve">Решение</w:t>
              </w:r>
            </w:hyperlink>
            <w:r>
              <w:rPr>
                <w:sz w:val="20"/>
              </w:rPr>
              <w:t xml:space="preserve"> Совета ЕЭК от 15.02.2023 N 26</w:t>
            </w:r>
          </w:p>
        </w:tc>
        <w:tc>
          <w:tcPr>
            <w:tcW w:w="2154" w:type="dxa"/>
            <w:vAlign w:val="center"/>
          </w:tcPr>
          <w:p>
            <w:pPr>
              <w:pStyle w:val="0"/>
              <w:jc w:val="center"/>
            </w:pPr>
            <w:r>
              <w:rPr>
                <w:sz w:val="20"/>
              </w:rPr>
              <w:t xml:space="preserve">Отдельные виды контейнеров</w:t>
            </w:r>
          </w:p>
        </w:tc>
        <w:tc>
          <w:tcPr>
            <w:tcW w:w="4592" w:type="dxa"/>
            <w:vAlign w:val="center"/>
          </w:tcPr>
          <w:p>
            <w:pPr>
              <w:pStyle w:val="0"/>
              <w:jc w:val="both"/>
            </w:pPr>
            <w:r>
              <w:rPr>
                <w:sz w:val="20"/>
              </w:rPr>
              <w:t xml:space="preserve">Внесение изменений в перечень изъятий Республики Казахстан из ЕТТ ЕАЭС, в связи с ранее принятым решением Коллегии ЕЭК об изменении ставок ввозных таможенных пошлин.</w:t>
            </w:r>
          </w:p>
        </w:tc>
      </w:tr>
      <w:tr>
        <w:tc>
          <w:tcPr>
            <w:tcW w:w="510" w:type="dxa"/>
            <w:vAlign w:val="center"/>
          </w:tcPr>
          <w:p>
            <w:pPr>
              <w:pStyle w:val="0"/>
              <w:jc w:val="center"/>
            </w:pPr>
            <w:r>
              <w:rPr>
                <w:sz w:val="20"/>
              </w:rPr>
              <w:t xml:space="preserve">32</w:t>
            </w:r>
          </w:p>
        </w:tc>
        <w:tc>
          <w:tcPr>
            <w:tcW w:w="1814" w:type="dxa"/>
            <w:vAlign w:val="center"/>
          </w:tcPr>
          <w:p>
            <w:pPr>
              <w:pStyle w:val="0"/>
              <w:jc w:val="center"/>
            </w:pPr>
            <w:hyperlink w:history="0" r:id="rId221" w:tooltip="Решение Совета Евразийской экономической комиссии от 15.02.2023 N 27 &quot;О внесении изменения в Решение Комиссии Таможенного союза от 27 ноября 2009 г. N 130 в отношении емкостей для сжатого или сжиженного газа бесшовных&quot; {КонсультантПлюс}">
              <w:r>
                <w:rPr>
                  <w:sz w:val="20"/>
                  <w:color w:val="0000ff"/>
                </w:rPr>
                <w:t xml:space="preserve">Решение</w:t>
              </w:r>
            </w:hyperlink>
            <w:r>
              <w:rPr>
                <w:sz w:val="20"/>
              </w:rPr>
              <w:t xml:space="preserve"> Совета ЕЭК от 15.02.2023 N 27</w:t>
            </w:r>
          </w:p>
        </w:tc>
        <w:tc>
          <w:tcPr>
            <w:tcW w:w="2154" w:type="dxa"/>
            <w:vAlign w:val="center"/>
          </w:tcPr>
          <w:p>
            <w:pPr>
              <w:pStyle w:val="0"/>
              <w:jc w:val="center"/>
            </w:pPr>
            <w:r>
              <w:rPr>
                <w:sz w:val="20"/>
              </w:rPr>
              <w:t xml:space="preserve">Заготовки емкостей для сжатого или сжиженного газа бесшовных</w:t>
            </w:r>
          </w:p>
        </w:tc>
        <w:tc>
          <w:tcPr>
            <w:tcW w:w="4592" w:type="dxa"/>
            <w:vAlign w:val="center"/>
          </w:tcPr>
          <w:p>
            <w:pPr>
              <w:pStyle w:val="0"/>
              <w:jc w:val="both"/>
            </w:pPr>
            <w:r>
              <w:rPr>
                <w:sz w:val="20"/>
              </w:rPr>
              <w:t xml:space="preserve">Предоставление тарифной льготы для Республики Беларусь в виде снижения ставки ввозной таможенной пошлины с 15% до 5% на товары в объеме не более 25 тыс. шт., предназначенные для производства емкостей для сжатого или сжиженного газа сроком на с 01.01.2023 по 31.12.2023 включительно.</w:t>
            </w:r>
          </w:p>
        </w:tc>
      </w:tr>
      <w:tr>
        <w:tc>
          <w:tcPr>
            <w:tcW w:w="510" w:type="dxa"/>
            <w:vAlign w:val="center"/>
          </w:tcPr>
          <w:p>
            <w:pPr>
              <w:pStyle w:val="0"/>
              <w:jc w:val="center"/>
            </w:pPr>
            <w:r>
              <w:rPr>
                <w:sz w:val="20"/>
              </w:rPr>
              <w:t xml:space="preserve">33</w:t>
            </w:r>
          </w:p>
        </w:tc>
        <w:tc>
          <w:tcPr>
            <w:tcW w:w="1814" w:type="dxa"/>
            <w:vAlign w:val="center"/>
          </w:tcPr>
          <w:p>
            <w:pPr>
              <w:pStyle w:val="0"/>
              <w:jc w:val="center"/>
            </w:pPr>
            <w:hyperlink w:history="0" r:id="rId222" w:tooltip="Решение Совета Евразийской экономической комиссии от 30.03.2023 N 32 &quot;О внесении изменений в некоторые решения Комиссии Таможенного союза в отношении сахара-сырца тростникового&quot; {КонсультантПлюс}">
              <w:r>
                <w:rPr>
                  <w:sz w:val="20"/>
                  <w:color w:val="0000ff"/>
                </w:rPr>
                <w:t xml:space="preserve">Решение</w:t>
              </w:r>
            </w:hyperlink>
            <w:r>
              <w:rPr>
                <w:sz w:val="20"/>
              </w:rPr>
              <w:t xml:space="preserve"> Совета ЕЭК от 30.03.2023 N 32</w:t>
            </w:r>
          </w:p>
        </w:tc>
        <w:tc>
          <w:tcPr>
            <w:tcW w:w="2154" w:type="dxa"/>
            <w:vAlign w:val="center"/>
          </w:tcPr>
          <w:p>
            <w:pPr>
              <w:pStyle w:val="0"/>
              <w:jc w:val="center"/>
            </w:pPr>
            <w:r>
              <w:rPr>
                <w:sz w:val="20"/>
              </w:rPr>
              <w:t xml:space="preserve">Сахар-сырец тростниковый</w:t>
            </w:r>
          </w:p>
        </w:tc>
        <w:tc>
          <w:tcPr>
            <w:tcW w:w="4592" w:type="dxa"/>
            <w:vAlign w:val="center"/>
          </w:tcPr>
          <w:p>
            <w:pPr>
              <w:pStyle w:val="0"/>
              <w:jc w:val="both"/>
            </w:pPr>
            <w:r>
              <w:rPr>
                <w:sz w:val="20"/>
              </w:rPr>
              <w:t xml:space="preserve">Предоставление тарифной льготы в виде освобождения от уплаты ввозной таможенной пошлины в объеме не более 100 тыс. т в Республику Беларусь, 350 тыс. т в Республику Казахстан, 50 тыс. т в Киргизскую Республику и 100 тыс. тонн в Российскую Федерацию сроком с 22.04.2023 по 31.12.2023 включительно.</w:t>
            </w:r>
          </w:p>
        </w:tc>
      </w:tr>
      <w:tr>
        <w:tc>
          <w:tcPr>
            <w:tcW w:w="510" w:type="dxa"/>
            <w:vAlign w:val="center"/>
          </w:tcPr>
          <w:p>
            <w:pPr>
              <w:pStyle w:val="0"/>
              <w:jc w:val="center"/>
            </w:pPr>
            <w:r>
              <w:rPr>
                <w:sz w:val="20"/>
              </w:rPr>
              <w:t xml:space="preserve">34</w:t>
            </w:r>
          </w:p>
        </w:tc>
        <w:tc>
          <w:tcPr>
            <w:tcW w:w="1814" w:type="dxa"/>
            <w:vAlign w:val="center"/>
          </w:tcPr>
          <w:p>
            <w:pPr>
              <w:pStyle w:val="0"/>
              <w:jc w:val="center"/>
            </w:pPr>
            <w:hyperlink w:history="0" r:id="rId223" w:tooltip="Решение Совета Евразийской экономической комиссии от 23.06.2023 N 72 &quot;О внесении изменений в некоторые решения Комиссии Таможенного союза и об утверждении перечня товаров, ввозимых в Кыргызскую Республику для строительства и (или) оснащения здания государственного значения Администрации Президента Кыргызской Республики&quot; {КонсультантПлюс}">
              <w:r>
                <w:rPr>
                  <w:sz w:val="20"/>
                  <w:color w:val="0000ff"/>
                </w:rPr>
                <w:t xml:space="preserve">Решение</w:t>
              </w:r>
            </w:hyperlink>
            <w:r>
              <w:rPr>
                <w:sz w:val="20"/>
              </w:rPr>
              <w:t xml:space="preserve"> Совета ЕЭК от 23.06.2023 N 72</w:t>
            </w:r>
          </w:p>
        </w:tc>
        <w:tc>
          <w:tcPr>
            <w:tcW w:w="2154" w:type="dxa"/>
            <w:vAlign w:val="center"/>
          </w:tcPr>
          <w:p>
            <w:pPr>
              <w:pStyle w:val="0"/>
              <w:jc w:val="center"/>
            </w:pPr>
            <w:r>
              <w:rPr>
                <w:sz w:val="20"/>
              </w:rPr>
              <w:t xml:space="preserve">Товары, предназначенные для строительства и (или) оснащения здания государственного значения Администрации Президента Киргизской Республики</w:t>
            </w:r>
          </w:p>
        </w:tc>
        <w:tc>
          <w:tcPr>
            <w:tcW w:w="4592" w:type="dxa"/>
            <w:vAlign w:val="center"/>
          </w:tcPr>
          <w:p>
            <w:pPr>
              <w:pStyle w:val="0"/>
              <w:jc w:val="both"/>
            </w:pPr>
            <w:r>
              <w:rPr>
                <w:sz w:val="20"/>
              </w:rPr>
              <w:t xml:space="preserve">Предоставление тарифной льготы для Киргизской Республики в виде освобождения от уплаты ввозных таможенных пошлин на товары сроком с 31.07.2023 по 31.12.2024 включительно.</w:t>
            </w:r>
          </w:p>
        </w:tc>
      </w:tr>
      <w:tr>
        <w:tc>
          <w:tcPr>
            <w:gridSpan w:val="4"/>
            <w:tcW w:w="9070" w:type="dxa"/>
            <w:vAlign w:val="center"/>
          </w:tcPr>
          <w:p>
            <w:pPr>
              <w:pStyle w:val="0"/>
              <w:outlineLvl w:val="1"/>
              <w:jc w:val="center"/>
            </w:pPr>
            <w:r>
              <w:rPr>
                <w:sz w:val="20"/>
              </w:rPr>
              <w:t xml:space="preserve">Решения Коллегии ЕЭК</w:t>
            </w:r>
          </w:p>
        </w:tc>
      </w:tr>
      <w:tr>
        <w:tc>
          <w:tcPr>
            <w:tcW w:w="510" w:type="dxa"/>
            <w:vAlign w:val="center"/>
          </w:tcPr>
          <w:p>
            <w:pPr>
              <w:pStyle w:val="0"/>
              <w:jc w:val="center"/>
            </w:pPr>
            <w:r>
              <w:rPr>
                <w:sz w:val="20"/>
              </w:rPr>
              <w:t xml:space="preserve">35</w:t>
            </w:r>
          </w:p>
        </w:tc>
        <w:tc>
          <w:tcPr>
            <w:tcW w:w="1814" w:type="dxa"/>
            <w:vAlign w:val="center"/>
          </w:tcPr>
          <w:p>
            <w:pPr>
              <w:pStyle w:val="0"/>
              <w:jc w:val="center"/>
            </w:pPr>
            <w:hyperlink w:history="0" r:id="rId224" w:tooltip="Решение Коллегии Евразийской экономической комиссии от 11.01.2022 N 7 &quot;Об установлении ставки ввозной таможенной пошлины Единого таможенного тарифа Евразийского экономического союза в отношении латекса для производства ковров&quot; {КонсультантПлюс}">
              <w:r>
                <w:rPr>
                  <w:sz w:val="20"/>
                  <w:color w:val="0000ff"/>
                </w:rPr>
                <w:t xml:space="preserve">Решение</w:t>
              </w:r>
            </w:hyperlink>
            <w:r>
              <w:rPr>
                <w:sz w:val="20"/>
              </w:rPr>
              <w:t xml:space="preserve"> Коллегии ЕЭК от 11.01.2022 N 7</w:t>
            </w:r>
          </w:p>
        </w:tc>
        <w:tc>
          <w:tcPr>
            <w:tcW w:w="2154" w:type="dxa"/>
            <w:vAlign w:val="center"/>
          </w:tcPr>
          <w:p>
            <w:pPr>
              <w:pStyle w:val="0"/>
              <w:jc w:val="center"/>
            </w:pPr>
            <w:r>
              <w:rPr>
                <w:sz w:val="20"/>
              </w:rPr>
              <w:t xml:space="preserve">Латекс для производства ковров</w:t>
            </w:r>
          </w:p>
        </w:tc>
        <w:tc>
          <w:tcPr>
            <w:tcW w:w="4592" w:type="dxa"/>
            <w:vAlign w:val="center"/>
          </w:tcPr>
          <w:p>
            <w:pPr>
              <w:pStyle w:val="0"/>
              <w:jc w:val="both"/>
            </w:pPr>
            <w:r>
              <w:rPr>
                <w:sz w:val="20"/>
              </w:rPr>
              <w:t xml:space="preserve">Установление нулевой ставки ввозной таможенной пошлины сроком с 01.01.2022 по 31.12.2024 включительно.</w:t>
            </w:r>
          </w:p>
        </w:tc>
      </w:tr>
      <w:tr>
        <w:tc>
          <w:tcPr>
            <w:tcW w:w="510" w:type="dxa"/>
            <w:vAlign w:val="center"/>
          </w:tcPr>
          <w:p>
            <w:pPr>
              <w:pStyle w:val="0"/>
              <w:jc w:val="center"/>
            </w:pPr>
            <w:r>
              <w:rPr>
                <w:sz w:val="20"/>
              </w:rPr>
              <w:t xml:space="preserve">36</w:t>
            </w:r>
          </w:p>
        </w:tc>
        <w:tc>
          <w:tcPr>
            <w:tcW w:w="1814" w:type="dxa"/>
            <w:vAlign w:val="center"/>
          </w:tcPr>
          <w:p>
            <w:pPr>
              <w:pStyle w:val="0"/>
              <w:jc w:val="center"/>
            </w:pPr>
            <w:hyperlink w:history="0" r:id="rId225" w:tooltip="Решение Коллегии Евразийской экономической комиссии от 15.02.2022 N 25 &quot;Об установлении ставки ввозной таможенной пошлины Единого таможенного тарифа Евразийского экономического союза в отношении отдельных видов целлюлозы древесной полубеленой или беленой из лиственных пород&quot; {КонсультантПлюс}">
              <w:r>
                <w:rPr>
                  <w:sz w:val="20"/>
                  <w:color w:val="0000ff"/>
                </w:rPr>
                <w:t xml:space="preserve">Решение</w:t>
              </w:r>
            </w:hyperlink>
            <w:r>
              <w:rPr>
                <w:sz w:val="20"/>
              </w:rPr>
              <w:t xml:space="preserve"> Коллегии ЕЭК от 15.02.2022 N 25</w:t>
            </w:r>
          </w:p>
        </w:tc>
        <w:tc>
          <w:tcPr>
            <w:tcW w:w="2154" w:type="dxa"/>
            <w:vAlign w:val="center"/>
          </w:tcPr>
          <w:p>
            <w:pPr>
              <w:pStyle w:val="0"/>
              <w:jc w:val="center"/>
            </w:pPr>
            <w:r>
              <w:rPr>
                <w:sz w:val="20"/>
              </w:rPr>
              <w:t xml:space="preserve">Отдельные виды целлюлозы древесной из эвкалипта</w:t>
            </w:r>
          </w:p>
        </w:tc>
        <w:tc>
          <w:tcPr>
            <w:tcW w:w="4592" w:type="dxa"/>
            <w:vAlign w:val="center"/>
          </w:tcPr>
          <w:p>
            <w:pPr>
              <w:pStyle w:val="0"/>
              <w:jc w:val="both"/>
            </w:pPr>
            <w:r>
              <w:rPr>
                <w:sz w:val="20"/>
              </w:rPr>
              <w:t xml:space="preserve">Установление нулевой ставки ввозной таможенной пошлины сроком с 01.06.2022 по 31.05.2023 включительно.</w:t>
            </w:r>
          </w:p>
        </w:tc>
      </w:tr>
      <w:tr>
        <w:tc>
          <w:tcPr>
            <w:tcW w:w="510" w:type="dxa"/>
            <w:vAlign w:val="center"/>
          </w:tcPr>
          <w:p>
            <w:pPr>
              <w:pStyle w:val="0"/>
              <w:jc w:val="center"/>
            </w:pPr>
            <w:r>
              <w:rPr>
                <w:sz w:val="20"/>
              </w:rPr>
              <w:t xml:space="preserve">37</w:t>
            </w:r>
          </w:p>
        </w:tc>
        <w:tc>
          <w:tcPr>
            <w:tcW w:w="1814" w:type="dxa"/>
            <w:vAlign w:val="center"/>
          </w:tcPr>
          <w:p>
            <w:pPr>
              <w:pStyle w:val="0"/>
              <w:jc w:val="center"/>
            </w:pPr>
            <w:hyperlink w:history="0" r:id="rId226" w:tooltip="Решение Коллегии Евразийской экономической комиссии от 15.03.2022 N 41 &quot;Об установлении ставки ввозной таможенной пошлины Единого таможенного тарифа Евразийского экономического союза в отношении промышленных жирных спиртов&quot; {КонсультантПлюс}">
              <w:r>
                <w:rPr>
                  <w:sz w:val="20"/>
                  <w:color w:val="0000ff"/>
                </w:rPr>
                <w:t xml:space="preserve">Решение</w:t>
              </w:r>
            </w:hyperlink>
            <w:r>
              <w:rPr>
                <w:sz w:val="20"/>
              </w:rPr>
              <w:t xml:space="preserve"> Коллегии ЕЭК от 15.03.2022 N 41</w:t>
            </w:r>
          </w:p>
        </w:tc>
        <w:tc>
          <w:tcPr>
            <w:tcW w:w="2154" w:type="dxa"/>
            <w:vAlign w:val="center"/>
          </w:tcPr>
          <w:p>
            <w:pPr>
              <w:pStyle w:val="0"/>
              <w:jc w:val="center"/>
            </w:pPr>
            <w:r>
              <w:rPr>
                <w:sz w:val="20"/>
              </w:rPr>
              <w:t xml:space="preserve">Промышленные жирные спирты</w:t>
            </w:r>
          </w:p>
        </w:tc>
        <w:tc>
          <w:tcPr>
            <w:tcW w:w="4592" w:type="dxa"/>
            <w:vAlign w:val="center"/>
          </w:tcPr>
          <w:p>
            <w:pPr>
              <w:pStyle w:val="0"/>
              <w:jc w:val="both"/>
            </w:pPr>
            <w:r>
              <w:rPr>
                <w:sz w:val="20"/>
              </w:rPr>
              <w:t xml:space="preserve">Установление нулевой ставки ввозной таможенной пошлины сроком с 16.04.2022 по 31.03.2025 включительно.</w:t>
            </w:r>
          </w:p>
        </w:tc>
      </w:tr>
      <w:tr>
        <w:tc>
          <w:tcPr>
            <w:tcW w:w="510" w:type="dxa"/>
            <w:vAlign w:val="center"/>
          </w:tcPr>
          <w:p>
            <w:pPr>
              <w:pStyle w:val="0"/>
              <w:jc w:val="center"/>
            </w:pPr>
            <w:r>
              <w:rPr>
                <w:sz w:val="20"/>
              </w:rPr>
              <w:t xml:space="preserve">38</w:t>
            </w:r>
          </w:p>
        </w:tc>
        <w:tc>
          <w:tcPr>
            <w:tcW w:w="1814" w:type="dxa"/>
            <w:vAlign w:val="center"/>
          </w:tcPr>
          <w:p>
            <w:pPr>
              <w:pStyle w:val="0"/>
              <w:jc w:val="center"/>
            </w:pPr>
            <w:hyperlink w:history="0" r:id="rId227" w:tooltip="Решение Коллегии Евразийской экономической комиссии от 15.03.2022 N 42 &quot;Об установлении ставок ввозных таможенных пошлин Единого таможенного тарифа Евразийского экономического союза в отношении отходов и лома драгоценных металлов&quot; {КонсультантПлюс}">
              <w:r>
                <w:rPr>
                  <w:sz w:val="20"/>
                  <w:color w:val="0000ff"/>
                </w:rPr>
                <w:t xml:space="preserve">Решение</w:t>
              </w:r>
            </w:hyperlink>
            <w:r>
              <w:rPr>
                <w:sz w:val="20"/>
              </w:rPr>
              <w:t xml:space="preserve"> Коллегии ЕЭК от 15.03.2022 N 42</w:t>
            </w:r>
          </w:p>
        </w:tc>
        <w:tc>
          <w:tcPr>
            <w:tcW w:w="2154" w:type="dxa"/>
            <w:vAlign w:val="center"/>
          </w:tcPr>
          <w:p>
            <w:pPr>
              <w:pStyle w:val="0"/>
              <w:jc w:val="center"/>
            </w:pPr>
            <w:r>
              <w:rPr>
                <w:sz w:val="20"/>
              </w:rPr>
              <w:t xml:space="preserve">Отходы и лом драгоценных металлов</w:t>
            </w:r>
          </w:p>
        </w:tc>
        <w:tc>
          <w:tcPr>
            <w:tcW w:w="4592" w:type="dxa"/>
            <w:vAlign w:val="center"/>
          </w:tcPr>
          <w:p>
            <w:pPr>
              <w:pStyle w:val="0"/>
              <w:jc w:val="both"/>
            </w:pPr>
            <w:r>
              <w:rPr>
                <w:sz w:val="20"/>
              </w:rPr>
              <w:t xml:space="preserve">Установление нулевых ставок ввозных таможенных пошлин сроком с 01.01.2023 по 31.12.2025 включительно.</w:t>
            </w:r>
          </w:p>
        </w:tc>
      </w:tr>
      <w:tr>
        <w:tc>
          <w:tcPr>
            <w:tcW w:w="510" w:type="dxa"/>
            <w:vAlign w:val="center"/>
          </w:tcPr>
          <w:p>
            <w:pPr>
              <w:pStyle w:val="0"/>
              <w:jc w:val="center"/>
            </w:pPr>
            <w:r>
              <w:rPr>
                <w:sz w:val="20"/>
              </w:rPr>
              <w:t xml:space="preserve">39</w:t>
            </w:r>
          </w:p>
        </w:tc>
        <w:tc>
          <w:tcPr>
            <w:tcW w:w="1814" w:type="dxa"/>
            <w:vAlign w:val="center"/>
          </w:tcPr>
          <w:p>
            <w:pPr>
              <w:pStyle w:val="0"/>
              <w:jc w:val="center"/>
            </w:pPr>
            <w:hyperlink w:history="0" r:id="rId228" w:tooltip="Решение Коллегии Евразийской экономической комиссии от 22.03.2022 N 43 &quot;Об установлении ставки ввозной таможенной пошлины Единого таможенного тарифа Евразийского экономического союза в отношении отдельных видов оплодотворенной икры рыб&quot; {КонсультантПлюс}">
              <w:r>
                <w:rPr>
                  <w:sz w:val="20"/>
                  <w:color w:val="0000ff"/>
                </w:rPr>
                <w:t xml:space="preserve">Решение</w:t>
              </w:r>
            </w:hyperlink>
            <w:r>
              <w:rPr>
                <w:sz w:val="20"/>
              </w:rPr>
              <w:t xml:space="preserve"> Коллегии ЕЭК от 22.03.2022 N 43</w:t>
            </w:r>
          </w:p>
        </w:tc>
        <w:tc>
          <w:tcPr>
            <w:tcW w:w="2154" w:type="dxa"/>
            <w:vAlign w:val="center"/>
          </w:tcPr>
          <w:p>
            <w:pPr>
              <w:pStyle w:val="0"/>
              <w:jc w:val="center"/>
            </w:pPr>
            <w:r>
              <w:rPr>
                <w:sz w:val="20"/>
              </w:rPr>
              <w:t xml:space="preserve">Отдельные виды оплодотворенной икры рыб</w:t>
            </w:r>
          </w:p>
        </w:tc>
        <w:tc>
          <w:tcPr>
            <w:tcW w:w="4592" w:type="dxa"/>
            <w:vAlign w:val="center"/>
          </w:tcPr>
          <w:p>
            <w:pPr>
              <w:pStyle w:val="0"/>
              <w:jc w:val="both"/>
            </w:pPr>
            <w:r>
              <w:rPr>
                <w:sz w:val="20"/>
              </w:rPr>
              <w:t xml:space="preserve">Установление нулевой ставки ввозной таможенной пошлины сроком с 28.04.2022 по 31.12.2024 включительно.</w:t>
            </w:r>
          </w:p>
        </w:tc>
      </w:tr>
      <w:tr>
        <w:tc>
          <w:tcPr>
            <w:tcW w:w="510" w:type="dxa"/>
            <w:vAlign w:val="center"/>
          </w:tcPr>
          <w:p>
            <w:pPr>
              <w:pStyle w:val="0"/>
              <w:jc w:val="center"/>
            </w:pPr>
            <w:r>
              <w:rPr>
                <w:sz w:val="20"/>
              </w:rPr>
              <w:t xml:space="preserve">40</w:t>
            </w:r>
          </w:p>
        </w:tc>
        <w:tc>
          <w:tcPr>
            <w:tcW w:w="1814" w:type="dxa"/>
            <w:vAlign w:val="center"/>
          </w:tcPr>
          <w:p>
            <w:pPr>
              <w:pStyle w:val="0"/>
              <w:jc w:val="center"/>
            </w:pPr>
            <w:hyperlink w:history="0" r:id="rId229" w:tooltip="Решение Коллегии Евразийской экономической комиссии от 22.03.2022 N 44 &quot;Об установлении ставок ввозных таможенных пошлин Единого таможенного тарифа Евразийского экономического союза в отношении отдельных видов товаров&quot; {КонсультантПлюс}">
              <w:r>
                <w:rPr>
                  <w:sz w:val="20"/>
                  <w:color w:val="0000ff"/>
                </w:rPr>
                <w:t xml:space="preserve">Решение</w:t>
              </w:r>
            </w:hyperlink>
            <w:r>
              <w:rPr>
                <w:sz w:val="20"/>
              </w:rPr>
              <w:t xml:space="preserve"> Коллегии ЕЭК от 22.03.2022 N 44</w:t>
            </w:r>
          </w:p>
        </w:tc>
        <w:tc>
          <w:tcPr>
            <w:tcW w:w="2154" w:type="dxa"/>
            <w:vAlign w:val="center"/>
          </w:tcPr>
          <w:p>
            <w:pPr>
              <w:pStyle w:val="0"/>
              <w:jc w:val="center"/>
            </w:pPr>
            <w:r>
              <w:rPr>
                <w:sz w:val="20"/>
              </w:rPr>
              <w:t xml:space="preserve">Какао-масло, какао-жир, какао-паста, штейн медный</w:t>
            </w:r>
          </w:p>
        </w:tc>
        <w:tc>
          <w:tcPr>
            <w:tcW w:w="4592" w:type="dxa"/>
            <w:vAlign w:val="center"/>
          </w:tcPr>
          <w:p>
            <w:pPr>
              <w:pStyle w:val="0"/>
              <w:jc w:val="both"/>
            </w:pPr>
            <w:r>
              <w:rPr>
                <w:sz w:val="20"/>
              </w:rPr>
              <w:t xml:space="preserve">Установление нулевых ставок ввозных таможенных пошлин с 01.04.2022 сроком:</w:t>
            </w:r>
          </w:p>
          <w:p>
            <w:pPr>
              <w:pStyle w:val="0"/>
              <w:jc w:val="both"/>
            </w:pPr>
            <w:r>
              <w:rPr>
                <w:sz w:val="20"/>
              </w:rPr>
              <w:t xml:space="preserve">- какао-масло, какао-жир, какао-паста по 30.04.2025 включительно;</w:t>
            </w:r>
          </w:p>
          <w:p>
            <w:pPr>
              <w:pStyle w:val="0"/>
              <w:jc w:val="both"/>
            </w:pPr>
            <w:r>
              <w:rPr>
                <w:sz w:val="20"/>
              </w:rPr>
              <w:t xml:space="preserve">- штейн медный по 31.12.2023 включительно.</w:t>
            </w:r>
          </w:p>
        </w:tc>
      </w:tr>
      <w:tr>
        <w:tc>
          <w:tcPr>
            <w:tcW w:w="510" w:type="dxa"/>
            <w:vAlign w:val="center"/>
          </w:tcPr>
          <w:p>
            <w:pPr>
              <w:pStyle w:val="0"/>
              <w:jc w:val="center"/>
            </w:pPr>
            <w:r>
              <w:rPr>
                <w:sz w:val="20"/>
              </w:rPr>
              <w:t xml:space="preserve">41</w:t>
            </w:r>
          </w:p>
        </w:tc>
        <w:tc>
          <w:tcPr>
            <w:tcW w:w="1814" w:type="dxa"/>
            <w:vAlign w:val="center"/>
          </w:tcPr>
          <w:p>
            <w:pPr>
              <w:pStyle w:val="0"/>
              <w:jc w:val="center"/>
            </w:pPr>
            <w:hyperlink w:history="0" r:id="rId230" w:tooltip="Решение Коллегии Евразийской экономической комиссии от 29.03.2022 N 50 &quot;Об установлении ставок ввозных таможенных пошлин Единого таможенного тарифа Евразийского экономического союза в отношении отдельных видов комплектующих для производства велосипедов&quot; {КонсультантПлюс}">
              <w:r>
                <w:rPr>
                  <w:sz w:val="20"/>
                  <w:color w:val="0000ff"/>
                </w:rPr>
                <w:t xml:space="preserve">Решение</w:t>
              </w:r>
            </w:hyperlink>
            <w:r>
              <w:rPr>
                <w:sz w:val="20"/>
              </w:rPr>
              <w:t xml:space="preserve"> Коллегии ЕЭК от 29.03.2022 N 50</w:t>
            </w:r>
          </w:p>
        </w:tc>
        <w:tc>
          <w:tcPr>
            <w:tcW w:w="2154" w:type="dxa"/>
            <w:vAlign w:val="center"/>
          </w:tcPr>
          <w:p>
            <w:pPr>
              <w:pStyle w:val="0"/>
              <w:jc w:val="center"/>
            </w:pPr>
            <w:r>
              <w:rPr>
                <w:sz w:val="20"/>
              </w:rPr>
              <w:t xml:space="preserve">Отдельные виды комплектующих для производства велосипедов</w:t>
            </w:r>
          </w:p>
        </w:tc>
        <w:tc>
          <w:tcPr>
            <w:tcW w:w="4592" w:type="dxa"/>
            <w:vAlign w:val="center"/>
          </w:tcPr>
          <w:p>
            <w:pPr>
              <w:pStyle w:val="0"/>
              <w:jc w:val="both"/>
            </w:pPr>
            <w:r>
              <w:rPr>
                <w:sz w:val="20"/>
              </w:rPr>
              <w:t xml:space="preserve">Установление нулевых ставок ввозных таможенных пошлин сроком с 10.04.2022 по 31.03.2025</w:t>
            </w:r>
          </w:p>
        </w:tc>
      </w:tr>
      <w:tr>
        <w:tc>
          <w:tcPr>
            <w:tcW w:w="510" w:type="dxa"/>
            <w:vAlign w:val="center"/>
          </w:tcPr>
          <w:p>
            <w:pPr>
              <w:pStyle w:val="0"/>
              <w:jc w:val="center"/>
            </w:pPr>
            <w:r>
              <w:rPr>
                <w:sz w:val="20"/>
              </w:rPr>
              <w:t xml:space="preserve">42</w:t>
            </w:r>
          </w:p>
        </w:tc>
        <w:tc>
          <w:tcPr>
            <w:tcW w:w="1814" w:type="dxa"/>
            <w:vAlign w:val="center"/>
          </w:tcPr>
          <w:p>
            <w:pPr>
              <w:pStyle w:val="0"/>
              <w:jc w:val="center"/>
            </w:pPr>
            <w:hyperlink w:history="0" r:id="rId231" w:tooltip="Решение Коллегии Евразийской экономической комиссии от 12.04.2022 N 63 &quot;Об установлении ставок ввозных таможенных пошлин Единого таможенного тарифа Евразийского экономического союза в отношении отдельных видов товаров, ввозимых на таможенную территорию Евразийского экономического союза в целях обеспечения устойчивости экономик государств - членов Евразийского экономического союза&quot; {КонсультантПлюс}">
              <w:r>
                <w:rPr>
                  <w:sz w:val="20"/>
                  <w:color w:val="0000ff"/>
                </w:rPr>
                <w:t xml:space="preserve">Решение</w:t>
              </w:r>
            </w:hyperlink>
            <w:r>
              <w:rPr>
                <w:sz w:val="20"/>
              </w:rPr>
              <w:t xml:space="preserve"> Коллегии ЕЭК от 12.04.2022 N 63</w:t>
            </w:r>
          </w:p>
        </w:tc>
        <w:tc>
          <w:tcPr>
            <w:tcW w:w="2154" w:type="dxa"/>
            <w:vAlign w:val="center"/>
          </w:tcPr>
          <w:p>
            <w:pPr>
              <w:pStyle w:val="0"/>
              <w:jc w:val="center"/>
            </w:pPr>
            <w:r>
              <w:rPr>
                <w:sz w:val="20"/>
              </w:rPr>
              <w:t xml:space="preserve">Широкая номенклатура товаров</w:t>
            </w:r>
          </w:p>
        </w:tc>
        <w:tc>
          <w:tcPr>
            <w:tcW w:w="4592" w:type="dxa"/>
            <w:vAlign w:val="center"/>
          </w:tcPr>
          <w:p>
            <w:pPr>
              <w:pStyle w:val="0"/>
              <w:jc w:val="both"/>
            </w:pPr>
            <w:r>
              <w:rPr>
                <w:sz w:val="20"/>
              </w:rPr>
              <w:t xml:space="preserve">Установление нулевых ставок ввозных таможенных пошлин сроком с 28.03.2022 по 30.09.2022 включительно.</w:t>
            </w:r>
          </w:p>
        </w:tc>
      </w:tr>
      <w:tr>
        <w:tc>
          <w:tcPr>
            <w:tcW w:w="510" w:type="dxa"/>
            <w:vAlign w:val="center"/>
          </w:tcPr>
          <w:p>
            <w:pPr>
              <w:pStyle w:val="0"/>
              <w:jc w:val="center"/>
            </w:pPr>
            <w:r>
              <w:rPr>
                <w:sz w:val="20"/>
              </w:rPr>
              <w:t xml:space="preserve">43</w:t>
            </w:r>
          </w:p>
        </w:tc>
        <w:tc>
          <w:tcPr>
            <w:tcW w:w="1814" w:type="dxa"/>
            <w:vAlign w:val="center"/>
          </w:tcPr>
          <w:p>
            <w:pPr>
              <w:pStyle w:val="0"/>
              <w:jc w:val="center"/>
            </w:pPr>
            <w:hyperlink w:history="0" r:id="rId232" w:tooltip="Решение Коллегии Евразийской экономической комиссии от 19.04.2022 N 66 &quot;Об установлении ставок ввозных таможенных пошлин Единого таможенного тарифа Евразийского экономического союза в отношении отдельных товаров, ввозимых на таможенную территорию Евразийского экономического союза в целях обеспечения устойчивости экономик государств - членов Евразийского экономического союза&quot; {КонсультантПлюс}">
              <w:r>
                <w:rPr>
                  <w:sz w:val="20"/>
                  <w:color w:val="0000ff"/>
                </w:rPr>
                <w:t xml:space="preserve">Решение</w:t>
              </w:r>
            </w:hyperlink>
            <w:r>
              <w:rPr>
                <w:sz w:val="20"/>
              </w:rPr>
              <w:t xml:space="preserve"> Коллегии ЕЭК от 19.04.2022 N 66</w:t>
            </w:r>
          </w:p>
        </w:tc>
        <w:tc>
          <w:tcPr>
            <w:tcW w:w="2154" w:type="dxa"/>
            <w:vAlign w:val="center"/>
          </w:tcPr>
          <w:p>
            <w:pPr>
              <w:pStyle w:val="0"/>
              <w:jc w:val="center"/>
            </w:pPr>
            <w:r>
              <w:rPr>
                <w:sz w:val="20"/>
              </w:rPr>
              <w:t xml:space="preserve">Широкая номенклатура товаров</w:t>
            </w:r>
          </w:p>
        </w:tc>
        <w:tc>
          <w:tcPr>
            <w:tcW w:w="4592" w:type="dxa"/>
            <w:vAlign w:val="center"/>
          </w:tcPr>
          <w:p>
            <w:pPr>
              <w:pStyle w:val="0"/>
              <w:jc w:val="both"/>
            </w:pPr>
            <w:r>
              <w:rPr>
                <w:sz w:val="20"/>
              </w:rPr>
              <w:t xml:space="preserve">Установление нулевых ставок ввозных таможенных пошлин сроком с 28.03.2022 по 30.09.2022 включительно.</w:t>
            </w:r>
          </w:p>
        </w:tc>
      </w:tr>
      <w:tr>
        <w:tc>
          <w:tcPr>
            <w:tcW w:w="510" w:type="dxa"/>
            <w:vAlign w:val="center"/>
          </w:tcPr>
          <w:p>
            <w:pPr>
              <w:pStyle w:val="0"/>
              <w:jc w:val="center"/>
            </w:pPr>
            <w:r>
              <w:rPr>
                <w:sz w:val="20"/>
              </w:rPr>
              <w:t xml:space="preserve">44</w:t>
            </w:r>
          </w:p>
        </w:tc>
        <w:tc>
          <w:tcPr>
            <w:tcW w:w="1814" w:type="dxa"/>
            <w:vAlign w:val="center"/>
          </w:tcPr>
          <w:p>
            <w:pPr>
              <w:pStyle w:val="0"/>
              <w:jc w:val="center"/>
            </w:pPr>
            <w:hyperlink w:history="0" r:id="rId233" w:tooltip="Решение Коллегии Евразийской экономической комиссии от 12.05.2022 N 74 &quot;О внесении изменений в единую Товарную номенклатуру внешнеэкономической деятельности Евразийского экономического союза и Единый таможенный тариф Евразийского экономического союза в отношении отдельных видов орехов и семян&quot; {КонсультантПлюс}">
              <w:r>
                <w:rPr>
                  <w:sz w:val="20"/>
                  <w:color w:val="0000ff"/>
                </w:rPr>
                <w:t xml:space="preserve">Решение</w:t>
              </w:r>
            </w:hyperlink>
            <w:r>
              <w:rPr>
                <w:sz w:val="20"/>
              </w:rPr>
              <w:t xml:space="preserve"> Коллегии ЕЭК от 12.05.2022 N 74</w:t>
            </w:r>
          </w:p>
        </w:tc>
        <w:tc>
          <w:tcPr>
            <w:tcW w:w="2154" w:type="dxa"/>
            <w:vAlign w:val="center"/>
          </w:tcPr>
          <w:p>
            <w:pPr>
              <w:pStyle w:val="0"/>
              <w:jc w:val="center"/>
            </w:pPr>
            <w:r>
              <w:rPr>
                <w:sz w:val="20"/>
              </w:rPr>
              <w:t xml:space="preserve">Отдельные виды орехов и семян</w:t>
            </w:r>
          </w:p>
        </w:tc>
        <w:tc>
          <w:tcPr>
            <w:tcW w:w="4592" w:type="dxa"/>
            <w:vAlign w:val="center"/>
          </w:tcPr>
          <w:p>
            <w:pPr>
              <w:pStyle w:val="0"/>
              <w:jc w:val="both"/>
            </w:pPr>
            <w:r>
              <w:rPr>
                <w:sz w:val="20"/>
              </w:rPr>
              <w:t xml:space="preserve">Установление нулевой ставки ввозной таможенной пошлины сроком с 24.06.2022 по 30.06.2025 включительно (с выделением в </w:t>
            </w:r>
            <w:hyperlink w:history="0" r:id="rId234"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ТН</w:t>
              </w:r>
            </w:hyperlink>
            <w:r>
              <w:rPr>
                <w:sz w:val="20"/>
              </w:rPr>
              <w:t xml:space="preserve"> ВЭД ЕАЭС отдельных подсубпозиций).</w:t>
            </w:r>
          </w:p>
        </w:tc>
      </w:tr>
      <w:tr>
        <w:tc>
          <w:tcPr>
            <w:tcW w:w="510" w:type="dxa"/>
            <w:vAlign w:val="center"/>
          </w:tcPr>
          <w:p>
            <w:pPr>
              <w:pStyle w:val="0"/>
              <w:jc w:val="center"/>
            </w:pPr>
            <w:r>
              <w:rPr>
                <w:sz w:val="20"/>
              </w:rPr>
              <w:t xml:space="preserve">45</w:t>
            </w:r>
          </w:p>
        </w:tc>
        <w:tc>
          <w:tcPr>
            <w:tcW w:w="1814" w:type="dxa"/>
            <w:vAlign w:val="center"/>
          </w:tcPr>
          <w:p>
            <w:pPr>
              <w:pStyle w:val="0"/>
              <w:jc w:val="center"/>
            </w:pPr>
            <w:hyperlink w:history="0" r:id="rId235" w:tooltip="Решение Коллегии Евразийской экономической комиссии от 12.05.2022 N 77 &quot;О внесении изменений в единую Товарную номенклатуру внешнеэкономической деятельности Евразийского экономического союза, а также в перечень чувствительных товаров, в отношении которых решение об изменении ставки ввозной таможенной пошлины принимается Советом Евразийской экономической комиссии, в отношении отдельных видов трансформаторов&quot; {КонсультантПлюс}">
              <w:r>
                <w:rPr>
                  <w:sz w:val="20"/>
                  <w:color w:val="0000ff"/>
                </w:rPr>
                <w:t xml:space="preserve">Решение</w:t>
              </w:r>
            </w:hyperlink>
            <w:r>
              <w:rPr>
                <w:sz w:val="20"/>
              </w:rPr>
              <w:t xml:space="preserve"> Коллегии ЕЭК от 12.05.2022 N 77</w:t>
            </w:r>
          </w:p>
        </w:tc>
        <w:tc>
          <w:tcPr>
            <w:tcW w:w="2154" w:type="dxa"/>
            <w:vAlign w:val="center"/>
          </w:tcPr>
          <w:p>
            <w:pPr>
              <w:pStyle w:val="0"/>
              <w:jc w:val="center"/>
            </w:pPr>
            <w:r>
              <w:rPr>
                <w:sz w:val="20"/>
              </w:rPr>
              <w:t xml:space="preserve">Отдельные виды трансформаторов</w:t>
            </w:r>
          </w:p>
        </w:tc>
        <w:tc>
          <w:tcPr>
            <w:tcW w:w="4592" w:type="dxa"/>
            <w:vAlign w:val="center"/>
          </w:tcPr>
          <w:p>
            <w:pPr>
              <w:pStyle w:val="0"/>
              <w:jc w:val="both"/>
            </w:pPr>
            <w:r>
              <w:rPr>
                <w:sz w:val="20"/>
              </w:rPr>
              <w:t xml:space="preserve">Уточнение наименования субпозиции 8504 31 800 1 </w:t>
            </w:r>
            <w:hyperlink w:history="0" r:id="rId236"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ТН</w:t>
              </w:r>
            </w:hyperlink>
            <w:r>
              <w:rPr>
                <w:sz w:val="20"/>
              </w:rPr>
              <w:t xml:space="preserve"> ВЭД ЕАЭС.</w:t>
            </w:r>
          </w:p>
        </w:tc>
      </w:tr>
      <w:tr>
        <w:tc>
          <w:tcPr>
            <w:tcW w:w="510" w:type="dxa"/>
            <w:vAlign w:val="center"/>
          </w:tcPr>
          <w:p>
            <w:pPr>
              <w:pStyle w:val="0"/>
              <w:jc w:val="center"/>
            </w:pPr>
            <w:r>
              <w:rPr>
                <w:sz w:val="20"/>
              </w:rPr>
              <w:t xml:space="preserve">46</w:t>
            </w:r>
          </w:p>
        </w:tc>
        <w:tc>
          <w:tcPr>
            <w:tcW w:w="1814" w:type="dxa"/>
            <w:vAlign w:val="center"/>
          </w:tcPr>
          <w:p>
            <w:pPr>
              <w:pStyle w:val="0"/>
              <w:jc w:val="center"/>
            </w:pPr>
            <w:hyperlink w:history="0" r:id="rId237" w:tooltip="Решение Коллегии Евразийской экономической комиссии от 16.08.2022 N 116 &quot;Об установлении ставок ввозных таможенных пошлин Единого таможенного тарифа Евразийского экономического союза в отношении отдельных видов комплектующих для производства ручных электроинструментов&quot; {КонсультантПлюс}">
              <w:r>
                <w:rPr>
                  <w:sz w:val="20"/>
                  <w:color w:val="0000ff"/>
                </w:rPr>
                <w:t xml:space="preserve">Решение</w:t>
              </w:r>
            </w:hyperlink>
            <w:r>
              <w:rPr>
                <w:sz w:val="20"/>
              </w:rPr>
              <w:t xml:space="preserve"> Коллегии ЕЭК от 16.08.2022 N 116</w:t>
            </w:r>
          </w:p>
        </w:tc>
        <w:tc>
          <w:tcPr>
            <w:tcW w:w="2154" w:type="dxa"/>
            <w:vAlign w:val="center"/>
          </w:tcPr>
          <w:p>
            <w:pPr>
              <w:pStyle w:val="0"/>
              <w:jc w:val="center"/>
            </w:pPr>
            <w:r>
              <w:rPr>
                <w:sz w:val="20"/>
              </w:rPr>
              <w:t xml:space="preserve">Отдельные виды комплектующих для производства электроинструментов</w:t>
            </w:r>
          </w:p>
        </w:tc>
        <w:tc>
          <w:tcPr>
            <w:tcW w:w="4592" w:type="dxa"/>
            <w:vAlign w:val="center"/>
          </w:tcPr>
          <w:p>
            <w:pPr>
              <w:pStyle w:val="0"/>
              <w:jc w:val="both"/>
            </w:pPr>
            <w:r>
              <w:rPr>
                <w:sz w:val="20"/>
              </w:rPr>
              <w:t xml:space="preserve">Продление нулевых ставок ввозных таможенных пошлин сроком с 01.07.2022 по 30.07.2023 включительно.</w:t>
            </w:r>
          </w:p>
        </w:tc>
      </w:tr>
      <w:tr>
        <w:tc>
          <w:tcPr>
            <w:tcW w:w="510" w:type="dxa"/>
            <w:vAlign w:val="center"/>
          </w:tcPr>
          <w:p>
            <w:pPr>
              <w:pStyle w:val="0"/>
              <w:jc w:val="center"/>
            </w:pPr>
            <w:r>
              <w:rPr>
                <w:sz w:val="20"/>
              </w:rPr>
              <w:t xml:space="preserve">47</w:t>
            </w:r>
          </w:p>
        </w:tc>
        <w:tc>
          <w:tcPr>
            <w:tcW w:w="1814" w:type="dxa"/>
            <w:vAlign w:val="center"/>
          </w:tcPr>
          <w:p>
            <w:pPr>
              <w:pStyle w:val="0"/>
              <w:jc w:val="center"/>
            </w:pPr>
            <w:hyperlink w:history="0" r:id="rId238" w:tooltip="Решение Коллегии Евразийской экономической комиссии от 16.08.2022 N 117 &quot;Об установлении на 2023 год объемов тарифных квот в отношении отдельных видов товаров, происходящих из Республики Сербии и ввозимых на территории государств - членов Евразийского экономического союза&quot; {КонсультантПлюс}">
              <w:r>
                <w:rPr>
                  <w:sz w:val="20"/>
                  <w:color w:val="0000ff"/>
                </w:rPr>
                <w:t xml:space="preserve">Решение</w:t>
              </w:r>
            </w:hyperlink>
            <w:r>
              <w:rPr>
                <w:sz w:val="20"/>
              </w:rPr>
              <w:t xml:space="preserve"> Коллегии ЕЭК от 16.08.2022 N 117</w:t>
            </w:r>
          </w:p>
        </w:tc>
        <w:tc>
          <w:tcPr>
            <w:tcW w:w="2154" w:type="dxa"/>
            <w:vAlign w:val="center"/>
          </w:tcPr>
          <w:p>
            <w:pPr>
              <w:pStyle w:val="0"/>
              <w:jc w:val="center"/>
            </w:pPr>
            <w:r>
              <w:rPr>
                <w:sz w:val="20"/>
              </w:rPr>
              <w:t xml:space="preserve">Сыры, спиртовые настойки, сигареты</w:t>
            </w:r>
          </w:p>
        </w:tc>
        <w:tc>
          <w:tcPr>
            <w:tcW w:w="4592" w:type="dxa"/>
            <w:vAlign w:val="center"/>
          </w:tcPr>
          <w:p>
            <w:pPr>
              <w:pStyle w:val="0"/>
              <w:jc w:val="both"/>
            </w:pPr>
            <w:r>
              <w:rPr>
                <w:sz w:val="20"/>
              </w:rPr>
              <w:t xml:space="preserve">Установление на 2023 год объемов тарифных квот, в рамках которых применяется ставка ввозной таможенной пошлины в размере 0% в отношении отдельных видов товаров, происходящих из Республики Сербия и ввозимых на территории государств - членов ЕАЭС.</w:t>
            </w:r>
          </w:p>
        </w:tc>
      </w:tr>
      <w:tr>
        <w:tc>
          <w:tcPr>
            <w:tcW w:w="510" w:type="dxa"/>
            <w:vAlign w:val="center"/>
          </w:tcPr>
          <w:p>
            <w:pPr>
              <w:pStyle w:val="0"/>
              <w:jc w:val="center"/>
            </w:pPr>
            <w:r>
              <w:rPr>
                <w:sz w:val="20"/>
              </w:rPr>
              <w:t xml:space="preserve">48</w:t>
            </w:r>
          </w:p>
        </w:tc>
        <w:tc>
          <w:tcPr>
            <w:tcW w:w="1814" w:type="dxa"/>
            <w:vAlign w:val="center"/>
          </w:tcPr>
          <w:p>
            <w:pPr>
              <w:pStyle w:val="0"/>
              <w:jc w:val="center"/>
            </w:pPr>
            <w:hyperlink w:history="0" r:id="rId239" w:tooltip="Решение Коллегии Евразийской экономической комиссии от 16.08.2022 N 118 &quot;Об установлении на 2023 год объемов тарифной квоты в отношении отдельных видов риса длиннозерного, происходящего из Социалистической Республики Вьетнам и ввозимого на территории государств - членов Евразийского экономического союза&quot; {КонсультантПлюс}">
              <w:r>
                <w:rPr>
                  <w:sz w:val="20"/>
                  <w:color w:val="0000ff"/>
                </w:rPr>
                <w:t xml:space="preserve">Решение</w:t>
              </w:r>
            </w:hyperlink>
            <w:r>
              <w:rPr>
                <w:sz w:val="20"/>
              </w:rPr>
              <w:t xml:space="preserve"> Коллегии ЕЭК от 16.08.2022 N 118</w:t>
            </w:r>
          </w:p>
        </w:tc>
        <w:tc>
          <w:tcPr>
            <w:tcW w:w="2154" w:type="dxa"/>
            <w:vAlign w:val="center"/>
          </w:tcPr>
          <w:p>
            <w:pPr>
              <w:pStyle w:val="0"/>
              <w:jc w:val="center"/>
            </w:pPr>
            <w:r>
              <w:rPr>
                <w:sz w:val="20"/>
              </w:rPr>
              <w:t xml:space="preserve">Отдельные виды риса длиннозерного</w:t>
            </w:r>
          </w:p>
        </w:tc>
        <w:tc>
          <w:tcPr>
            <w:tcW w:w="4592" w:type="dxa"/>
            <w:vAlign w:val="center"/>
          </w:tcPr>
          <w:p>
            <w:pPr>
              <w:pStyle w:val="0"/>
              <w:jc w:val="both"/>
            </w:pPr>
            <w:r>
              <w:rPr>
                <w:sz w:val="20"/>
              </w:rPr>
              <w:t xml:space="preserve">Установление на 2023 год объемов тарифных квот в отношении товара, происходящего из Социалистической Республики Вьетнам и ввозимого на территории государств - членов ЕАЭС.</w:t>
            </w:r>
          </w:p>
        </w:tc>
      </w:tr>
      <w:tr>
        <w:tc>
          <w:tcPr>
            <w:tcW w:w="510" w:type="dxa"/>
            <w:vAlign w:val="center"/>
          </w:tcPr>
          <w:p>
            <w:pPr>
              <w:pStyle w:val="0"/>
              <w:jc w:val="center"/>
            </w:pPr>
            <w:r>
              <w:rPr>
                <w:sz w:val="20"/>
              </w:rPr>
              <w:t xml:space="preserve">49</w:t>
            </w:r>
          </w:p>
        </w:tc>
        <w:tc>
          <w:tcPr>
            <w:tcW w:w="1814" w:type="dxa"/>
            <w:vAlign w:val="center"/>
          </w:tcPr>
          <w:p>
            <w:pPr>
              <w:pStyle w:val="0"/>
              <w:jc w:val="center"/>
            </w:pPr>
            <w:hyperlink w:history="0" r:id="rId240" w:tooltip="Решение Коллегии Евразийской экономической комиссии от 23.08.2022 N 119 &quot;Об установлении на 2023 год тарифных квот в отношении отдельных видов сельскохозяйственных товаров, ввозимых на таможенную территорию Евразийского экономического союза, а также объемов тарифных квот в отношении этих товаров, ввозимых на территории государств - членов Евразийского экономического союза&quot; {КонсультантПлюс}">
              <w:r>
                <w:rPr>
                  <w:sz w:val="20"/>
                  <w:color w:val="0000ff"/>
                </w:rPr>
                <w:t xml:space="preserve">Решение</w:t>
              </w:r>
            </w:hyperlink>
            <w:r>
              <w:rPr>
                <w:sz w:val="20"/>
              </w:rPr>
              <w:t xml:space="preserve"> Коллегии ЕЭК от 23.08.2022 N 119</w:t>
            </w:r>
          </w:p>
        </w:tc>
        <w:tc>
          <w:tcPr>
            <w:tcW w:w="2154" w:type="dxa"/>
            <w:vAlign w:val="center"/>
          </w:tcPr>
          <w:p>
            <w:pPr>
              <w:pStyle w:val="0"/>
              <w:jc w:val="center"/>
            </w:pPr>
            <w:r>
              <w:rPr>
                <w:sz w:val="20"/>
              </w:rPr>
              <w:t xml:space="preserve">Мясо крупного рогатого скота, свинины, мяса птицы, молочной сыворотки</w:t>
            </w:r>
          </w:p>
        </w:tc>
        <w:tc>
          <w:tcPr>
            <w:tcW w:w="4592" w:type="dxa"/>
            <w:vAlign w:val="center"/>
          </w:tcPr>
          <w:p>
            <w:pPr>
              <w:pStyle w:val="0"/>
              <w:jc w:val="both"/>
            </w:pPr>
            <w:r>
              <w:rPr>
                <w:sz w:val="20"/>
              </w:rPr>
              <w:t xml:space="preserve">Установление на 2023 год тарифных квот в отношении товаров, ввозимых на таможенную территорию ЕАЭС, и распределение объемов тарифных квот в отношении указанных товаров, ввозимых на территории государств - членов ЕАЭС, между государствами - членами ЕАЭС.</w:t>
            </w:r>
          </w:p>
        </w:tc>
      </w:tr>
      <w:tr>
        <w:tc>
          <w:tcPr>
            <w:tcW w:w="510" w:type="dxa"/>
            <w:vAlign w:val="center"/>
          </w:tcPr>
          <w:p>
            <w:pPr>
              <w:pStyle w:val="0"/>
              <w:jc w:val="center"/>
            </w:pPr>
            <w:r>
              <w:rPr>
                <w:sz w:val="20"/>
              </w:rPr>
              <w:t xml:space="preserve">50</w:t>
            </w:r>
          </w:p>
        </w:tc>
        <w:tc>
          <w:tcPr>
            <w:tcW w:w="1814" w:type="dxa"/>
            <w:vAlign w:val="center"/>
          </w:tcPr>
          <w:p>
            <w:pPr>
              <w:pStyle w:val="0"/>
              <w:jc w:val="center"/>
            </w:pPr>
            <w:hyperlink w:history="0" r:id="rId241" w:tooltip="Решение Коллегии Евразийской экономической комиссии от 13.09.2022 N 129 &quot;Об установлении ставки ввозной таможенной пошлины Единого таможенного тарифа Евразийского экономического союза в отношении отдельных видов контейнеров&quot; {КонсультантПлюс}">
              <w:r>
                <w:rPr>
                  <w:sz w:val="20"/>
                  <w:color w:val="0000ff"/>
                </w:rPr>
                <w:t xml:space="preserve">Решение</w:t>
              </w:r>
            </w:hyperlink>
            <w:r>
              <w:rPr>
                <w:sz w:val="20"/>
              </w:rPr>
              <w:t xml:space="preserve"> Коллегии ЕЭК от 13.09.2022 N 129</w:t>
            </w:r>
          </w:p>
        </w:tc>
        <w:tc>
          <w:tcPr>
            <w:tcW w:w="2154" w:type="dxa"/>
            <w:vAlign w:val="center"/>
          </w:tcPr>
          <w:p>
            <w:pPr>
              <w:pStyle w:val="0"/>
              <w:jc w:val="center"/>
            </w:pPr>
            <w:r>
              <w:rPr>
                <w:sz w:val="20"/>
              </w:rPr>
              <w:t xml:space="preserve">Отдельные виды контейнеров</w:t>
            </w:r>
          </w:p>
        </w:tc>
        <w:tc>
          <w:tcPr>
            <w:tcW w:w="4592" w:type="dxa"/>
            <w:vAlign w:val="center"/>
          </w:tcPr>
          <w:p>
            <w:pPr>
              <w:pStyle w:val="0"/>
              <w:jc w:val="both"/>
            </w:pPr>
            <w:r>
              <w:rPr>
                <w:sz w:val="20"/>
              </w:rPr>
              <w:t xml:space="preserve">Продление нулевой ставки ввозной таможенной пошлины сроком с 01.10.2022 по 28.02.2023 включительно.</w:t>
            </w:r>
          </w:p>
        </w:tc>
      </w:tr>
      <w:tr>
        <w:tc>
          <w:tcPr>
            <w:tcW w:w="510" w:type="dxa"/>
            <w:vAlign w:val="center"/>
          </w:tcPr>
          <w:p>
            <w:pPr>
              <w:pStyle w:val="0"/>
              <w:jc w:val="center"/>
            </w:pPr>
            <w:r>
              <w:rPr>
                <w:sz w:val="20"/>
              </w:rPr>
              <w:t xml:space="preserve">51</w:t>
            </w:r>
          </w:p>
        </w:tc>
        <w:tc>
          <w:tcPr>
            <w:tcW w:w="1814" w:type="dxa"/>
            <w:vAlign w:val="center"/>
          </w:tcPr>
          <w:p>
            <w:pPr>
              <w:pStyle w:val="0"/>
              <w:jc w:val="center"/>
            </w:pPr>
            <w:hyperlink w:history="0" r:id="rId242" w:tooltip="Решение Коллегии Евразийской экономической комиссии от 28.09.2022 N 135 &quot;Об установлении ставок ввозных таможенных пошлин Единого таможенного тарифа Евразийского экономического союза в отношении отдельных видов товаров, ввозимых на таможенную территорию Евразийского экономического союза в целях обеспечения устойчивости экономик государств - членов Евразийского экономического союза&quot; {КонсультантПлюс}">
              <w:r>
                <w:rPr>
                  <w:sz w:val="20"/>
                  <w:color w:val="0000ff"/>
                </w:rPr>
                <w:t xml:space="preserve">Решение</w:t>
              </w:r>
            </w:hyperlink>
            <w:r>
              <w:rPr>
                <w:sz w:val="20"/>
              </w:rPr>
              <w:t xml:space="preserve"> Коллегии ЕЭК от 28.09.2022 N 135</w:t>
            </w:r>
          </w:p>
        </w:tc>
        <w:tc>
          <w:tcPr>
            <w:tcW w:w="2154" w:type="dxa"/>
            <w:vAlign w:val="center"/>
          </w:tcPr>
          <w:p>
            <w:pPr>
              <w:pStyle w:val="0"/>
              <w:jc w:val="center"/>
            </w:pPr>
            <w:r>
              <w:rPr>
                <w:sz w:val="20"/>
              </w:rPr>
              <w:t xml:space="preserve">Широкая номенклатура товаров</w:t>
            </w:r>
          </w:p>
        </w:tc>
        <w:tc>
          <w:tcPr>
            <w:tcW w:w="4592" w:type="dxa"/>
            <w:vAlign w:val="center"/>
          </w:tcPr>
          <w:p>
            <w:pPr>
              <w:pStyle w:val="0"/>
              <w:jc w:val="both"/>
            </w:pPr>
            <w:r>
              <w:rPr>
                <w:sz w:val="20"/>
              </w:rPr>
              <w:t xml:space="preserve">Продление нулевых ставок ввозных таможенных пошлин сроком с 01.10.2022 по 31.03.2023 включительно.</w:t>
            </w:r>
          </w:p>
        </w:tc>
      </w:tr>
      <w:tr>
        <w:tc>
          <w:tcPr>
            <w:tcW w:w="510" w:type="dxa"/>
            <w:vAlign w:val="center"/>
          </w:tcPr>
          <w:p>
            <w:pPr>
              <w:pStyle w:val="0"/>
              <w:jc w:val="center"/>
            </w:pPr>
            <w:r>
              <w:rPr>
                <w:sz w:val="20"/>
              </w:rPr>
              <w:t xml:space="preserve">52</w:t>
            </w:r>
          </w:p>
        </w:tc>
        <w:tc>
          <w:tcPr>
            <w:tcW w:w="1814" w:type="dxa"/>
            <w:vAlign w:val="center"/>
          </w:tcPr>
          <w:p>
            <w:pPr>
              <w:pStyle w:val="0"/>
              <w:jc w:val="center"/>
            </w:pPr>
            <w:hyperlink w:history="0" r:id="rId243" w:tooltip="Решение Коллегии Евразийской экономической комиссии от 25.10.2022 N 154 &quot;Об установлении ставок ввозных таможенных пошлин Единого таможенного тарифа Евразийского экономического союза в отношении отдельных видов пищевых продуктов и кнопочных переключателей&quot; {КонсультантПлюс}">
              <w:r>
                <w:rPr>
                  <w:sz w:val="20"/>
                  <w:color w:val="0000ff"/>
                </w:rPr>
                <w:t xml:space="preserve">Решение</w:t>
              </w:r>
            </w:hyperlink>
            <w:r>
              <w:rPr>
                <w:sz w:val="20"/>
              </w:rPr>
              <w:t xml:space="preserve"> Коллегии ЕЭК от 25.10.2022 N 154</w:t>
            </w:r>
          </w:p>
        </w:tc>
        <w:tc>
          <w:tcPr>
            <w:tcW w:w="2154" w:type="dxa"/>
            <w:vAlign w:val="center"/>
          </w:tcPr>
          <w:p>
            <w:pPr>
              <w:pStyle w:val="0"/>
              <w:jc w:val="center"/>
            </w:pPr>
            <w:r>
              <w:rPr>
                <w:sz w:val="20"/>
              </w:rPr>
              <w:t xml:space="preserve">Отдельные виды пищевых продуктов и кнопочных переключателей</w:t>
            </w:r>
          </w:p>
        </w:tc>
        <w:tc>
          <w:tcPr>
            <w:tcW w:w="4592" w:type="dxa"/>
            <w:vAlign w:val="center"/>
          </w:tcPr>
          <w:p>
            <w:pPr>
              <w:pStyle w:val="0"/>
              <w:jc w:val="both"/>
            </w:pPr>
            <w:r>
              <w:rPr>
                <w:sz w:val="20"/>
              </w:rPr>
              <w:t xml:space="preserve">Продление нулевой ставки ввозной таможенной пошлины сроком с 01.10.2022 по 31.03.2023 включительно.</w:t>
            </w:r>
          </w:p>
        </w:tc>
      </w:tr>
      <w:tr>
        <w:tc>
          <w:tcPr>
            <w:tcW w:w="510" w:type="dxa"/>
            <w:vAlign w:val="center"/>
          </w:tcPr>
          <w:p>
            <w:pPr>
              <w:pStyle w:val="0"/>
              <w:jc w:val="center"/>
            </w:pPr>
            <w:r>
              <w:rPr>
                <w:sz w:val="20"/>
              </w:rPr>
              <w:t xml:space="preserve">53</w:t>
            </w:r>
          </w:p>
        </w:tc>
        <w:tc>
          <w:tcPr>
            <w:tcW w:w="1814" w:type="dxa"/>
            <w:vAlign w:val="center"/>
          </w:tcPr>
          <w:p>
            <w:pPr>
              <w:pStyle w:val="0"/>
              <w:jc w:val="center"/>
            </w:pPr>
            <w:hyperlink w:history="0" r:id="rId244" w:tooltip="Решение Коллегии Евразийской экономической комиссии от 17.01.2023 N 6 &quot;Об установлении ставки ввозной таможенной пошлины Единого таможенного тарифа Евразийского экономического союза в отношении отдельных продуктов, используемых для кормления животных&quot; {КонсультантПлюс}">
              <w:r>
                <w:rPr>
                  <w:sz w:val="20"/>
                  <w:color w:val="0000ff"/>
                </w:rPr>
                <w:t xml:space="preserve">Решение</w:t>
              </w:r>
            </w:hyperlink>
            <w:r>
              <w:rPr>
                <w:sz w:val="20"/>
              </w:rPr>
              <w:t xml:space="preserve"> Коллегии ЕЭК от 17.01.2023 N 6</w:t>
            </w:r>
          </w:p>
        </w:tc>
        <w:tc>
          <w:tcPr>
            <w:tcW w:w="2154" w:type="dxa"/>
            <w:vAlign w:val="center"/>
          </w:tcPr>
          <w:p>
            <w:pPr>
              <w:pStyle w:val="0"/>
              <w:jc w:val="center"/>
            </w:pPr>
            <w:r>
              <w:rPr>
                <w:sz w:val="20"/>
              </w:rPr>
              <w:t xml:space="preserve">Отдельные продукты, используемые для кормления животных</w:t>
            </w:r>
          </w:p>
        </w:tc>
        <w:tc>
          <w:tcPr>
            <w:tcW w:w="4592" w:type="dxa"/>
            <w:vAlign w:val="center"/>
          </w:tcPr>
          <w:p>
            <w:pPr>
              <w:pStyle w:val="0"/>
              <w:jc w:val="both"/>
            </w:pPr>
            <w:r>
              <w:rPr>
                <w:sz w:val="20"/>
              </w:rPr>
              <w:t xml:space="preserve">Снижение с 5 до 3% ставки ввозной таможенной пошлины сроком с 01.01.2023 по 31.12.2023 включительно.</w:t>
            </w:r>
          </w:p>
        </w:tc>
      </w:tr>
      <w:tr>
        <w:tc>
          <w:tcPr>
            <w:tcW w:w="510" w:type="dxa"/>
            <w:vAlign w:val="center"/>
          </w:tcPr>
          <w:p>
            <w:pPr>
              <w:pStyle w:val="0"/>
              <w:jc w:val="center"/>
            </w:pPr>
            <w:r>
              <w:rPr>
                <w:sz w:val="20"/>
              </w:rPr>
              <w:t xml:space="preserve">54</w:t>
            </w:r>
          </w:p>
        </w:tc>
        <w:tc>
          <w:tcPr>
            <w:tcW w:w="1814" w:type="dxa"/>
            <w:vAlign w:val="center"/>
          </w:tcPr>
          <w:p>
            <w:pPr>
              <w:pStyle w:val="0"/>
              <w:jc w:val="center"/>
            </w:pPr>
            <w:hyperlink w:history="0" r:id="rId245" w:tooltip="Решение Коллегии Евразийской экономической комиссии от 24.01.2023 N 9 &quot;Об установлении ставки ввозной таможенной пошлины Единого таможенного тарифа Евразийского экономического союза в отношении частей газовых турбин мощностью более 5000 кВт, но не более 50 000 кВт&quot; {КонсультантПлюс}">
              <w:r>
                <w:rPr>
                  <w:sz w:val="20"/>
                  <w:color w:val="0000ff"/>
                </w:rPr>
                <w:t xml:space="preserve">Решение</w:t>
              </w:r>
            </w:hyperlink>
            <w:r>
              <w:rPr>
                <w:sz w:val="20"/>
              </w:rPr>
              <w:t xml:space="preserve"> Коллегии ЕЭК от 24.01.2023 N 9</w:t>
            </w:r>
          </w:p>
        </w:tc>
        <w:tc>
          <w:tcPr>
            <w:tcW w:w="2154" w:type="dxa"/>
            <w:vAlign w:val="center"/>
          </w:tcPr>
          <w:p>
            <w:pPr>
              <w:pStyle w:val="0"/>
              <w:jc w:val="center"/>
            </w:pPr>
            <w:r>
              <w:rPr>
                <w:sz w:val="20"/>
              </w:rPr>
              <w:t xml:space="preserve">Части газовых турбин мощностью более 5000 кВт, но не более 50 000 кВт</w:t>
            </w:r>
          </w:p>
        </w:tc>
        <w:tc>
          <w:tcPr>
            <w:tcW w:w="4592" w:type="dxa"/>
            <w:vAlign w:val="center"/>
          </w:tcPr>
          <w:p>
            <w:pPr>
              <w:pStyle w:val="0"/>
              <w:jc w:val="both"/>
            </w:pPr>
            <w:r>
              <w:rPr>
                <w:sz w:val="20"/>
              </w:rPr>
              <w:t xml:space="preserve">Установление нулевой ставки ввозной таможенной пошлины сроком с 20.03.2023 по 31.03.2024 включительно.</w:t>
            </w:r>
          </w:p>
        </w:tc>
      </w:tr>
      <w:tr>
        <w:tc>
          <w:tcPr>
            <w:tcW w:w="510" w:type="dxa"/>
            <w:vAlign w:val="center"/>
          </w:tcPr>
          <w:p>
            <w:pPr>
              <w:pStyle w:val="0"/>
              <w:jc w:val="center"/>
            </w:pPr>
            <w:r>
              <w:rPr>
                <w:sz w:val="20"/>
              </w:rPr>
              <w:t xml:space="preserve">55</w:t>
            </w:r>
          </w:p>
        </w:tc>
        <w:tc>
          <w:tcPr>
            <w:tcW w:w="1814" w:type="dxa"/>
            <w:vAlign w:val="center"/>
          </w:tcPr>
          <w:p>
            <w:pPr>
              <w:pStyle w:val="0"/>
              <w:jc w:val="center"/>
            </w:pPr>
            <w:hyperlink w:history="0" r:id="rId246" w:tooltip="Решение Коллегии Евразийской экономической комиссии от 31.01.2023 N 13 &quot;Об установлении ставки ввозной таможенной пошлины Единого таможенного тарифа Евразийского экономического союза в отношении фольги для тиснения&quot; {КонсультантПлюс}">
              <w:r>
                <w:rPr>
                  <w:sz w:val="20"/>
                  <w:color w:val="0000ff"/>
                </w:rPr>
                <w:t xml:space="preserve">Решение</w:t>
              </w:r>
            </w:hyperlink>
            <w:r>
              <w:rPr>
                <w:sz w:val="20"/>
              </w:rPr>
              <w:t xml:space="preserve"> Коллегии ЕЭК от 31.01.2023 N 13</w:t>
            </w:r>
          </w:p>
        </w:tc>
        <w:tc>
          <w:tcPr>
            <w:tcW w:w="2154" w:type="dxa"/>
            <w:vAlign w:val="center"/>
          </w:tcPr>
          <w:p>
            <w:pPr>
              <w:pStyle w:val="0"/>
              <w:jc w:val="center"/>
            </w:pPr>
            <w:r>
              <w:rPr>
                <w:sz w:val="20"/>
              </w:rPr>
              <w:t xml:space="preserve">Фольга для тиснения</w:t>
            </w:r>
          </w:p>
        </w:tc>
        <w:tc>
          <w:tcPr>
            <w:tcW w:w="4592" w:type="dxa"/>
            <w:vAlign w:val="center"/>
          </w:tcPr>
          <w:p>
            <w:pPr>
              <w:pStyle w:val="0"/>
              <w:jc w:val="both"/>
            </w:pPr>
            <w:r>
              <w:rPr>
                <w:sz w:val="20"/>
              </w:rPr>
              <w:t xml:space="preserve">Установление нулевой ставки ввозной таможенной пошлины сроком с 03.03.2023 по 31.03.2026 включительно.</w:t>
            </w:r>
          </w:p>
        </w:tc>
      </w:tr>
      <w:tr>
        <w:tc>
          <w:tcPr>
            <w:tcW w:w="510" w:type="dxa"/>
            <w:vAlign w:val="center"/>
          </w:tcPr>
          <w:p>
            <w:pPr>
              <w:pStyle w:val="0"/>
              <w:jc w:val="center"/>
            </w:pPr>
            <w:r>
              <w:rPr>
                <w:sz w:val="20"/>
              </w:rPr>
              <w:t xml:space="preserve">56</w:t>
            </w:r>
          </w:p>
        </w:tc>
        <w:tc>
          <w:tcPr>
            <w:tcW w:w="1814" w:type="dxa"/>
            <w:vAlign w:val="center"/>
          </w:tcPr>
          <w:p>
            <w:pPr>
              <w:pStyle w:val="0"/>
              <w:jc w:val="center"/>
            </w:pPr>
            <w:hyperlink w:history="0" r:id="rId247" w:tooltip="Решение Коллегии Евразийской экономической комиссии от 07.02.2023 N 16 &quot;Об установлении ставки ввозной таможенной пошлины Единого таможенного тарифа Евразийского экономического союза в отношении отдельных видов контейнеров&quot; {КонсультантПлюс}">
              <w:r>
                <w:rPr>
                  <w:sz w:val="20"/>
                  <w:color w:val="0000ff"/>
                </w:rPr>
                <w:t xml:space="preserve">Решение</w:t>
              </w:r>
            </w:hyperlink>
            <w:r>
              <w:rPr>
                <w:sz w:val="20"/>
              </w:rPr>
              <w:t xml:space="preserve"> Коллегии ЕЭК от 07.02.2023 N 16</w:t>
            </w:r>
          </w:p>
        </w:tc>
        <w:tc>
          <w:tcPr>
            <w:tcW w:w="2154" w:type="dxa"/>
            <w:vAlign w:val="center"/>
          </w:tcPr>
          <w:p>
            <w:pPr>
              <w:pStyle w:val="0"/>
              <w:jc w:val="center"/>
            </w:pPr>
            <w:r>
              <w:rPr>
                <w:sz w:val="20"/>
              </w:rPr>
              <w:t xml:space="preserve">Отдельные виды контейнеров</w:t>
            </w:r>
          </w:p>
        </w:tc>
        <w:tc>
          <w:tcPr>
            <w:tcW w:w="4592" w:type="dxa"/>
            <w:vAlign w:val="center"/>
          </w:tcPr>
          <w:p>
            <w:pPr>
              <w:pStyle w:val="0"/>
              <w:jc w:val="both"/>
            </w:pPr>
            <w:r>
              <w:rPr>
                <w:sz w:val="20"/>
              </w:rPr>
              <w:t xml:space="preserve">Продление нулевой ставки ввозной таможенной пошлины сроком с 01.03.2023 по 31.12.2023 включительно.</w:t>
            </w:r>
          </w:p>
        </w:tc>
      </w:tr>
      <w:tr>
        <w:tc>
          <w:tcPr>
            <w:tcW w:w="510" w:type="dxa"/>
            <w:vAlign w:val="center"/>
          </w:tcPr>
          <w:p>
            <w:pPr>
              <w:pStyle w:val="0"/>
              <w:jc w:val="center"/>
            </w:pPr>
            <w:r>
              <w:rPr>
                <w:sz w:val="20"/>
              </w:rPr>
              <w:t xml:space="preserve">57</w:t>
            </w:r>
          </w:p>
        </w:tc>
        <w:tc>
          <w:tcPr>
            <w:tcW w:w="1814" w:type="dxa"/>
            <w:vAlign w:val="center"/>
          </w:tcPr>
          <w:p>
            <w:pPr>
              <w:pStyle w:val="0"/>
              <w:jc w:val="center"/>
            </w:pPr>
            <w:hyperlink w:history="0" r:id="rId248" w:tooltip="Решение Коллегии Евразийской экономической комиссии от 11.04.2023 N 47 &quot;О внесении изменений в единую Товарную номенклатуру внешнеэкономической деятельности Евразийского экономического союза и Единый таможенный тариф Евразийского экономического союза в отношении отдельных видов машин и механизмов&quot; {КонсультантПлюс}">
              <w:r>
                <w:rPr>
                  <w:sz w:val="20"/>
                  <w:color w:val="0000ff"/>
                </w:rPr>
                <w:t xml:space="preserve">Решение</w:t>
              </w:r>
            </w:hyperlink>
            <w:r>
              <w:rPr>
                <w:sz w:val="20"/>
              </w:rPr>
              <w:t xml:space="preserve"> Коллегии ЕЭК от 11.04.2023 N 47</w:t>
            </w:r>
          </w:p>
        </w:tc>
        <w:tc>
          <w:tcPr>
            <w:tcW w:w="2154" w:type="dxa"/>
            <w:vAlign w:val="center"/>
          </w:tcPr>
          <w:p>
            <w:pPr>
              <w:pStyle w:val="0"/>
              <w:jc w:val="center"/>
            </w:pPr>
            <w:r>
              <w:rPr>
                <w:sz w:val="20"/>
              </w:rPr>
              <w:t xml:space="preserve">Отдельные виды машин и механизмов</w:t>
            </w:r>
          </w:p>
        </w:tc>
        <w:tc>
          <w:tcPr>
            <w:tcW w:w="4592" w:type="dxa"/>
            <w:vAlign w:val="center"/>
          </w:tcPr>
          <w:p>
            <w:pPr>
              <w:pStyle w:val="0"/>
              <w:jc w:val="both"/>
            </w:pPr>
            <w:r>
              <w:rPr>
                <w:sz w:val="20"/>
              </w:rPr>
              <w:t xml:space="preserve">Внесение изменений в </w:t>
            </w:r>
            <w:hyperlink w:history="0" r:id="rId249"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ТН</w:t>
              </w:r>
            </w:hyperlink>
            <w:r>
              <w:rPr>
                <w:sz w:val="20"/>
              </w:rPr>
              <w:t xml:space="preserve"> ВЭД ЕАЭС без изменений размера ставок ввозных таможенных пошлин</w:t>
            </w:r>
          </w:p>
        </w:tc>
      </w:tr>
      <w:tr>
        <w:tc>
          <w:tcPr>
            <w:gridSpan w:val="4"/>
            <w:tcW w:w="9070" w:type="dxa"/>
            <w:vAlign w:val="center"/>
          </w:tcPr>
          <w:p>
            <w:pPr>
              <w:pStyle w:val="0"/>
              <w:outlineLvl w:val="1"/>
              <w:jc w:val="center"/>
            </w:pPr>
            <w:r>
              <w:rPr>
                <w:sz w:val="20"/>
              </w:rPr>
              <w:t xml:space="preserve">Постановления Правительства Российской Федерации</w:t>
            </w:r>
          </w:p>
        </w:tc>
      </w:tr>
      <w:tr>
        <w:tc>
          <w:tcPr>
            <w:tcW w:w="510" w:type="dxa"/>
            <w:vAlign w:val="center"/>
          </w:tcPr>
          <w:p>
            <w:pPr>
              <w:pStyle w:val="0"/>
              <w:jc w:val="center"/>
            </w:pPr>
            <w:r>
              <w:rPr>
                <w:sz w:val="20"/>
              </w:rPr>
              <w:t xml:space="preserve">58</w:t>
            </w:r>
          </w:p>
        </w:tc>
        <w:tc>
          <w:tcPr>
            <w:tcW w:w="1814" w:type="dxa"/>
            <w:vAlign w:val="center"/>
          </w:tcPr>
          <w:p>
            <w:pPr>
              <w:pStyle w:val="0"/>
              <w:jc w:val="center"/>
            </w:pPr>
            <w:hyperlink w:history="0" r:id="rId250" w:tooltip="Постановление Правительства РФ от 31.03.2022 N 531 &quot;О внесении изменений в ставки вывозных таможенных пошлин на товары, вывозимые из Российской Федерации за пределы таможенной территории Евразийского экономического союза&quot; {КонсультантПлюс}">
              <w:r>
                <w:rPr>
                  <w:sz w:val="20"/>
                  <w:color w:val="0000ff"/>
                </w:rPr>
                <w:t xml:space="preserve">Постановление</w:t>
              </w:r>
            </w:hyperlink>
            <w:r>
              <w:rPr>
                <w:sz w:val="20"/>
              </w:rPr>
              <w:t xml:space="preserve"> Правительства РФ от 31.03.2022 N 531</w:t>
            </w:r>
          </w:p>
        </w:tc>
        <w:tc>
          <w:tcPr>
            <w:tcW w:w="2154" w:type="dxa"/>
            <w:vAlign w:val="center"/>
          </w:tcPr>
          <w:p>
            <w:pPr>
              <w:pStyle w:val="0"/>
              <w:jc w:val="center"/>
            </w:pPr>
            <w:r>
              <w:rPr>
                <w:sz w:val="20"/>
              </w:rPr>
              <w:t xml:space="preserve">Лен масличный</w:t>
            </w:r>
          </w:p>
        </w:tc>
        <w:tc>
          <w:tcPr>
            <w:tcW w:w="4592" w:type="dxa"/>
            <w:vAlign w:val="center"/>
          </w:tcPr>
          <w:p>
            <w:pPr>
              <w:pStyle w:val="0"/>
              <w:jc w:val="both"/>
            </w:pPr>
            <w:r>
              <w:rPr>
                <w:sz w:val="20"/>
              </w:rPr>
              <w:t xml:space="preserve">Установление ставки вывозной таможенной пошлины в размере 20%, но не менее 100 долларов США за 1000 кг сроком с 01.05.2022 по 31.08.2022 включительно.</w:t>
            </w:r>
          </w:p>
        </w:tc>
      </w:tr>
      <w:tr>
        <w:tc>
          <w:tcPr>
            <w:tcW w:w="510" w:type="dxa"/>
            <w:vAlign w:val="center"/>
          </w:tcPr>
          <w:p>
            <w:pPr>
              <w:pStyle w:val="0"/>
              <w:jc w:val="center"/>
            </w:pPr>
            <w:r>
              <w:rPr>
                <w:sz w:val="20"/>
              </w:rPr>
              <w:t xml:space="preserve">59</w:t>
            </w:r>
          </w:p>
        </w:tc>
        <w:tc>
          <w:tcPr>
            <w:tcW w:w="1814" w:type="dxa"/>
            <w:vAlign w:val="center"/>
          </w:tcPr>
          <w:p>
            <w:pPr>
              <w:pStyle w:val="0"/>
              <w:jc w:val="center"/>
            </w:pPr>
            <w:hyperlink w:history="0" r:id="rId251" w:tooltip="Постановление Правительства РФ от 31.03.2022 N 532 (ред. от 29.08.2024) &quot;О ставке вывозной таможенной пошлины на подсолнечный шрот, вывозимый из Российской Федерации за пределы таможенной территории Евразийского экономического союза&quot; (вместе с &quot;Положением о расчете и применении ставки вывозной таможенной пошлины на подсолнечный шрот, вывозимый из Российской Федерации за пределы таможенной территории Евразийского экономического союза&quot;) {КонсультантПлюс}">
              <w:r>
                <w:rPr>
                  <w:sz w:val="20"/>
                  <w:color w:val="0000ff"/>
                </w:rPr>
                <w:t xml:space="preserve">Постановление</w:t>
              </w:r>
            </w:hyperlink>
            <w:r>
              <w:rPr>
                <w:sz w:val="20"/>
              </w:rPr>
              <w:t xml:space="preserve"> Правительства РФ от 31.03.2022 N 532</w:t>
            </w:r>
          </w:p>
        </w:tc>
        <w:tc>
          <w:tcPr>
            <w:tcW w:w="2154" w:type="dxa"/>
            <w:vAlign w:val="center"/>
          </w:tcPr>
          <w:p>
            <w:pPr>
              <w:pStyle w:val="0"/>
              <w:jc w:val="center"/>
            </w:pPr>
            <w:r>
              <w:rPr>
                <w:sz w:val="20"/>
              </w:rPr>
              <w:t xml:space="preserve">Подсолнечный шрот</w:t>
            </w:r>
          </w:p>
        </w:tc>
        <w:tc>
          <w:tcPr>
            <w:tcW w:w="4592" w:type="dxa"/>
            <w:vAlign w:val="center"/>
          </w:tcPr>
          <w:p>
            <w:pPr>
              <w:pStyle w:val="0"/>
              <w:jc w:val="both"/>
            </w:pPr>
            <w:r>
              <w:rPr>
                <w:sz w:val="20"/>
              </w:rPr>
              <w:t xml:space="preserve">Установление ставки вывозной таможенной пошлины на товар, вывозимый из России за пределы таможенной территории ЕАЭС, которая рассчитывается по определенной формуле сроком с 01.05.2022 по 31.08.2022 включительно.</w:t>
            </w:r>
          </w:p>
        </w:tc>
      </w:tr>
      <w:tr>
        <w:tc>
          <w:tcPr>
            <w:tcW w:w="510" w:type="dxa"/>
            <w:vAlign w:val="center"/>
          </w:tcPr>
          <w:p>
            <w:pPr>
              <w:pStyle w:val="0"/>
              <w:jc w:val="center"/>
            </w:pPr>
            <w:r>
              <w:rPr>
                <w:sz w:val="20"/>
              </w:rPr>
              <w:t xml:space="preserve">60</w:t>
            </w:r>
          </w:p>
        </w:tc>
        <w:tc>
          <w:tcPr>
            <w:tcW w:w="1814" w:type="dxa"/>
            <w:vAlign w:val="center"/>
          </w:tcPr>
          <w:p>
            <w:pPr>
              <w:pStyle w:val="0"/>
              <w:jc w:val="center"/>
            </w:pPr>
            <w:hyperlink w:history="0" r:id="rId252" w:tooltip="Постановление Правительства РФ от 30.07.2022 N 1358 &quot;О введении тарифной квоты на вывоз за пределы территории Российской Федерации отходов и лома черных металлов в государства, не являющиеся членами Евразийского экономического союза, и внесении изменений в ставки вывозных таможенных пошлин на товары, вывозимые из Российской Федерации за пределы таможенной территории Евразийского экономического союза&quot; (вместе с &quot;Правилами распределения между участниками внешнеторговой деятельности тарифной квоты в отношении  {КонсультантПлюс}">
              <w:r>
                <w:rPr>
                  <w:sz w:val="20"/>
                  <w:color w:val="0000ff"/>
                </w:rPr>
                <w:t xml:space="preserve">Постановление</w:t>
              </w:r>
            </w:hyperlink>
            <w:r>
              <w:rPr>
                <w:sz w:val="20"/>
              </w:rPr>
              <w:t xml:space="preserve"> Правительства РФ от 30.07.2022 N 1358</w:t>
            </w:r>
          </w:p>
        </w:tc>
        <w:tc>
          <w:tcPr>
            <w:tcW w:w="2154" w:type="dxa"/>
            <w:vAlign w:val="center"/>
          </w:tcPr>
          <w:p>
            <w:pPr>
              <w:pStyle w:val="0"/>
              <w:jc w:val="center"/>
            </w:pPr>
            <w:r>
              <w:rPr>
                <w:sz w:val="20"/>
              </w:rPr>
              <w:t xml:space="preserve">Отходы и лом черных металлов</w:t>
            </w:r>
          </w:p>
        </w:tc>
        <w:tc>
          <w:tcPr>
            <w:tcW w:w="4592" w:type="dxa"/>
            <w:vAlign w:val="center"/>
          </w:tcPr>
          <w:p>
            <w:pPr>
              <w:pStyle w:val="0"/>
              <w:jc w:val="both"/>
            </w:pPr>
            <w:r>
              <w:rPr>
                <w:sz w:val="20"/>
              </w:rPr>
              <w:t xml:space="preserve">Установление сроком с 01.08.2022 по 31.12.2022 г.:</w:t>
            </w:r>
          </w:p>
          <w:p>
            <w:pPr>
              <w:pStyle w:val="0"/>
              <w:jc w:val="both"/>
            </w:pPr>
            <w:r>
              <w:rPr>
                <w:sz w:val="20"/>
              </w:rPr>
              <w:t xml:space="preserve">- внутриквотной ставки вывозной таможенной пошлины в размере 5%, но не менее 100 евро за тонну в объеме и внеквотной ставки вывозной таможенной пошлины - в размере 5%, но не менее 290 евро за тонну в отношении лома и отходов черных металлов в объеме 1 350 тыс. тонн;</w:t>
            </w:r>
          </w:p>
          <w:p>
            <w:pPr>
              <w:pStyle w:val="0"/>
              <w:jc w:val="both"/>
            </w:pPr>
            <w:r>
              <w:rPr>
                <w:sz w:val="20"/>
              </w:rPr>
              <w:t xml:space="preserve">- ставка вывозной таможенной пошлины в размере 5%, но не менее 290 евро за тонну в отношении лома и отходов коррозионностойкой и легированной стали.</w:t>
            </w:r>
          </w:p>
        </w:tc>
      </w:tr>
      <w:tr>
        <w:tc>
          <w:tcPr>
            <w:tcW w:w="510" w:type="dxa"/>
            <w:vAlign w:val="center"/>
          </w:tcPr>
          <w:p>
            <w:pPr>
              <w:pStyle w:val="0"/>
              <w:jc w:val="center"/>
            </w:pPr>
            <w:r>
              <w:rPr>
                <w:sz w:val="20"/>
              </w:rPr>
              <w:t xml:space="preserve">61</w:t>
            </w:r>
          </w:p>
        </w:tc>
        <w:tc>
          <w:tcPr>
            <w:tcW w:w="1814" w:type="dxa"/>
            <w:vAlign w:val="center"/>
          </w:tcPr>
          <w:p>
            <w:pPr>
              <w:pStyle w:val="0"/>
              <w:jc w:val="center"/>
            </w:pPr>
            <w:hyperlink w:history="0" r:id="rId253" w:tooltip="Постановление Правительства РФ от 02.11.2022 N 1970 &quot;О распределении объема тарифной квоты в отношении отдельных видов риса длиннозерного, происходящего из Социалистической Республики Вьетнам, в 2023 году&quot; {КонсультантПлюс}">
              <w:r>
                <w:rPr>
                  <w:sz w:val="20"/>
                  <w:color w:val="0000ff"/>
                </w:rPr>
                <w:t xml:space="preserve">Постановление</w:t>
              </w:r>
            </w:hyperlink>
            <w:r>
              <w:rPr>
                <w:sz w:val="20"/>
              </w:rPr>
              <w:t xml:space="preserve"> Правительства РФ от 02.11.2022 N 1970</w:t>
            </w:r>
          </w:p>
        </w:tc>
        <w:tc>
          <w:tcPr>
            <w:tcW w:w="2154" w:type="dxa"/>
            <w:vAlign w:val="center"/>
          </w:tcPr>
          <w:p>
            <w:pPr>
              <w:pStyle w:val="0"/>
              <w:jc w:val="center"/>
            </w:pPr>
            <w:r>
              <w:rPr>
                <w:sz w:val="20"/>
              </w:rPr>
              <w:t xml:space="preserve">Отдельные виды риса длиннозерного</w:t>
            </w:r>
          </w:p>
        </w:tc>
        <w:tc>
          <w:tcPr>
            <w:tcW w:w="4592" w:type="dxa"/>
            <w:vAlign w:val="center"/>
          </w:tcPr>
          <w:p>
            <w:pPr>
              <w:pStyle w:val="0"/>
              <w:jc w:val="both"/>
            </w:pPr>
            <w:r>
              <w:rPr>
                <w:sz w:val="20"/>
              </w:rPr>
              <w:t xml:space="preserve">Установлен механизм распределения в 2023 году тарифной квоты в отношении товара, происходящего из Социалистической Республики Вьетнам, между участниками внешнеторговой деятельности.</w:t>
            </w:r>
          </w:p>
        </w:tc>
      </w:tr>
      <w:tr>
        <w:tc>
          <w:tcPr>
            <w:tcW w:w="510" w:type="dxa"/>
            <w:vAlign w:val="center"/>
          </w:tcPr>
          <w:p>
            <w:pPr>
              <w:pStyle w:val="0"/>
              <w:jc w:val="center"/>
            </w:pPr>
            <w:r>
              <w:rPr>
                <w:sz w:val="20"/>
              </w:rPr>
              <w:t xml:space="preserve">62</w:t>
            </w:r>
          </w:p>
        </w:tc>
        <w:tc>
          <w:tcPr>
            <w:tcW w:w="1814" w:type="dxa"/>
            <w:vAlign w:val="center"/>
          </w:tcPr>
          <w:p>
            <w:pPr>
              <w:pStyle w:val="0"/>
              <w:jc w:val="center"/>
            </w:pPr>
            <w:hyperlink w:history="0" r:id="rId254" w:tooltip="Постановление Правительства РФ от 05.11.2022 N 1991 &quot;О распределении объемов тарифных квот в отношении отдельных видов товаров, происходящих из Республики Сербии, в 2023 году&quot; {КонсультантПлюс}">
              <w:r>
                <w:rPr>
                  <w:sz w:val="20"/>
                  <w:color w:val="0000ff"/>
                </w:rPr>
                <w:t xml:space="preserve">Постановление</w:t>
              </w:r>
            </w:hyperlink>
            <w:r>
              <w:rPr>
                <w:sz w:val="20"/>
              </w:rPr>
              <w:t xml:space="preserve"> Правительства РФ от 05.11.2022 N 1991</w:t>
            </w:r>
          </w:p>
        </w:tc>
        <w:tc>
          <w:tcPr>
            <w:tcW w:w="2154" w:type="dxa"/>
            <w:vAlign w:val="center"/>
          </w:tcPr>
          <w:p>
            <w:pPr>
              <w:pStyle w:val="0"/>
              <w:jc w:val="center"/>
            </w:pPr>
            <w:r>
              <w:rPr>
                <w:sz w:val="20"/>
              </w:rPr>
              <w:t xml:space="preserve">Отдельные виды товаров</w:t>
            </w:r>
          </w:p>
        </w:tc>
        <w:tc>
          <w:tcPr>
            <w:tcW w:w="4592" w:type="dxa"/>
            <w:vAlign w:val="center"/>
          </w:tcPr>
          <w:p>
            <w:pPr>
              <w:pStyle w:val="0"/>
              <w:jc w:val="both"/>
            </w:pPr>
            <w:r>
              <w:rPr>
                <w:sz w:val="20"/>
              </w:rPr>
              <w:t xml:space="preserve">Установлен механизм распределения в 2023 году тарифных квот в отношении отдельных видов товаров, происходящих из Республики Сербии, между участниками внешнеторговой деятельности.</w:t>
            </w:r>
          </w:p>
        </w:tc>
      </w:tr>
      <w:tr>
        <w:tc>
          <w:tcPr>
            <w:tcW w:w="510" w:type="dxa"/>
            <w:vAlign w:val="center"/>
          </w:tcPr>
          <w:p>
            <w:pPr>
              <w:pStyle w:val="0"/>
              <w:jc w:val="center"/>
            </w:pPr>
            <w:r>
              <w:rPr>
                <w:sz w:val="20"/>
              </w:rPr>
              <w:t xml:space="preserve">63</w:t>
            </w:r>
          </w:p>
        </w:tc>
        <w:tc>
          <w:tcPr>
            <w:tcW w:w="1814" w:type="dxa"/>
            <w:vAlign w:val="center"/>
          </w:tcPr>
          <w:p>
            <w:pPr>
              <w:pStyle w:val="0"/>
              <w:jc w:val="center"/>
            </w:pPr>
            <w:hyperlink w:history="0" r:id="rId255" w:tooltip="Постановление Правительства РФ от 10.11.2022 N 2032 &quot;О распределении объема тарифной квоты в отношении молочной сыворотки в 2023 году&quot; {КонсультантПлюс}">
              <w:r>
                <w:rPr>
                  <w:sz w:val="20"/>
                  <w:color w:val="0000ff"/>
                </w:rPr>
                <w:t xml:space="preserve">Постановление</w:t>
              </w:r>
            </w:hyperlink>
            <w:r>
              <w:rPr>
                <w:sz w:val="20"/>
              </w:rPr>
              <w:t xml:space="preserve"> Правительства РФ от 10.11.2022 N 2032</w:t>
            </w:r>
          </w:p>
        </w:tc>
        <w:tc>
          <w:tcPr>
            <w:tcW w:w="2154" w:type="dxa"/>
            <w:vAlign w:val="center"/>
          </w:tcPr>
          <w:p>
            <w:pPr>
              <w:pStyle w:val="0"/>
              <w:jc w:val="center"/>
            </w:pPr>
            <w:r>
              <w:rPr>
                <w:sz w:val="20"/>
              </w:rPr>
              <w:t xml:space="preserve">Молочная сыворотка</w:t>
            </w:r>
          </w:p>
        </w:tc>
        <w:tc>
          <w:tcPr>
            <w:tcW w:w="4592" w:type="dxa"/>
            <w:vAlign w:val="center"/>
          </w:tcPr>
          <w:p>
            <w:pPr>
              <w:pStyle w:val="0"/>
              <w:jc w:val="both"/>
            </w:pPr>
            <w:r>
              <w:rPr>
                <w:sz w:val="20"/>
              </w:rPr>
              <w:t xml:space="preserve">Распределение объемов тарифных квот для Российской Федерации в 2023 году в отношении молочной сыворотки между участниками внешнеторговой деятельности.</w:t>
            </w:r>
          </w:p>
        </w:tc>
      </w:tr>
      <w:tr>
        <w:tc>
          <w:tcPr>
            <w:tcW w:w="510" w:type="dxa"/>
            <w:vAlign w:val="center"/>
          </w:tcPr>
          <w:p>
            <w:pPr>
              <w:pStyle w:val="0"/>
              <w:jc w:val="center"/>
            </w:pPr>
            <w:r>
              <w:rPr>
                <w:sz w:val="20"/>
              </w:rPr>
              <w:t xml:space="preserve">64</w:t>
            </w:r>
          </w:p>
        </w:tc>
        <w:tc>
          <w:tcPr>
            <w:tcW w:w="1814" w:type="dxa"/>
            <w:vAlign w:val="center"/>
          </w:tcPr>
          <w:p>
            <w:pPr>
              <w:pStyle w:val="0"/>
              <w:jc w:val="center"/>
            </w:pPr>
            <w:hyperlink w:history="0" r:id="rId256" w:tooltip="Постановление Правительства РФ от 21.12.2022 N 2367 (ред. от 31.10.2023) &quot;О распределении объемов тарифных квот в отношении мяса крупного рогатого скота и мяса домашней птицы в 2023 году&quot; {КонсультантПлюс}">
              <w:r>
                <w:rPr>
                  <w:sz w:val="20"/>
                  <w:color w:val="0000ff"/>
                </w:rPr>
                <w:t xml:space="preserve">Постановление</w:t>
              </w:r>
            </w:hyperlink>
            <w:r>
              <w:rPr>
                <w:sz w:val="20"/>
              </w:rPr>
              <w:t xml:space="preserve"> Правительства РФ от 21.12.2022 N 2367</w:t>
            </w:r>
          </w:p>
        </w:tc>
        <w:tc>
          <w:tcPr>
            <w:tcW w:w="2154" w:type="dxa"/>
            <w:vAlign w:val="center"/>
          </w:tcPr>
          <w:p>
            <w:pPr>
              <w:pStyle w:val="0"/>
              <w:jc w:val="center"/>
            </w:pPr>
            <w:r>
              <w:rPr>
                <w:sz w:val="20"/>
              </w:rPr>
              <w:t xml:space="preserve">Мясо крупного рогатого скота и домашней птицы</w:t>
            </w:r>
          </w:p>
        </w:tc>
        <w:tc>
          <w:tcPr>
            <w:tcW w:w="4592" w:type="dxa"/>
            <w:vAlign w:val="center"/>
          </w:tcPr>
          <w:p>
            <w:pPr>
              <w:pStyle w:val="0"/>
              <w:jc w:val="both"/>
            </w:pPr>
            <w:r>
              <w:rPr>
                <w:sz w:val="20"/>
              </w:rPr>
              <w:t xml:space="preserve">Распределение объемов тарифных квот для Российской Федерации между странами-поставщиками с учетом международных обязательств Российской Федерации в рамках членства в ВТО, а также установление механизма распределения страновых тарифных квот Коста-Рики и других стран ВТО (за исключением ЕС и США) между участниками внешнеторговой деятельности.</w:t>
            </w:r>
          </w:p>
        </w:tc>
      </w:tr>
      <w:tr>
        <w:tc>
          <w:tcPr>
            <w:tcW w:w="510" w:type="dxa"/>
            <w:vAlign w:val="center"/>
          </w:tcPr>
          <w:p>
            <w:pPr>
              <w:pStyle w:val="0"/>
              <w:jc w:val="center"/>
            </w:pPr>
            <w:r>
              <w:rPr>
                <w:sz w:val="20"/>
              </w:rPr>
              <w:t xml:space="preserve">65</w:t>
            </w:r>
          </w:p>
        </w:tc>
        <w:tc>
          <w:tcPr>
            <w:tcW w:w="1814" w:type="dxa"/>
            <w:vAlign w:val="center"/>
          </w:tcPr>
          <w:p>
            <w:pPr>
              <w:pStyle w:val="0"/>
              <w:jc w:val="center"/>
            </w:pPr>
            <w:hyperlink w:history="0" r:id="rId257" w:tooltip="Постановление Правительства РФ от 23.12.2022 N 2403 &quot;О внесении изменений в постановление Правительства Российской Федерации от 29 марта 2013 г. N 276&quot; {КонсультантПлюс}">
              <w:r>
                <w:rPr>
                  <w:sz w:val="20"/>
                  <w:color w:val="0000ff"/>
                </w:rPr>
                <w:t xml:space="preserve">Постановление</w:t>
              </w:r>
            </w:hyperlink>
            <w:r>
              <w:rPr>
                <w:sz w:val="20"/>
              </w:rPr>
              <w:t xml:space="preserve"> Правительства РФ от 23.12.2022 N 2403</w:t>
            </w:r>
          </w:p>
        </w:tc>
        <w:tc>
          <w:tcPr>
            <w:tcW w:w="2154" w:type="dxa"/>
            <w:vAlign w:val="center"/>
          </w:tcPr>
          <w:p>
            <w:pPr>
              <w:pStyle w:val="0"/>
              <w:jc w:val="center"/>
            </w:pPr>
            <w:r>
              <w:rPr>
                <w:sz w:val="20"/>
              </w:rPr>
              <w:t xml:space="preserve">Отдельные виды нефтепродуктов</w:t>
            </w:r>
          </w:p>
        </w:tc>
        <w:tc>
          <w:tcPr>
            <w:tcW w:w="4592" w:type="dxa"/>
            <w:vAlign w:val="center"/>
          </w:tcPr>
          <w:p>
            <w:pPr>
              <w:pStyle w:val="0"/>
              <w:jc w:val="both"/>
            </w:pPr>
            <w:r>
              <w:rPr>
                <w:sz w:val="20"/>
              </w:rPr>
              <w:t xml:space="preserve">Установление ставок вывозных таможенных пошлин в размере 100% от ставки вывозной таможенной пошлины на нефть сырую сроком с 01.01.2023 по 30.06.2023</w:t>
            </w:r>
          </w:p>
        </w:tc>
      </w:tr>
      <w:tr>
        <w:tc>
          <w:tcPr>
            <w:tcW w:w="510" w:type="dxa"/>
            <w:vAlign w:val="center"/>
          </w:tcPr>
          <w:p>
            <w:pPr>
              <w:pStyle w:val="0"/>
              <w:jc w:val="center"/>
            </w:pPr>
            <w:r>
              <w:rPr>
                <w:sz w:val="20"/>
              </w:rPr>
              <w:t xml:space="preserve">66</w:t>
            </w:r>
          </w:p>
        </w:tc>
        <w:tc>
          <w:tcPr>
            <w:tcW w:w="1814" w:type="dxa"/>
            <w:vAlign w:val="center"/>
          </w:tcPr>
          <w:p>
            <w:pPr>
              <w:pStyle w:val="0"/>
              <w:jc w:val="center"/>
            </w:pPr>
            <w:hyperlink w:history="0" r:id="rId258" w:tooltip="Постановление Правительства РФ от 28.12.2022 N 2484 &quot;О внесении изменений в ставки вывозных таможенных пошлин на товары, вывозимые из Российской Федерации за пределы таможенной территории Евразийского экономического союза&quot; {КонсультантПлюс}">
              <w:r>
                <w:rPr>
                  <w:sz w:val="20"/>
                  <w:color w:val="0000ff"/>
                </w:rPr>
                <w:t xml:space="preserve">Постановление</w:t>
              </w:r>
            </w:hyperlink>
            <w:r>
              <w:rPr>
                <w:sz w:val="20"/>
              </w:rPr>
              <w:t xml:space="preserve"> Правительства РФ от 28.12.2022 N 2484</w:t>
            </w:r>
          </w:p>
        </w:tc>
        <w:tc>
          <w:tcPr>
            <w:tcW w:w="2154" w:type="dxa"/>
            <w:vAlign w:val="center"/>
          </w:tcPr>
          <w:p>
            <w:pPr>
              <w:pStyle w:val="0"/>
              <w:jc w:val="center"/>
            </w:pPr>
            <w:r>
              <w:rPr>
                <w:sz w:val="20"/>
              </w:rPr>
              <w:t xml:space="preserve">Отдельные виды лесоматериалов влажностью более 22%</w:t>
            </w:r>
          </w:p>
        </w:tc>
        <w:tc>
          <w:tcPr>
            <w:tcW w:w="4592" w:type="dxa"/>
            <w:vAlign w:val="center"/>
          </w:tcPr>
          <w:p>
            <w:pPr>
              <w:pStyle w:val="0"/>
              <w:jc w:val="both"/>
            </w:pPr>
            <w:r>
              <w:rPr>
                <w:sz w:val="20"/>
              </w:rPr>
              <w:t xml:space="preserve">Продление срока действия ставок вывозных таможенных пошлин сроком с 01.01.2023 по 31.12.2025 включительно.</w:t>
            </w:r>
          </w:p>
        </w:tc>
      </w:tr>
      <w:tr>
        <w:tc>
          <w:tcPr>
            <w:tcW w:w="510" w:type="dxa"/>
            <w:vAlign w:val="center"/>
          </w:tcPr>
          <w:p>
            <w:pPr>
              <w:pStyle w:val="0"/>
              <w:jc w:val="center"/>
            </w:pPr>
            <w:r>
              <w:rPr>
                <w:sz w:val="20"/>
              </w:rPr>
              <w:t xml:space="preserve">67</w:t>
            </w:r>
          </w:p>
        </w:tc>
        <w:tc>
          <w:tcPr>
            <w:tcW w:w="1814" w:type="dxa"/>
            <w:vAlign w:val="center"/>
          </w:tcPr>
          <w:p>
            <w:pPr>
              <w:pStyle w:val="0"/>
              <w:jc w:val="center"/>
            </w:pPr>
            <w:hyperlink w:history="0" r:id="rId259" w:tooltip="Постановление Правительства РФ от 25.05.2023 N 814 (ред. от 23.01.2024) &quot;О внесении изменений в некоторые акты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25.05.2023 N 814</w:t>
            </w:r>
          </w:p>
        </w:tc>
        <w:tc>
          <w:tcPr>
            <w:tcW w:w="2154" w:type="dxa"/>
            <w:vAlign w:val="center"/>
          </w:tcPr>
          <w:p>
            <w:pPr>
              <w:pStyle w:val="0"/>
              <w:jc w:val="center"/>
            </w:pPr>
            <w:r>
              <w:rPr>
                <w:sz w:val="20"/>
              </w:rPr>
              <w:t xml:space="preserve">Отдельные виды нефтепродуктов</w:t>
            </w:r>
          </w:p>
        </w:tc>
        <w:tc>
          <w:tcPr>
            <w:tcW w:w="4592" w:type="dxa"/>
            <w:vAlign w:val="center"/>
          </w:tcPr>
          <w:p>
            <w:pPr>
              <w:pStyle w:val="0"/>
              <w:jc w:val="both"/>
            </w:pPr>
            <w:r>
              <w:rPr>
                <w:sz w:val="20"/>
              </w:rPr>
              <w:t xml:space="preserve">Внесение изменений в методику расчета ставок вывозных таможенных пошлин.</w:t>
            </w:r>
          </w:p>
        </w:tc>
      </w:tr>
      <w:tr>
        <w:tc>
          <w:tcPr>
            <w:tcW w:w="510" w:type="dxa"/>
            <w:vAlign w:val="center"/>
          </w:tcPr>
          <w:p>
            <w:pPr>
              <w:pStyle w:val="0"/>
              <w:jc w:val="center"/>
            </w:pPr>
            <w:r>
              <w:rPr>
                <w:sz w:val="20"/>
              </w:rPr>
              <w:t xml:space="preserve">68</w:t>
            </w:r>
          </w:p>
        </w:tc>
        <w:tc>
          <w:tcPr>
            <w:tcW w:w="1814" w:type="dxa"/>
            <w:vAlign w:val="center"/>
          </w:tcPr>
          <w:p>
            <w:pPr>
              <w:pStyle w:val="0"/>
              <w:jc w:val="center"/>
            </w:pPr>
            <w:hyperlink w:history="0" r:id="rId260" w:tooltip="Постановление Правительства РФ от 27.05.2023 N 816 &quot;О внесении изменений в Положение о расчете и применении ставок вывозных таможенных пошлин на зерновые культуры, вывозимые из Российской Федерации за пределы государств - участников соглашений о Таможенном союзе&quot; {КонсультантПлюс}">
              <w:r>
                <w:rPr>
                  <w:sz w:val="20"/>
                  <w:color w:val="0000ff"/>
                </w:rPr>
                <w:t xml:space="preserve">Постановление</w:t>
              </w:r>
            </w:hyperlink>
            <w:r>
              <w:rPr>
                <w:sz w:val="20"/>
              </w:rPr>
              <w:t xml:space="preserve"> Правительства РФ от 27.05.2023 N 816</w:t>
            </w:r>
          </w:p>
        </w:tc>
        <w:tc>
          <w:tcPr>
            <w:tcW w:w="2154" w:type="dxa"/>
            <w:vAlign w:val="center"/>
          </w:tcPr>
          <w:p>
            <w:pPr>
              <w:pStyle w:val="0"/>
              <w:jc w:val="center"/>
            </w:pPr>
            <w:r>
              <w:rPr>
                <w:sz w:val="20"/>
              </w:rPr>
              <w:t xml:space="preserve">Пшеница и меслин, ячмень и кукуруза</w:t>
            </w:r>
          </w:p>
        </w:tc>
        <w:tc>
          <w:tcPr>
            <w:tcW w:w="4592" w:type="dxa"/>
            <w:vAlign w:val="center"/>
          </w:tcPr>
          <w:p>
            <w:pPr>
              <w:pStyle w:val="0"/>
              <w:jc w:val="both"/>
            </w:pPr>
            <w:r>
              <w:rPr>
                <w:sz w:val="20"/>
              </w:rPr>
              <w:t xml:space="preserve">Корректировка формулы расчета ставок вывозных таможенных пошлин.</w:t>
            </w:r>
          </w:p>
        </w:tc>
      </w:tr>
      <w:tr>
        <w:tc>
          <w:tcPr>
            <w:tcW w:w="510" w:type="dxa"/>
            <w:vAlign w:val="center"/>
          </w:tcPr>
          <w:p>
            <w:pPr>
              <w:pStyle w:val="0"/>
              <w:jc w:val="center"/>
            </w:pPr>
            <w:r>
              <w:rPr>
                <w:sz w:val="20"/>
              </w:rPr>
              <w:t xml:space="preserve">69</w:t>
            </w:r>
          </w:p>
        </w:tc>
        <w:tc>
          <w:tcPr>
            <w:tcW w:w="1814" w:type="dxa"/>
            <w:vAlign w:val="center"/>
          </w:tcPr>
          <w:p>
            <w:pPr>
              <w:pStyle w:val="0"/>
              <w:jc w:val="center"/>
            </w:pPr>
            <w:hyperlink w:history="0" r:id="rId261" w:tooltip="Постановление Правительства РФ от 15.06.2023 N 985 &quot;О внесении изменений в постановление Правительства Российской Федерации от 31 декабря 2021 г. N 2595&quot; {КонсультантПлюс}">
              <w:r>
                <w:rPr>
                  <w:sz w:val="20"/>
                  <w:color w:val="0000ff"/>
                </w:rPr>
                <w:t xml:space="preserve">Постановление</w:t>
              </w:r>
            </w:hyperlink>
            <w:r>
              <w:rPr>
                <w:sz w:val="20"/>
              </w:rPr>
              <w:t xml:space="preserve"> Правительства РФ от 15.06.2023 N 985</w:t>
            </w:r>
          </w:p>
        </w:tc>
        <w:tc>
          <w:tcPr>
            <w:tcW w:w="2154" w:type="dxa"/>
            <w:vAlign w:val="center"/>
          </w:tcPr>
          <w:p>
            <w:pPr>
              <w:pStyle w:val="0"/>
              <w:jc w:val="center"/>
            </w:pPr>
            <w:r>
              <w:rPr>
                <w:sz w:val="20"/>
              </w:rPr>
              <w:t xml:space="preserve">Пшеница и меслин, ячмень и кукуруза</w:t>
            </w:r>
          </w:p>
        </w:tc>
        <w:tc>
          <w:tcPr>
            <w:tcW w:w="4592" w:type="dxa"/>
            <w:vAlign w:val="center"/>
          </w:tcPr>
          <w:p>
            <w:pPr>
              <w:pStyle w:val="0"/>
              <w:jc w:val="both"/>
            </w:pPr>
            <w:r>
              <w:rPr>
                <w:sz w:val="20"/>
              </w:rPr>
              <w:t xml:space="preserve">Установление тарифных квот на экспорт в государства, не являющиеся членами ЕАЭС, в объеме 25,5 млн тонн сроком с 15.02.2023 по 30.06.2023 включительно.</w:t>
            </w:r>
          </w:p>
        </w:tc>
      </w:tr>
      <w:tr>
        <w:tc>
          <w:tcPr>
            <w:tcW w:w="510" w:type="dxa"/>
            <w:vAlign w:val="center"/>
          </w:tcPr>
          <w:p>
            <w:pPr>
              <w:pStyle w:val="0"/>
              <w:jc w:val="center"/>
            </w:pPr>
            <w:r>
              <w:rPr>
                <w:sz w:val="20"/>
              </w:rPr>
              <w:t xml:space="preserve">70</w:t>
            </w:r>
          </w:p>
        </w:tc>
        <w:tc>
          <w:tcPr>
            <w:tcW w:w="1814" w:type="dxa"/>
            <w:vAlign w:val="center"/>
          </w:tcPr>
          <w:p>
            <w:pPr>
              <w:pStyle w:val="0"/>
              <w:jc w:val="center"/>
            </w:pPr>
            <w:hyperlink w:history="0" r:id="rId262" w:tooltip="Постановление Правительства РФ от 24.06.2023 N 1032 &quot;О внесении изменений в методику расчета ставок вывозных таможенных пошлин на отдельные категории товаров, выработанных из нефти&quot; {КонсультантПлюс}">
              <w:r>
                <w:rPr>
                  <w:sz w:val="20"/>
                  <w:color w:val="0000ff"/>
                </w:rPr>
                <w:t xml:space="preserve">Постановление</w:t>
              </w:r>
            </w:hyperlink>
            <w:r>
              <w:rPr>
                <w:sz w:val="20"/>
              </w:rPr>
              <w:t xml:space="preserve"> Правительства РФ от 24.06.2023 N 1032</w:t>
            </w:r>
          </w:p>
        </w:tc>
        <w:tc>
          <w:tcPr>
            <w:tcW w:w="2154" w:type="dxa"/>
            <w:vAlign w:val="center"/>
          </w:tcPr>
          <w:p>
            <w:pPr>
              <w:pStyle w:val="0"/>
              <w:jc w:val="center"/>
            </w:pPr>
            <w:r>
              <w:rPr>
                <w:sz w:val="20"/>
              </w:rPr>
              <w:t xml:space="preserve">Отдельные виды нефтепродуктов</w:t>
            </w:r>
          </w:p>
        </w:tc>
        <w:tc>
          <w:tcPr>
            <w:tcW w:w="4592" w:type="dxa"/>
            <w:vAlign w:val="center"/>
          </w:tcPr>
          <w:p>
            <w:pPr>
              <w:pStyle w:val="0"/>
              <w:jc w:val="both"/>
            </w:pPr>
            <w:r>
              <w:rPr>
                <w:sz w:val="20"/>
              </w:rPr>
              <w:t xml:space="preserve">Внесение изменений в методику расчета ставок вывозных таможенных пошлин.</w:t>
            </w:r>
          </w:p>
        </w:tc>
      </w:tr>
      <w:tr>
        <w:tc>
          <w:tcPr>
            <w:tcW w:w="510" w:type="dxa"/>
            <w:vAlign w:val="center"/>
          </w:tcPr>
          <w:p>
            <w:pPr>
              <w:pStyle w:val="0"/>
              <w:jc w:val="center"/>
            </w:pPr>
            <w:r>
              <w:rPr>
                <w:sz w:val="20"/>
              </w:rPr>
              <w:t xml:space="preserve">71</w:t>
            </w:r>
          </w:p>
        </w:tc>
        <w:tc>
          <w:tcPr>
            <w:tcW w:w="1814" w:type="dxa"/>
            <w:vAlign w:val="center"/>
          </w:tcPr>
          <w:p>
            <w:pPr>
              <w:pStyle w:val="0"/>
              <w:jc w:val="center"/>
            </w:pPr>
            <w:hyperlink w:history="0" r:id="rId263" w:tooltip="Постановление Правительства РФ от 30.06.2023 N 1086 (ред. от 02.09.2023) &quot;О введении тарифной квоты на вывоз за пределы территории Российской Федерации отходов и лома черных металлов в государства, не являющиеся членами Евразийского экономического союза, и внесении изменений в ставки вывозных таможенных пошлин на товары, вывозимые из Российской Федерации за пределы таможенной территории Евразийского экономического союза&quot; (вместе с &quot;Правилами распределения между участниками внешнеторговой деятельности тарифн {КонсультантПлюс}">
              <w:r>
                <w:rPr>
                  <w:sz w:val="20"/>
                  <w:color w:val="0000ff"/>
                </w:rPr>
                <w:t xml:space="preserve">Постановление</w:t>
              </w:r>
            </w:hyperlink>
            <w:r>
              <w:rPr>
                <w:sz w:val="20"/>
              </w:rPr>
              <w:t xml:space="preserve"> Правительства РФ от 30.06.2023 N 1086</w:t>
            </w:r>
          </w:p>
        </w:tc>
        <w:tc>
          <w:tcPr>
            <w:tcW w:w="2154" w:type="dxa"/>
            <w:vAlign w:val="center"/>
          </w:tcPr>
          <w:p>
            <w:pPr>
              <w:pStyle w:val="0"/>
              <w:jc w:val="center"/>
            </w:pPr>
            <w:r>
              <w:rPr>
                <w:sz w:val="20"/>
              </w:rPr>
              <w:t xml:space="preserve">Отходы и лом черных металлов</w:t>
            </w:r>
          </w:p>
        </w:tc>
        <w:tc>
          <w:tcPr>
            <w:tcW w:w="4592" w:type="dxa"/>
            <w:vAlign w:val="center"/>
          </w:tcPr>
          <w:p>
            <w:pPr>
              <w:pStyle w:val="0"/>
              <w:jc w:val="both"/>
            </w:pPr>
            <w:r>
              <w:rPr>
                <w:sz w:val="20"/>
              </w:rPr>
              <w:t xml:space="preserve">Установление тарифных квот на экспорт в государства, не являющиеся членами ЕАЭС, в объеме 600 тыс. тонн сроком с 01.07.2023 по 31.12.2023 включительно и продление ставок вывозных таможенных пошлин.</w:t>
            </w:r>
          </w:p>
        </w:tc>
      </w:tr>
    </w:tbl>
    <w:p>
      <w:pPr>
        <w:pStyle w:val="0"/>
        <w:jc w:val="both"/>
      </w:pPr>
      <w:r>
        <w:rPr>
          <w:sz w:val="20"/>
        </w:rPr>
      </w:r>
    </w:p>
    <w:p>
      <w:pPr>
        <w:pStyle w:val="0"/>
        <w:ind w:firstLine="540"/>
        <w:jc w:val="both"/>
      </w:pPr>
      <w:r>
        <w:rPr>
          <w:sz w:val="20"/>
        </w:rPr>
        <w:t xml:space="preserve">--------------------------------</w:t>
      </w:r>
    </w:p>
    <w:bookmarkStart w:id="5832" w:name="P5832"/>
    <w:bookmarkEnd w:id="5832"/>
    <w:p>
      <w:pPr>
        <w:pStyle w:val="0"/>
        <w:spacing w:before="200" w:line-rule="auto"/>
        <w:ind w:firstLine="540"/>
        <w:jc w:val="both"/>
      </w:pPr>
      <w:r>
        <w:rPr>
          <w:sz w:val="20"/>
        </w:rPr>
        <w:t xml:space="preserve">&lt;38&gt; По чувствительным товарам.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7</w:t>
      </w:r>
    </w:p>
    <w:p>
      <w:pPr>
        <w:pStyle w:val="0"/>
        <w:jc w:val="both"/>
      </w:pPr>
      <w:r>
        <w:rPr>
          <w:sz w:val="20"/>
        </w:rPr>
      </w:r>
    </w:p>
    <w:p>
      <w:pPr>
        <w:pStyle w:val="2"/>
        <w:jc w:val="center"/>
      </w:pPr>
      <w:r>
        <w:rPr>
          <w:sz w:val="20"/>
        </w:rPr>
        <w:t xml:space="preserve">ОСНОВНЫЕ РЕЗУЛЬТАТЫ И НАПРАВЛЕНИЯ</w:t>
      </w:r>
    </w:p>
    <w:p>
      <w:pPr>
        <w:pStyle w:val="2"/>
        <w:jc w:val="center"/>
      </w:pPr>
      <w:r>
        <w:rPr>
          <w:sz w:val="20"/>
        </w:rPr>
        <w:t xml:space="preserve">ГОСУДАРСТВЕННОЙ ПОЛИТИКИ В СФЕРЕ БУХГАЛТЕРСКОГО УЧЕТА</w:t>
      </w:r>
    </w:p>
    <w:p>
      <w:pPr>
        <w:pStyle w:val="0"/>
        <w:jc w:val="both"/>
      </w:pPr>
      <w:r>
        <w:rPr>
          <w:sz w:val="20"/>
        </w:rPr>
      </w:r>
    </w:p>
    <w:p>
      <w:pPr>
        <w:pStyle w:val="2"/>
        <w:outlineLvl w:val="1"/>
        <w:ind w:firstLine="540"/>
        <w:jc w:val="both"/>
      </w:pPr>
      <w:r>
        <w:rPr>
          <w:sz w:val="20"/>
        </w:rPr>
        <w:t xml:space="preserve">I. Исторические предпосылки реализации государственной политики в сфере бухгалтерского учета:</w:t>
      </w:r>
    </w:p>
    <w:p>
      <w:pPr>
        <w:pStyle w:val="0"/>
        <w:spacing w:before="200" w:line-rule="auto"/>
        <w:ind w:firstLine="540"/>
        <w:jc w:val="both"/>
      </w:pPr>
      <w:r>
        <w:rPr>
          <w:sz w:val="20"/>
        </w:rPr>
        <w:t xml:space="preserve">- ориентация системы бухгалтерского учета на отношения, сложившиеся в плановой экономике, исходя из общественного характера собственности и потребностей государственного управления экономикой;</w:t>
      </w:r>
    </w:p>
    <w:p>
      <w:pPr>
        <w:pStyle w:val="0"/>
        <w:spacing w:before="200" w:line-rule="auto"/>
        <w:ind w:firstLine="540"/>
        <w:jc w:val="both"/>
      </w:pPr>
      <w:r>
        <w:rPr>
          <w:sz w:val="20"/>
        </w:rPr>
        <w:t xml:space="preserve">- предназначение данных бухгалтерского учета главным образом для обеспечения сохранности государственной собственности и выявления отклонений от предписанных моделей хозяйственного поведения для главных потребителей только со стороны государственных органов;</w:t>
      </w:r>
    </w:p>
    <w:p>
      <w:pPr>
        <w:pStyle w:val="0"/>
        <w:spacing w:before="200" w:line-rule="auto"/>
        <w:ind w:firstLine="540"/>
        <w:jc w:val="both"/>
      </w:pPr>
      <w:r>
        <w:rPr>
          <w:sz w:val="20"/>
        </w:rPr>
        <w:t xml:space="preserve">- установление детальных и жестких правил бухгалтерского учета, не учитывающих масштабы, характер и условия деятельности конкретных экономических субъектов, их затраты на ведение бухгалтерского учета;</w:t>
      </w:r>
    </w:p>
    <w:p>
      <w:pPr>
        <w:pStyle w:val="0"/>
        <w:spacing w:before="200" w:line-rule="auto"/>
        <w:ind w:firstLine="540"/>
        <w:jc w:val="both"/>
      </w:pPr>
      <w:r>
        <w:rPr>
          <w:sz w:val="20"/>
        </w:rPr>
        <w:t xml:space="preserve">- применение исключительно первоначальной (исторической) оценки активов и обязательств, и, как следствие, формирование картины "вчерашнего дня";</w:t>
      </w:r>
    </w:p>
    <w:p>
      <w:pPr>
        <w:pStyle w:val="0"/>
        <w:spacing w:before="200" w:line-rule="auto"/>
        <w:ind w:firstLine="540"/>
        <w:jc w:val="both"/>
      </w:pPr>
      <w:r>
        <w:rPr>
          <w:sz w:val="20"/>
        </w:rPr>
        <w:t xml:space="preserve">- ориентация правил учета прежде всего, на составителей бухгалтерской отчетности их сегментацию по секторам экономики, что существенно затрудняло сопоставление финансовой информации различных экономических субъектов.</w:t>
      </w:r>
    </w:p>
    <w:p>
      <w:pPr>
        <w:pStyle w:val="0"/>
        <w:jc w:val="both"/>
      </w:pPr>
      <w:r>
        <w:rPr>
          <w:sz w:val="20"/>
        </w:rPr>
      </w:r>
    </w:p>
    <w:p>
      <w:pPr>
        <w:pStyle w:val="2"/>
        <w:outlineLvl w:val="1"/>
        <w:ind w:firstLine="540"/>
        <w:jc w:val="both"/>
      </w:pPr>
      <w:r>
        <w:rPr>
          <w:sz w:val="20"/>
        </w:rPr>
        <w:t xml:space="preserve">II. Реформирование системы бухгалтерского учета - обеспечение адекватности изменившимся общественным отношениям, новой гражданско-правовой среде и общему процессу экономических реформ, соответствие современному уровню развития экономических отношений в стране</w:t>
      </w:r>
    </w:p>
    <w:p>
      <w:pPr>
        <w:pStyle w:val="0"/>
        <w:spacing w:before="200" w:line-rule="auto"/>
        <w:ind w:firstLine="540"/>
        <w:jc w:val="both"/>
      </w:pPr>
      <w:r>
        <w:rPr>
          <w:sz w:val="20"/>
        </w:rPr>
        <w:t xml:space="preserve">- обеспечение регулирования сложившейся системы бухгалтерского учета полностью на национальном уровне при помощи системообразующих законодательных актов, решений Правительства Российской Федерации, что обеспечивает информационную независимость и безопасность страны:</w:t>
      </w:r>
    </w:p>
    <w:p>
      <w:pPr>
        <w:pStyle w:val="0"/>
        <w:spacing w:before="200" w:line-rule="auto"/>
        <w:ind w:firstLine="540"/>
        <w:jc w:val="both"/>
      </w:pPr>
      <w:r>
        <w:rPr>
          <w:sz w:val="20"/>
        </w:rPr>
        <w:t xml:space="preserve">- федеральные и отраслевые стандарты бухгалтерского учета являются нормативными правовыми актами Российской Федерации, принимаемыми в общеустановленном порядке;</w:t>
      </w:r>
    </w:p>
    <w:p>
      <w:pPr>
        <w:pStyle w:val="0"/>
        <w:spacing w:before="200" w:line-rule="auto"/>
        <w:ind w:firstLine="540"/>
        <w:jc w:val="both"/>
      </w:pPr>
      <w:r>
        <w:rPr>
          <w:sz w:val="20"/>
        </w:rPr>
        <w:t xml:space="preserve">- применяемые для составления консолидированной финансовой отчетности МСФО вводятся по результатам установленной Правительством Российской Федерации специальной процедуры признания, включающей, среди прочего, оценку соответствия их национальным интересам;</w:t>
      </w:r>
    </w:p>
    <w:p>
      <w:pPr>
        <w:pStyle w:val="0"/>
        <w:spacing w:before="200" w:line-rule="auto"/>
        <w:ind w:firstLine="540"/>
        <w:jc w:val="both"/>
      </w:pPr>
      <w:r>
        <w:rPr>
          <w:sz w:val="20"/>
        </w:rPr>
        <w:t xml:space="preserve">- обеспечение непротиворечивости национальной системы бухгалтерского учета международно признанной практике, которое способствует повышению конкурентоспособности и инвестиционной привлекательности российского бизнеса, успешному участию Российской Федерации в интеграционных процессах в рамках ЕАЭС, СНГ, БРИКС и эффективности экономических отношений с экономическими субъектами других дружественных государств.</w:t>
      </w:r>
    </w:p>
    <w:p>
      <w:pPr>
        <w:pStyle w:val="0"/>
        <w:spacing w:before="200" w:line-rule="auto"/>
        <w:ind w:firstLine="540"/>
        <w:jc w:val="both"/>
      </w:pPr>
      <w:r>
        <w:rPr>
          <w:sz w:val="20"/>
        </w:rPr>
        <w:t xml:space="preserve">- применение способов оценки и представления информации, содержащих прогностические элементы, без которых в современной экономике невозможно принимать обоснованные решения по вопросам управления и инвестирования;</w:t>
      </w:r>
    </w:p>
    <w:p>
      <w:pPr>
        <w:pStyle w:val="0"/>
        <w:spacing w:before="200" w:line-rule="auto"/>
        <w:ind w:firstLine="540"/>
        <w:jc w:val="both"/>
      </w:pPr>
      <w:r>
        <w:rPr>
          <w:sz w:val="20"/>
        </w:rPr>
        <w:t xml:space="preserve">- переориентация правил бухгалтерского учета на:</w:t>
      </w:r>
    </w:p>
    <w:p>
      <w:pPr>
        <w:pStyle w:val="0"/>
        <w:spacing w:before="200" w:line-rule="auto"/>
        <w:ind w:firstLine="540"/>
        <w:jc w:val="both"/>
      </w:pPr>
      <w:r>
        <w:rPr>
          <w:sz w:val="20"/>
        </w:rPr>
        <w:t xml:space="preserve">- реализацию потребностей, в первую очередь, широкого круга пользователей бухгалтерской отчетности, формирование реальной картины деятельности экономических субъектов;</w:t>
      </w:r>
    </w:p>
    <w:p>
      <w:pPr>
        <w:pStyle w:val="0"/>
        <w:spacing w:before="200" w:line-rule="auto"/>
        <w:ind w:firstLine="540"/>
        <w:jc w:val="both"/>
      </w:pPr>
      <w:r>
        <w:rPr>
          <w:sz w:val="20"/>
        </w:rPr>
        <w:t xml:space="preserve">- оценку реального положения дел у экономического субъекта, а не соответствие отчетности установленным правилам;</w:t>
      </w:r>
    </w:p>
    <w:p>
      <w:pPr>
        <w:pStyle w:val="0"/>
        <w:spacing w:before="200" w:line-rule="auto"/>
        <w:ind w:firstLine="540"/>
        <w:jc w:val="both"/>
      </w:pPr>
      <w:r>
        <w:rPr>
          <w:sz w:val="20"/>
        </w:rPr>
        <w:t xml:space="preserve">- переход от представления о стоимости активов как суммы средств, потраченных на их приобретение, к стоимости как сумме средств, которые можно получить от их использования;</w:t>
      </w:r>
    </w:p>
    <w:p>
      <w:pPr>
        <w:pStyle w:val="0"/>
        <w:spacing w:before="200" w:line-rule="auto"/>
        <w:ind w:firstLine="540"/>
        <w:jc w:val="both"/>
      </w:pPr>
      <w:r>
        <w:rPr>
          <w:sz w:val="20"/>
        </w:rPr>
        <w:t xml:space="preserve">- оценку всех подлежащих исполнению экономическим субъектом обязательств, а не только их задокументированной части;</w:t>
      </w:r>
    </w:p>
    <w:p>
      <w:pPr>
        <w:pStyle w:val="0"/>
        <w:spacing w:before="200" w:line-rule="auto"/>
        <w:ind w:firstLine="540"/>
        <w:jc w:val="both"/>
      </w:pPr>
      <w:r>
        <w:rPr>
          <w:sz w:val="20"/>
        </w:rPr>
        <w:t xml:space="preserve">- представление информации о результативности и рисках деятельности руководства экономического субъекта.</w:t>
      </w:r>
    </w:p>
    <w:p>
      <w:pPr>
        <w:pStyle w:val="0"/>
        <w:spacing w:before="200" w:line-rule="auto"/>
        <w:ind w:firstLine="540"/>
        <w:jc w:val="both"/>
      </w:pPr>
      <w:r>
        <w:rPr>
          <w:sz w:val="20"/>
        </w:rPr>
        <w:t xml:space="preserve">- обеспечение единства требований к бухгалтерскому учету как основы сопоставимости финансовой информации о деятельности экономических субъектов всех секторов экономики, включая финансовый и бюджетный:</w:t>
      </w:r>
    </w:p>
    <w:p>
      <w:pPr>
        <w:pStyle w:val="0"/>
        <w:spacing w:before="200" w:line-rule="auto"/>
        <w:ind w:firstLine="540"/>
        <w:jc w:val="both"/>
      </w:pPr>
      <w:r>
        <w:rPr>
          <w:sz w:val="20"/>
        </w:rPr>
        <w:t xml:space="preserve">- установление в стандартах минимально необходимых требований к учету независимо от вида экономической деятельности;</w:t>
      </w:r>
    </w:p>
    <w:p>
      <w:pPr>
        <w:pStyle w:val="0"/>
        <w:spacing w:before="200" w:line-rule="auto"/>
        <w:ind w:firstLine="540"/>
        <w:jc w:val="both"/>
      </w:pPr>
      <w:r>
        <w:rPr>
          <w:sz w:val="20"/>
        </w:rPr>
        <w:t xml:space="preserve">- применение международно признанных стандартов как основы разработки всего комплекса национальных стандартов;</w:t>
      </w:r>
    </w:p>
    <w:p>
      <w:pPr>
        <w:pStyle w:val="0"/>
        <w:spacing w:before="200" w:line-rule="auto"/>
        <w:ind w:firstLine="540"/>
        <w:jc w:val="both"/>
      </w:pPr>
      <w:r>
        <w:rPr>
          <w:sz w:val="20"/>
        </w:rPr>
        <w:t xml:space="preserve">- определение в стандартах учета принципов и требований, позволяющих экономическим субъектам адаптировать ведение бухгалтерского учета к масштабам, характеру и условиям своей деятельности;</w:t>
      </w:r>
    </w:p>
    <w:p>
      <w:pPr>
        <w:pStyle w:val="0"/>
        <w:spacing w:before="200" w:line-rule="auto"/>
        <w:ind w:firstLine="540"/>
        <w:jc w:val="both"/>
      </w:pPr>
      <w:r>
        <w:rPr>
          <w:sz w:val="20"/>
        </w:rPr>
        <w:t xml:space="preserve">- установление принципа самостоятельности для экономических субъектов в выборе способов бухгалтерского учета, построении документооборота, в том числе в конструировании форм первичных учетных документов и регистров бухгалтерского учета;</w:t>
      </w:r>
    </w:p>
    <w:p>
      <w:pPr>
        <w:pStyle w:val="0"/>
        <w:spacing w:before="200" w:line-rule="auto"/>
        <w:ind w:firstLine="540"/>
        <w:jc w:val="both"/>
      </w:pPr>
      <w:r>
        <w:rPr>
          <w:sz w:val="20"/>
        </w:rPr>
        <w:t xml:space="preserve">- организация обработки учетной информации, ориентированной, в первую очередь, на цифровые технологии.</w:t>
      </w:r>
    </w:p>
    <w:p>
      <w:pPr>
        <w:pStyle w:val="0"/>
        <w:spacing w:before="200" w:line-rule="auto"/>
        <w:ind w:firstLine="540"/>
        <w:jc w:val="both"/>
      </w:pPr>
      <w:r>
        <w:rPr>
          <w:sz w:val="20"/>
        </w:rPr>
        <w:t xml:space="preserve">- обеспечение дифференциации требований для разных категорий экономических субъектов, с целью оптимизации затрат на его ведение и снижения административной нагрузки. Экономический субъект самостоятельно решает, вести ли упрощенный учет вместо полного, и какие конкретно упрощения применять.</w:t>
      </w:r>
    </w:p>
    <w:p>
      <w:pPr>
        <w:pStyle w:val="0"/>
        <w:spacing w:before="200" w:line-rule="auto"/>
        <w:ind w:firstLine="540"/>
        <w:jc w:val="both"/>
      </w:pPr>
      <w:r>
        <w:rPr>
          <w:sz w:val="20"/>
        </w:rPr>
        <w:t xml:space="preserve">- полный комплект требований определяется всей совокупностью федеральных и отраслевых стандартов и действует в отношении отчетности, прежде всего, общественно значимых экономических субъектов, которые также составляют консолидированную финансовую отчетность;</w:t>
      </w:r>
    </w:p>
    <w:p>
      <w:pPr>
        <w:pStyle w:val="0"/>
        <w:spacing w:before="200" w:line-rule="auto"/>
        <w:ind w:firstLine="540"/>
        <w:jc w:val="both"/>
      </w:pPr>
      <w:r>
        <w:rPr>
          <w:sz w:val="20"/>
        </w:rPr>
        <w:t xml:space="preserve">- упрощенный комплект требований определяется сокращенной совокупностью федеральных стандартов, который могут вести субъекты малого предпринимательства (за исключением общественно значимых), социально ориентированные некоммерческие организации. Упрощенный учет предполагает отказ от "сложных" стандартов (например, стандартов учета строительного подряда), от "сложных" требований к учету (например, от капитализации объектов основных средств, аренды, нематериальных активов, применения дисконтирования). По экспертным оценкам, упрощенный учет позволяет сократить объем отчетности на 80% по сравнению с полным учетом.</w:t>
      </w:r>
    </w:p>
    <w:p>
      <w:pPr>
        <w:pStyle w:val="0"/>
        <w:spacing w:before="200" w:line-rule="auto"/>
        <w:ind w:firstLine="540"/>
        <w:jc w:val="both"/>
      </w:pPr>
      <w:r>
        <w:rPr>
          <w:sz w:val="20"/>
        </w:rPr>
        <w:t xml:space="preserve">- установление принципов прозрачности, подотчетности и информационной открытости, вовлеченности широкого круга заинтересованных лиц, которые реализуются через процедуру принятия стандартов, установленную Федеральным </w:t>
      </w:r>
      <w:hyperlink w:history="0" r:id="rId264" w:tooltip="Федеральный закон от 06.12.2011 N 402-ФЗ (ред. от 12.12.2023) &quot;О бухгалтерском учете&quot; {КонсультантПлюс}">
        <w:r>
          <w:rPr>
            <w:sz w:val="20"/>
            <w:color w:val="0000ff"/>
          </w:rPr>
          <w:t xml:space="preserve">законом</w:t>
        </w:r>
      </w:hyperlink>
      <w:r>
        <w:rPr>
          <w:sz w:val="20"/>
        </w:rPr>
        <w:t xml:space="preserve"> "О бухгалтерском учете". В рамках этой процедуры:</w:t>
      </w:r>
    </w:p>
    <w:p>
      <w:pPr>
        <w:pStyle w:val="0"/>
        <w:spacing w:before="200" w:line-rule="auto"/>
        <w:ind w:firstLine="540"/>
        <w:jc w:val="both"/>
      </w:pPr>
      <w:r>
        <w:rPr>
          <w:sz w:val="20"/>
        </w:rPr>
        <w:t xml:space="preserve">- разработка и публичное обсуждение проектов стандартов осуществляются, как правило, негосударственными органами регулирования (профессиональные и деловые объединения);</w:t>
      </w:r>
    </w:p>
    <w:p>
      <w:pPr>
        <w:pStyle w:val="0"/>
        <w:spacing w:before="200" w:line-rule="auto"/>
        <w:ind w:firstLine="540"/>
        <w:jc w:val="both"/>
      </w:pPr>
      <w:r>
        <w:rPr>
          <w:sz w:val="20"/>
        </w:rPr>
        <w:t xml:space="preserve">- профессиональная экспертиза проектов стандартов и общественный надзор их качества (проводятся созданным в соответствии с данным Федеральным </w:t>
      </w:r>
      <w:hyperlink w:history="0" r:id="rId265" w:tooltip="Федеральный закон от 06.12.2011 N 402-ФЗ (ред. от 12.12.2023) &quot;О бухгалтерском учете&quot; {КонсультантПлюс}">
        <w:r>
          <w:rPr>
            <w:sz w:val="20"/>
            <w:color w:val="0000ff"/>
          </w:rPr>
          <w:t xml:space="preserve">законом</w:t>
        </w:r>
      </w:hyperlink>
      <w:r>
        <w:rPr>
          <w:sz w:val="20"/>
        </w:rPr>
        <w:t xml:space="preserve"> советом по стандартам бухгалтерского учета, 2/3 которого представляют интересы различных заинтересованных сторон и 1/3 - интересы государства);</w:t>
      </w:r>
    </w:p>
    <w:p>
      <w:pPr>
        <w:pStyle w:val="0"/>
        <w:spacing w:before="200" w:line-rule="auto"/>
        <w:ind w:firstLine="540"/>
        <w:jc w:val="both"/>
      </w:pPr>
      <w:r>
        <w:rPr>
          <w:sz w:val="20"/>
        </w:rPr>
        <w:t xml:space="preserve">- обеспечение стабильности правил, предсказуемости и системности развития регулирования бухгалтерского учета:</w:t>
      </w:r>
    </w:p>
    <w:p>
      <w:pPr>
        <w:pStyle w:val="0"/>
        <w:spacing w:before="200" w:line-rule="auto"/>
        <w:ind w:firstLine="540"/>
        <w:jc w:val="both"/>
      </w:pPr>
      <w:r>
        <w:rPr>
          <w:sz w:val="20"/>
        </w:rPr>
        <w:t xml:space="preserve">- федеральные стандарты бухгалтерского учета разрабатываются в соответствии с программой, утверждаемой на пять лет.</w:t>
      </w:r>
    </w:p>
    <w:p>
      <w:pPr>
        <w:pStyle w:val="0"/>
        <w:spacing w:before="200" w:line-rule="auto"/>
        <w:ind w:firstLine="540"/>
        <w:jc w:val="both"/>
      </w:pPr>
      <w:r>
        <w:rPr>
          <w:sz w:val="20"/>
        </w:rPr>
        <w:t xml:space="preserve">- процесс принятия стандарта, включая несколько публичных обсуждений, занимает от одного года до трех лет.</w:t>
      </w:r>
    </w:p>
    <w:p>
      <w:pPr>
        <w:pStyle w:val="0"/>
        <w:spacing w:before="200" w:line-rule="auto"/>
        <w:ind w:firstLine="540"/>
        <w:jc w:val="both"/>
      </w:pPr>
      <w:r>
        <w:rPr>
          <w:sz w:val="20"/>
        </w:rPr>
        <w:t xml:space="preserve">- длительность перехода к обязательному применению новых стандартов составляет в среднем более полутора лет.</w:t>
      </w:r>
    </w:p>
    <w:p>
      <w:pPr>
        <w:pStyle w:val="0"/>
        <w:spacing w:before="200" w:line-rule="auto"/>
        <w:ind w:firstLine="540"/>
        <w:jc w:val="both"/>
      </w:pPr>
      <w:r>
        <w:rPr>
          <w:sz w:val="20"/>
        </w:rPr>
        <w:t xml:space="preserve">- начиная с 2013 г., Федеральный </w:t>
      </w:r>
      <w:hyperlink w:history="0" r:id="rId266" w:tooltip="Федеральный закон от 06.12.2011 N 402-ФЗ (ред. от 12.12.2023) &quot;О бухгалтерском учете&quot; {КонсультантПлюс}">
        <w:r>
          <w:rPr>
            <w:sz w:val="20"/>
            <w:color w:val="0000ff"/>
          </w:rPr>
          <w:t xml:space="preserve">закон</w:t>
        </w:r>
      </w:hyperlink>
      <w:r>
        <w:rPr>
          <w:sz w:val="20"/>
        </w:rPr>
        <w:t xml:space="preserve"> "О бухгалтерском учете" действует практически в неизменном состоянии;</w:t>
      </w:r>
    </w:p>
    <w:p>
      <w:pPr>
        <w:pStyle w:val="0"/>
        <w:spacing w:before="200" w:line-rule="auto"/>
        <w:ind w:firstLine="540"/>
        <w:jc w:val="both"/>
      </w:pPr>
      <w:r>
        <w:rPr>
          <w:sz w:val="20"/>
        </w:rPr>
        <w:t xml:space="preserve">- с 2011 г. неизменно количество федеральных стандартов бухгалтерского учета.</w:t>
      </w:r>
    </w:p>
    <w:p>
      <w:pPr>
        <w:pStyle w:val="0"/>
        <w:spacing w:before="200" w:line-rule="auto"/>
        <w:ind w:firstLine="540"/>
        <w:jc w:val="both"/>
      </w:pPr>
      <w:r>
        <w:rPr>
          <w:sz w:val="20"/>
        </w:rPr>
        <w:t xml:space="preserve">Правила бухгалтерского учета применяются в течение длительного времени (например, "Основные средства" - 21 год, "Аренда" - 25 лет, "Нематериальные активы" - 15 лет). Количество содержательных изменений, вносимых в них, незначительно.</w:t>
      </w:r>
    </w:p>
    <w:p>
      <w:pPr>
        <w:pStyle w:val="0"/>
        <w:jc w:val="both"/>
      </w:pPr>
      <w:r>
        <w:rPr>
          <w:sz w:val="20"/>
        </w:rPr>
      </w:r>
    </w:p>
    <w:p>
      <w:pPr>
        <w:pStyle w:val="2"/>
        <w:outlineLvl w:val="1"/>
        <w:ind w:firstLine="540"/>
        <w:jc w:val="both"/>
      </w:pPr>
      <w:r>
        <w:rPr>
          <w:sz w:val="20"/>
        </w:rPr>
        <w:t xml:space="preserve">III. Направления развития системы бухгалтерского учета на перспективу</w:t>
      </w:r>
    </w:p>
    <w:p>
      <w:pPr>
        <w:pStyle w:val="0"/>
        <w:spacing w:before="200" w:line-rule="auto"/>
        <w:ind w:firstLine="540"/>
        <w:jc w:val="both"/>
      </w:pPr>
      <w:r>
        <w:rPr>
          <w:sz w:val="20"/>
        </w:rPr>
        <w:t xml:space="preserve">В целях развития национальной системы бухгалтерского учета планируется осуществление следующих мер:</w:t>
      </w:r>
    </w:p>
    <w:p>
      <w:pPr>
        <w:pStyle w:val="0"/>
        <w:spacing w:before="200" w:line-rule="auto"/>
        <w:ind w:firstLine="540"/>
        <w:jc w:val="both"/>
      </w:pPr>
      <w:r>
        <w:rPr>
          <w:sz w:val="20"/>
        </w:rPr>
        <w:t xml:space="preserve">- расширение сферы применения упрощенного учета (снятие ограничений для всех категорий некоммерческих организаций);</w:t>
      </w:r>
    </w:p>
    <w:p>
      <w:pPr>
        <w:pStyle w:val="0"/>
        <w:spacing w:before="200" w:line-rule="auto"/>
        <w:ind w:firstLine="540"/>
        <w:jc w:val="both"/>
      </w:pPr>
      <w:r>
        <w:rPr>
          <w:sz w:val="20"/>
        </w:rPr>
        <w:t xml:space="preserve">- совершенствование практики ведения бухгалтерского учета (установление правил признания внешних документов первичными учетными документам; определение порядка разработки электронных форматов документов бухгалтерского учета; уточнение норм об инвентаризации активов и обязательств; определение понятия профессионального суждения и его роли в разработке учетной политики экономического субъекта; включение субъектов аудиторской деятельности в число лиц, имеющих право оказывать услуги аутсорсинга ведения бухгалтерского учета);</w:t>
      </w:r>
    </w:p>
    <w:p>
      <w:pPr>
        <w:pStyle w:val="0"/>
        <w:spacing w:before="200" w:line-rule="auto"/>
        <w:ind w:firstLine="540"/>
        <w:jc w:val="both"/>
      </w:pPr>
      <w:r>
        <w:rPr>
          <w:sz w:val="20"/>
        </w:rPr>
        <w:t xml:space="preserve">- совершенствование практики бухгалтерской отчетности (изменение порядка составления бухгалтерской отчетности при преобразовании организаций; предоставление организациям, составляющим консолидированную финансовую отчетность, права использовать единые способы ведения учета как для отчетности юридического лица, так и для консолидированной финансовой отчетности, уточнение сферы обязательного составления консолидированной финансовой отчетности, обеспечивающей баланс интересов пользователей и затрат составителей);</w:t>
      </w:r>
    </w:p>
    <w:p>
      <w:pPr>
        <w:pStyle w:val="0"/>
        <w:spacing w:before="200" w:line-rule="auto"/>
        <w:ind w:firstLine="540"/>
        <w:jc w:val="both"/>
      </w:pPr>
      <w:r>
        <w:rPr>
          <w:sz w:val="20"/>
        </w:rPr>
        <w:t xml:space="preserve">- улучшение регулирования бухгалтерского учета (введение обязательного отложенного (не менее года после принятия) порядка вступления в силу стандартов бухгалтерского учета; принятие регулирующего документа, определяющего концептуальные основы бухгалтерского учета в качестве ориентира для разработчиков стандартов учета).</w:t>
      </w:r>
    </w:p>
    <w:p>
      <w:pPr>
        <w:pStyle w:val="0"/>
        <w:ind w:firstLine="54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"Основные направления бюджетной, налоговой и таможенно-тарифной политики на 2024 год и на плановый период 2025 и 2026 го...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09.10.2024</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"Основные направления бюджетной, налоговой и таможенно-тарифной политики на 2024 год и на плановый период 2025 и 2026 го...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09.10.2024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69774&amp;dst=103557" TargetMode = "External"/>
	<Relationship Id="rId8" Type="http://schemas.openxmlformats.org/officeDocument/2006/relationships/hyperlink" Target="https://login.consultant.ru/link/?req=doc&amp;base=LAW&amp;n=358026" TargetMode = "External"/>
	<Relationship Id="rId9" Type="http://schemas.openxmlformats.org/officeDocument/2006/relationships/hyperlink" Target="https://login.consultant.ru/link/?req=doc&amp;base=LAW&amp;n=357927" TargetMode = "External"/>
	<Relationship Id="rId10" Type="http://schemas.openxmlformats.org/officeDocument/2006/relationships/hyperlink" Target="https://login.consultant.ru/link/?req=doc&amp;base=LAW&amp;n=382666" TargetMode = "External"/>
	<Relationship Id="rId11" Type="http://schemas.openxmlformats.org/officeDocument/2006/relationships/hyperlink" Target="https://login.consultant.ru/link/?req=doc&amp;base=LAW&amp;n=398015" TargetMode = "External"/>
	<Relationship Id="rId12" Type="http://schemas.openxmlformats.org/officeDocument/2006/relationships/image" Target="media/image2.png"/>
	<Relationship Id="rId13" Type="http://schemas.openxmlformats.org/officeDocument/2006/relationships/hyperlink" Target="https://login.consultant.ru/link/?req=doc&amp;base=LAW&amp;n=482899" TargetMode = "External"/>
	<Relationship Id="rId14" Type="http://schemas.openxmlformats.org/officeDocument/2006/relationships/hyperlink" Target="https://login.consultant.ru/link/?req=doc&amp;base=LAW&amp;n=469774" TargetMode = "External"/>
	<Relationship Id="rId15" Type="http://schemas.openxmlformats.org/officeDocument/2006/relationships/hyperlink" Target="https://login.consultant.ru/link/?req=doc&amp;base=LAW&amp;n=469774" TargetMode = "External"/>
	<Relationship Id="rId16" Type="http://schemas.openxmlformats.org/officeDocument/2006/relationships/hyperlink" Target="www.torgi.gov.ru" TargetMode = "External"/>
	<Relationship Id="rId17" Type="http://schemas.openxmlformats.org/officeDocument/2006/relationships/image" Target="media/image3.png"/>
	<Relationship Id="rId18" Type="http://schemas.openxmlformats.org/officeDocument/2006/relationships/hyperlink" Target="https://login.consultant.ru/link/?req=doc&amp;base=LAW&amp;n=469774" TargetMode = "External"/>
	<Relationship Id="rId19" Type="http://schemas.openxmlformats.org/officeDocument/2006/relationships/image" Target="media/image4.png"/>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jpe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hyperlink" Target="https://login.consultant.ru/link/?req=doc&amp;base=LAW&amp;n=474803&amp;dst=100018" TargetMode = "External"/>
	<Relationship Id="rId27" Type="http://schemas.openxmlformats.org/officeDocument/2006/relationships/hyperlink" Target="https://login.consultant.ru/link/?req=doc&amp;base=LAW&amp;n=319212" TargetMode = "External"/>
	<Relationship Id="rId28" Type="http://schemas.openxmlformats.org/officeDocument/2006/relationships/header" Target="header2.xml"/>
	<Relationship Id="rId29" Type="http://schemas.openxmlformats.org/officeDocument/2006/relationships/footer" Target="footer2.xml"/>
	<Relationship Id="rId30" Type="http://schemas.openxmlformats.org/officeDocument/2006/relationships/hyperlink" Target="https://login.consultant.ru/link/?req=doc&amp;base=LAW&amp;n=480795" TargetMode = "External"/>
	<Relationship Id="rId31" Type="http://schemas.openxmlformats.org/officeDocument/2006/relationships/hyperlink" Target="https://login.consultant.ru/link/?req=doc&amp;base=LAW&amp;n=469774" TargetMode = "External"/>
	<Relationship Id="rId32" Type="http://schemas.openxmlformats.org/officeDocument/2006/relationships/hyperlink" Target="https://login.consultant.ru/link/?req=doc&amp;base=LAW&amp;n=413312" TargetMode = "External"/>
	<Relationship Id="rId33" Type="http://schemas.openxmlformats.org/officeDocument/2006/relationships/hyperlink" Target="https://login.consultant.ru/link/?req=doc&amp;base=LAW&amp;n=383447" TargetMode = "External"/>
	<Relationship Id="rId34" Type="http://schemas.openxmlformats.org/officeDocument/2006/relationships/hyperlink" Target="https://login.consultant.ru/link/?req=doc&amp;base=LAW&amp;n=398015" TargetMode = "External"/>
	<Relationship Id="rId35" Type="http://schemas.openxmlformats.org/officeDocument/2006/relationships/hyperlink" Target="https://login.consultant.ru/link/?req=doc&amp;base=LAW&amp;n=482899" TargetMode = "External"/>
	<Relationship Id="rId36" Type="http://schemas.openxmlformats.org/officeDocument/2006/relationships/hyperlink" Target="https://login.consultant.ru/link/?req=doc&amp;base=LAW&amp;n=454278&amp;dst=100049" TargetMode = "External"/>
	<Relationship Id="rId37" Type="http://schemas.openxmlformats.org/officeDocument/2006/relationships/hyperlink" Target="https://login.consultant.ru/link/?req=doc&amp;base=LAW&amp;n=482747" TargetMode = "External"/>
	<Relationship Id="rId38" Type="http://schemas.openxmlformats.org/officeDocument/2006/relationships/hyperlink" Target="https://login.consultant.ru/link/?req=doc&amp;base=LAW&amp;n=482747" TargetMode = "External"/>
	<Relationship Id="rId39" Type="http://schemas.openxmlformats.org/officeDocument/2006/relationships/hyperlink" Target="https://login.consultant.ru/link/?req=doc&amp;base=LAW&amp;n=466853&amp;dst=9200" TargetMode = "External"/>
	<Relationship Id="rId40" Type="http://schemas.openxmlformats.org/officeDocument/2006/relationships/hyperlink" Target="https://login.consultant.ru/link/?req=doc&amp;base=LAW&amp;n=486289" TargetMode = "External"/>
	<Relationship Id="rId41" Type="http://schemas.openxmlformats.org/officeDocument/2006/relationships/hyperlink" Target="https://login.consultant.ru/link/?req=doc&amp;base=LAW&amp;n=466751" TargetMode = "External"/>
	<Relationship Id="rId42" Type="http://schemas.openxmlformats.org/officeDocument/2006/relationships/hyperlink" Target="https://login.consultant.ru/link/?req=doc&amp;base=LAW&amp;n=482899&amp;dst=4265" TargetMode = "External"/>
	<Relationship Id="rId43" Type="http://schemas.openxmlformats.org/officeDocument/2006/relationships/hyperlink" Target="https://login.consultant.ru/link/?req=doc&amp;base=LAW&amp;n=482899&amp;dst=4265" TargetMode = "External"/>
	<Relationship Id="rId44" Type="http://schemas.openxmlformats.org/officeDocument/2006/relationships/hyperlink" Target="https://login.consultant.ru/link/?req=doc&amp;base=LAW&amp;n=148824" TargetMode = "External"/>
	<Relationship Id="rId45" Type="http://schemas.openxmlformats.org/officeDocument/2006/relationships/hyperlink" Target="https://login.consultant.ru/link/?req=doc&amp;base=LAW&amp;n=476082" TargetMode = "External"/>
	<Relationship Id="rId46" Type="http://schemas.openxmlformats.org/officeDocument/2006/relationships/hyperlink" Target="https://login.consultant.ru/link/?req=doc&amp;base=LAW&amp;n=388995" TargetMode = "External"/>
	<Relationship Id="rId47" Type="http://schemas.openxmlformats.org/officeDocument/2006/relationships/hyperlink" Target="https://login.consultant.ru/link/?req=doc&amp;base=LAW&amp;n=388995" TargetMode = "External"/>
	<Relationship Id="rId48" Type="http://schemas.openxmlformats.org/officeDocument/2006/relationships/hyperlink" Target="https://login.consultant.ru/link/?req=doc&amp;base=LAW&amp;n=482899" TargetMode = "External"/>
	<Relationship Id="rId49" Type="http://schemas.openxmlformats.org/officeDocument/2006/relationships/hyperlink" Target="https://login.consultant.ru/link/?req=doc&amp;base=LAW&amp;n=464170" TargetMode = "External"/>
	<Relationship Id="rId50" Type="http://schemas.openxmlformats.org/officeDocument/2006/relationships/hyperlink" Target="https://login.consultant.ru/link/?req=doc&amp;base=LAW&amp;n=486289" TargetMode = "External"/>
	<Relationship Id="rId51" Type="http://schemas.openxmlformats.org/officeDocument/2006/relationships/hyperlink" Target="https://login.consultant.ru/link/?req=doc&amp;base=LAW&amp;n=482899" TargetMode = "External"/>
	<Relationship Id="rId52" Type="http://schemas.openxmlformats.org/officeDocument/2006/relationships/hyperlink" Target="https://login.consultant.ru/link/?req=doc&amp;base=LAW&amp;n=486289" TargetMode = "External"/>
	<Relationship Id="rId53" Type="http://schemas.openxmlformats.org/officeDocument/2006/relationships/image" Target="media/image11.png"/>
	<Relationship Id="rId54" Type="http://schemas.openxmlformats.org/officeDocument/2006/relationships/image" Target="media/image12.png"/>
	<Relationship Id="rId55" Type="http://schemas.openxmlformats.org/officeDocument/2006/relationships/hyperlink" Target="https://login.consultant.ru/link/?req=doc&amp;base=LAW&amp;n=486289" TargetMode = "External"/>
	<Relationship Id="rId56" Type="http://schemas.openxmlformats.org/officeDocument/2006/relationships/hyperlink" Target="https://login.consultant.ru/link/?req=doc&amp;base=LAW&amp;n=486289" TargetMode = "External"/>
	<Relationship Id="rId57" Type="http://schemas.openxmlformats.org/officeDocument/2006/relationships/image" Target="media/image13.png"/>
	<Relationship Id="rId58" Type="http://schemas.openxmlformats.org/officeDocument/2006/relationships/hyperlink" Target="https://login.consultant.ru/link/?req=doc&amp;base=LAW&amp;n=486289&amp;dst=100505" TargetMode = "External"/>
	<Relationship Id="rId59" Type="http://schemas.openxmlformats.org/officeDocument/2006/relationships/hyperlink" Target="https://login.consultant.ru/link/?req=doc&amp;base=LAW&amp;n=486289&amp;dst=100589" TargetMode = "External"/>
	<Relationship Id="rId60" Type="http://schemas.openxmlformats.org/officeDocument/2006/relationships/hyperlink" Target="https://login.consultant.ru/link/?req=doc&amp;base=LAW&amp;n=486289&amp;dst=106004" TargetMode = "External"/>
	<Relationship Id="rId61" Type="http://schemas.openxmlformats.org/officeDocument/2006/relationships/hyperlink" Target="https://login.consultant.ru/link/?req=doc&amp;base=LAW&amp;n=486289&amp;dst=100765" TargetMode = "External"/>
	<Relationship Id="rId62" Type="http://schemas.openxmlformats.org/officeDocument/2006/relationships/hyperlink" Target="https://login.consultant.ru/link/?req=doc&amp;base=LAW&amp;n=486289&amp;dst=100455" TargetMode = "External"/>
	<Relationship Id="rId63" Type="http://schemas.openxmlformats.org/officeDocument/2006/relationships/hyperlink" Target="https://login.consultant.ru/link/?req=doc&amp;base=LAW&amp;n=482899" TargetMode = "External"/>
	<Relationship Id="rId64" Type="http://schemas.openxmlformats.org/officeDocument/2006/relationships/image" Target="media/image14.png"/>
	<Relationship Id="rId65" Type="http://schemas.openxmlformats.org/officeDocument/2006/relationships/image" Target="media/image15.png"/>
	<Relationship Id="rId66" Type="http://schemas.openxmlformats.org/officeDocument/2006/relationships/hyperlink" Target="https://login.consultant.ru/link/?req=doc&amp;base=LAW&amp;n=486289" TargetMode = "External"/>
	<Relationship Id="rId67" Type="http://schemas.openxmlformats.org/officeDocument/2006/relationships/hyperlink" Target="https://login.consultant.ru/link/?req=doc&amp;base=LAW&amp;n=486289" TargetMode = "External"/>
	<Relationship Id="rId68" Type="http://schemas.openxmlformats.org/officeDocument/2006/relationships/hyperlink" Target="https://login.consultant.ru/link/?req=doc&amp;base=LAW&amp;n=486289&amp;dst=101793" TargetMode = "External"/>
	<Relationship Id="rId69" Type="http://schemas.openxmlformats.org/officeDocument/2006/relationships/hyperlink" Target="https://login.consultant.ru/link/?req=doc&amp;base=LAW&amp;n=486289&amp;dst=101928" TargetMode = "External"/>
	<Relationship Id="rId70" Type="http://schemas.openxmlformats.org/officeDocument/2006/relationships/hyperlink" Target="https://login.consultant.ru/link/?req=doc&amp;base=LAW&amp;n=486289&amp;dst=105896" TargetMode = "External"/>
	<Relationship Id="rId71" Type="http://schemas.openxmlformats.org/officeDocument/2006/relationships/hyperlink" Target="https://login.consultant.ru/link/?req=doc&amp;base=LAW&amp;n=486289&amp;dst=101930" TargetMode = "External"/>
	<Relationship Id="rId72" Type="http://schemas.openxmlformats.org/officeDocument/2006/relationships/hyperlink" Target="https://login.consultant.ru/link/?req=doc&amp;base=LAW&amp;n=486289&amp;dst=101576" TargetMode = "External"/>
	<Relationship Id="rId73" Type="http://schemas.openxmlformats.org/officeDocument/2006/relationships/hyperlink" Target="https://login.consultant.ru/link/?req=doc&amp;base=LAW&amp;n=482899" TargetMode = "External"/>
	<Relationship Id="rId74" Type="http://schemas.openxmlformats.org/officeDocument/2006/relationships/image" Target="media/image16.png"/>
	<Relationship Id="rId75" Type="http://schemas.openxmlformats.org/officeDocument/2006/relationships/image" Target="media/image17.png"/>
	<Relationship Id="rId76" Type="http://schemas.openxmlformats.org/officeDocument/2006/relationships/hyperlink" Target="https://login.consultant.ru/link/?req=doc&amp;base=LAW&amp;n=486289" TargetMode = "External"/>
	<Relationship Id="rId77" Type="http://schemas.openxmlformats.org/officeDocument/2006/relationships/hyperlink" Target="https://login.consultant.ru/link/?req=doc&amp;base=LAW&amp;n=486289" TargetMode = "External"/>
	<Relationship Id="rId78" Type="http://schemas.openxmlformats.org/officeDocument/2006/relationships/hyperlink" Target="https://login.consultant.ru/link/?req=doc&amp;base=LAW&amp;n=486289&amp;dst=100589" TargetMode = "External"/>
	<Relationship Id="rId79" Type="http://schemas.openxmlformats.org/officeDocument/2006/relationships/hyperlink" Target="https://login.consultant.ru/link/?req=doc&amp;base=LAW&amp;n=486289&amp;dst=100505" TargetMode = "External"/>
	<Relationship Id="rId80" Type="http://schemas.openxmlformats.org/officeDocument/2006/relationships/hyperlink" Target="https://login.consultant.ru/link/?req=doc&amp;base=LAW&amp;n=486289&amp;dst=100569" TargetMode = "External"/>
	<Relationship Id="rId81" Type="http://schemas.openxmlformats.org/officeDocument/2006/relationships/hyperlink" Target="https://login.consultant.ru/link/?req=doc&amp;base=LAW&amp;n=486289&amp;dst=100577" TargetMode = "External"/>
	<Relationship Id="rId82" Type="http://schemas.openxmlformats.org/officeDocument/2006/relationships/hyperlink" Target="https://login.consultant.ru/link/?req=doc&amp;base=LAW&amp;n=486289&amp;dst=100664" TargetMode = "External"/>
	<Relationship Id="rId83" Type="http://schemas.openxmlformats.org/officeDocument/2006/relationships/image" Target="media/image18.png"/>
	<Relationship Id="rId84" Type="http://schemas.openxmlformats.org/officeDocument/2006/relationships/image" Target="media/image19.png"/>
	<Relationship Id="rId85" Type="http://schemas.openxmlformats.org/officeDocument/2006/relationships/hyperlink" Target="https://login.consultant.ru/link/?req=doc&amp;base=LAW&amp;n=486289" TargetMode = "External"/>
	<Relationship Id="rId86" Type="http://schemas.openxmlformats.org/officeDocument/2006/relationships/hyperlink" Target="https://login.consultant.ru/link/?req=doc&amp;base=LAW&amp;n=486289" TargetMode = "External"/>
	<Relationship Id="rId87" Type="http://schemas.openxmlformats.org/officeDocument/2006/relationships/hyperlink" Target="https://login.consultant.ru/link/?req=doc&amp;base=LAW&amp;n=486289&amp;dst=102715" TargetMode = "External"/>
	<Relationship Id="rId88" Type="http://schemas.openxmlformats.org/officeDocument/2006/relationships/hyperlink" Target="https://login.consultant.ru/link/?req=doc&amp;base=LAW&amp;n=486289&amp;dst=100531" TargetMode = "External"/>
	<Relationship Id="rId89" Type="http://schemas.openxmlformats.org/officeDocument/2006/relationships/hyperlink" Target="https://login.consultant.ru/link/?req=doc&amp;base=LAW&amp;n=486289&amp;dst=100505" TargetMode = "External"/>
	<Relationship Id="rId90" Type="http://schemas.openxmlformats.org/officeDocument/2006/relationships/hyperlink" Target="https://login.consultant.ru/link/?req=doc&amp;base=LAW&amp;n=486289&amp;dst=100919" TargetMode = "External"/>
	<Relationship Id="rId91" Type="http://schemas.openxmlformats.org/officeDocument/2006/relationships/hyperlink" Target="https://login.consultant.ru/link/?req=doc&amp;base=LAW&amp;n=486289&amp;dst=101576" TargetMode = "External"/>
	<Relationship Id="rId92" Type="http://schemas.openxmlformats.org/officeDocument/2006/relationships/image" Target="media/image20.png"/>
	<Relationship Id="rId93" Type="http://schemas.openxmlformats.org/officeDocument/2006/relationships/image" Target="media/image21.png"/>
	<Relationship Id="rId94" Type="http://schemas.openxmlformats.org/officeDocument/2006/relationships/hyperlink" Target="https://login.consultant.ru/link/?req=doc&amp;base=LAW&amp;n=486289" TargetMode = "External"/>
	<Relationship Id="rId95" Type="http://schemas.openxmlformats.org/officeDocument/2006/relationships/hyperlink" Target="https://login.consultant.ru/link/?req=doc&amp;base=LAW&amp;n=486289" TargetMode = "External"/>
	<Relationship Id="rId96" Type="http://schemas.openxmlformats.org/officeDocument/2006/relationships/image" Target="media/image22.png"/>
	<Relationship Id="rId97" Type="http://schemas.openxmlformats.org/officeDocument/2006/relationships/hyperlink" Target="https://login.consultant.ru/link/?req=doc&amp;base=LAW&amp;n=486289&amp;dst=101576" TargetMode = "External"/>
	<Relationship Id="rId98" Type="http://schemas.openxmlformats.org/officeDocument/2006/relationships/hyperlink" Target="https://login.consultant.ru/link/?req=doc&amp;base=LAW&amp;n=486289&amp;dst=101337" TargetMode = "External"/>
	<Relationship Id="rId99" Type="http://schemas.openxmlformats.org/officeDocument/2006/relationships/hyperlink" Target="https://login.consultant.ru/link/?req=doc&amp;base=LAW&amp;n=486289&amp;dst=101513" TargetMode = "External"/>
	<Relationship Id="rId100" Type="http://schemas.openxmlformats.org/officeDocument/2006/relationships/hyperlink" Target="https://login.consultant.ru/link/?req=doc&amp;base=LAW&amp;n=486289&amp;dst=105891" TargetMode = "External"/>
	<Relationship Id="rId101" Type="http://schemas.openxmlformats.org/officeDocument/2006/relationships/hyperlink" Target="https://login.consultant.ru/link/?req=doc&amp;base=LAW&amp;n=486289&amp;dst=102087" TargetMode = "External"/>
	<Relationship Id="rId102" Type="http://schemas.openxmlformats.org/officeDocument/2006/relationships/hyperlink" Target="https://login.consultant.ru/link/?req=doc&amp;base=LAW&amp;n=482899" TargetMode = "External"/>
	<Relationship Id="rId103" Type="http://schemas.openxmlformats.org/officeDocument/2006/relationships/image" Target="media/image23.png"/>
	<Relationship Id="rId104" Type="http://schemas.openxmlformats.org/officeDocument/2006/relationships/image" Target="media/image24.png"/>
	<Relationship Id="rId105" Type="http://schemas.openxmlformats.org/officeDocument/2006/relationships/hyperlink" Target="https://login.consultant.ru/link/?req=doc&amp;base=LAW&amp;n=486289" TargetMode = "External"/>
	<Relationship Id="rId106" Type="http://schemas.openxmlformats.org/officeDocument/2006/relationships/hyperlink" Target="https://login.consultant.ru/link/?req=doc&amp;base=LAW&amp;n=486289" TargetMode = "External"/>
	<Relationship Id="rId107" Type="http://schemas.openxmlformats.org/officeDocument/2006/relationships/hyperlink" Target="https://login.consultant.ru/link/?req=doc&amp;base=LAW&amp;n=486289&amp;dst=104257" TargetMode = "External"/>
	<Relationship Id="rId108" Type="http://schemas.openxmlformats.org/officeDocument/2006/relationships/hyperlink" Target="https://login.consultant.ru/link/?req=doc&amp;base=LAW&amp;n=486289&amp;dst=100443" TargetMode = "External"/>
	<Relationship Id="rId109" Type="http://schemas.openxmlformats.org/officeDocument/2006/relationships/hyperlink" Target="https://login.consultant.ru/link/?req=doc&amp;base=LAW&amp;n=486289&amp;dst=104746" TargetMode = "External"/>
	<Relationship Id="rId110" Type="http://schemas.openxmlformats.org/officeDocument/2006/relationships/hyperlink" Target="https://login.consultant.ru/link/?req=doc&amp;base=LAW&amp;n=486289&amp;dst=101928" TargetMode = "External"/>
	<Relationship Id="rId111" Type="http://schemas.openxmlformats.org/officeDocument/2006/relationships/hyperlink" Target="https://login.consultant.ru/link/?req=doc&amp;base=LAW&amp;n=486289&amp;dst=101609" TargetMode = "External"/>
	<Relationship Id="rId112" Type="http://schemas.openxmlformats.org/officeDocument/2006/relationships/hyperlink" Target="https://login.consultant.ru/link/?req=doc&amp;base=LAW&amp;n=482899" TargetMode = "External"/>
	<Relationship Id="rId113" Type="http://schemas.openxmlformats.org/officeDocument/2006/relationships/image" Target="media/image25.png"/>
	<Relationship Id="rId114" Type="http://schemas.openxmlformats.org/officeDocument/2006/relationships/image" Target="media/image26.png"/>
	<Relationship Id="rId115" Type="http://schemas.openxmlformats.org/officeDocument/2006/relationships/hyperlink" Target="https://login.consultant.ru/link/?req=doc&amp;base=LAW&amp;n=486289" TargetMode = "External"/>
	<Relationship Id="rId116" Type="http://schemas.openxmlformats.org/officeDocument/2006/relationships/hyperlink" Target="https://login.consultant.ru/link/?req=doc&amp;base=LAW&amp;n=486289" TargetMode = "External"/>
	<Relationship Id="rId117" Type="http://schemas.openxmlformats.org/officeDocument/2006/relationships/hyperlink" Target="https://login.consultant.ru/link/?req=doc&amp;base=LAW&amp;n=486289&amp;dst=104746" TargetMode = "External"/>
	<Relationship Id="rId118" Type="http://schemas.openxmlformats.org/officeDocument/2006/relationships/hyperlink" Target="https://login.consultant.ru/link/?req=doc&amp;base=LAW&amp;n=486289&amp;dst=104263" TargetMode = "External"/>
	<Relationship Id="rId119" Type="http://schemas.openxmlformats.org/officeDocument/2006/relationships/hyperlink" Target="https://login.consultant.ru/link/?req=doc&amp;base=LAW&amp;n=486289&amp;dst=102041" TargetMode = "External"/>
	<Relationship Id="rId120" Type="http://schemas.openxmlformats.org/officeDocument/2006/relationships/hyperlink" Target="https://login.consultant.ru/link/?req=doc&amp;base=LAW&amp;n=486289&amp;dst=101576" TargetMode = "External"/>
	<Relationship Id="rId121" Type="http://schemas.openxmlformats.org/officeDocument/2006/relationships/hyperlink" Target="https://login.consultant.ru/link/?req=doc&amp;base=LAW&amp;n=486289&amp;dst=101011" TargetMode = "External"/>
	<Relationship Id="rId122" Type="http://schemas.openxmlformats.org/officeDocument/2006/relationships/hyperlink" Target="https://login.consultant.ru/link/?req=doc&amp;base=LAW&amp;n=482899" TargetMode = "External"/>
	<Relationship Id="rId123" Type="http://schemas.openxmlformats.org/officeDocument/2006/relationships/image" Target="media/image27.png"/>
	<Relationship Id="rId124" Type="http://schemas.openxmlformats.org/officeDocument/2006/relationships/image" Target="media/image28.png"/>
	<Relationship Id="rId125" Type="http://schemas.openxmlformats.org/officeDocument/2006/relationships/hyperlink" Target="https://login.consultant.ru/link/?req=doc&amp;base=LAW&amp;n=486289" TargetMode = "External"/>
	<Relationship Id="rId126" Type="http://schemas.openxmlformats.org/officeDocument/2006/relationships/hyperlink" Target="https://login.consultant.ru/link/?req=doc&amp;base=LAW&amp;n=486289" TargetMode = "External"/>
	<Relationship Id="rId127" Type="http://schemas.openxmlformats.org/officeDocument/2006/relationships/hyperlink" Target="https://login.consultant.ru/link/?req=doc&amp;base=LAW&amp;n=486289&amp;dst=100589" TargetMode = "External"/>
	<Relationship Id="rId128" Type="http://schemas.openxmlformats.org/officeDocument/2006/relationships/hyperlink" Target="https://login.consultant.ru/link/?req=doc&amp;base=LAW&amp;n=486289&amp;dst=100443" TargetMode = "External"/>
	<Relationship Id="rId129" Type="http://schemas.openxmlformats.org/officeDocument/2006/relationships/hyperlink" Target="https://login.consultant.ru/link/?req=doc&amp;base=LAW&amp;n=486289&amp;dst=100505" TargetMode = "External"/>
	<Relationship Id="rId130" Type="http://schemas.openxmlformats.org/officeDocument/2006/relationships/hyperlink" Target="https://login.consultant.ru/link/?req=doc&amp;base=LAW&amp;n=486289&amp;dst=104257" TargetMode = "External"/>
	<Relationship Id="rId131" Type="http://schemas.openxmlformats.org/officeDocument/2006/relationships/hyperlink" Target="https://login.consultant.ru/link/?req=doc&amp;base=LAW&amp;n=486289&amp;dst=104448" TargetMode = "External"/>
	<Relationship Id="rId132" Type="http://schemas.openxmlformats.org/officeDocument/2006/relationships/hyperlink" Target="https://login.consultant.ru/link/?req=doc&amp;base=LAW&amp;n=482899" TargetMode = "External"/>
	<Relationship Id="rId133" Type="http://schemas.openxmlformats.org/officeDocument/2006/relationships/hyperlink" Target="https://login.consultant.ru/link/?req=doc&amp;base=LAW&amp;n=486289" TargetMode = "External"/>
	<Relationship Id="rId134" Type="http://schemas.openxmlformats.org/officeDocument/2006/relationships/image" Target="media/image29.png"/>
	<Relationship Id="rId135" Type="http://schemas.openxmlformats.org/officeDocument/2006/relationships/image" Target="media/image30.png"/>
	<Relationship Id="rId136" Type="http://schemas.openxmlformats.org/officeDocument/2006/relationships/hyperlink" Target="https://login.consultant.ru/link/?req=doc&amp;base=LAW&amp;n=486289" TargetMode = "External"/>
	<Relationship Id="rId137" Type="http://schemas.openxmlformats.org/officeDocument/2006/relationships/hyperlink" Target="https://login.consultant.ru/link/?req=doc&amp;base=LAW&amp;n=486289" TargetMode = "External"/>
	<Relationship Id="rId138" Type="http://schemas.openxmlformats.org/officeDocument/2006/relationships/hyperlink" Target="https://login.consultant.ru/link/?req=doc&amp;base=LAW&amp;n=486289&amp;dst=106004" TargetMode = "External"/>
	<Relationship Id="rId139" Type="http://schemas.openxmlformats.org/officeDocument/2006/relationships/hyperlink" Target="https://login.consultant.ru/link/?req=doc&amp;base=LAW&amp;n=486289&amp;dst=100733" TargetMode = "External"/>
	<Relationship Id="rId140" Type="http://schemas.openxmlformats.org/officeDocument/2006/relationships/hyperlink" Target="https://login.consultant.ru/link/?req=doc&amp;base=LAW&amp;n=486289&amp;dst=104235" TargetMode = "External"/>
	<Relationship Id="rId141" Type="http://schemas.openxmlformats.org/officeDocument/2006/relationships/hyperlink" Target="https://login.consultant.ru/link/?req=doc&amp;base=LAW&amp;n=486289&amp;dst=103696" TargetMode = "External"/>
	<Relationship Id="rId142" Type="http://schemas.openxmlformats.org/officeDocument/2006/relationships/hyperlink" Target="https://login.consultant.ru/link/?req=doc&amp;base=LAW&amp;n=486289&amp;dst=103563" TargetMode = "External"/>
	<Relationship Id="rId143" Type="http://schemas.openxmlformats.org/officeDocument/2006/relationships/hyperlink" Target="https://login.consultant.ru/link/?req=doc&amp;base=LAW&amp;n=482899" TargetMode = "External"/>
	<Relationship Id="rId144" Type="http://schemas.openxmlformats.org/officeDocument/2006/relationships/image" Target="media/image31.png"/>
	<Relationship Id="rId145" Type="http://schemas.openxmlformats.org/officeDocument/2006/relationships/image" Target="media/image32.png"/>
	<Relationship Id="rId146" Type="http://schemas.openxmlformats.org/officeDocument/2006/relationships/hyperlink" Target="https://login.consultant.ru/link/?req=doc&amp;base=LAW&amp;n=486289" TargetMode = "External"/>
	<Relationship Id="rId147" Type="http://schemas.openxmlformats.org/officeDocument/2006/relationships/hyperlink" Target="https://login.consultant.ru/link/?req=doc&amp;base=LAW&amp;n=486289" TargetMode = "External"/>
	<Relationship Id="rId148" Type="http://schemas.openxmlformats.org/officeDocument/2006/relationships/hyperlink" Target="https://login.consultant.ru/link/?req=doc&amp;base=LAW&amp;n=486289&amp;dst=101489" TargetMode = "External"/>
	<Relationship Id="rId149" Type="http://schemas.openxmlformats.org/officeDocument/2006/relationships/hyperlink" Target="https://login.consultant.ru/link/?req=doc&amp;base=LAW&amp;n=486289&amp;dst=103042" TargetMode = "External"/>
	<Relationship Id="rId150" Type="http://schemas.openxmlformats.org/officeDocument/2006/relationships/hyperlink" Target="https://login.consultant.ru/link/?req=doc&amp;base=LAW&amp;n=486289&amp;dst=105877" TargetMode = "External"/>
	<Relationship Id="rId151" Type="http://schemas.openxmlformats.org/officeDocument/2006/relationships/hyperlink" Target="https://login.consultant.ru/link/?req=doc&amp;base=LAW&amp;n=486289&amp;dst=102327" TargetMode = "External"/>
	<Relationship Id="rId152" Type="http://schemas.openxmlformats.org/officeDocument/2006/relationships/hyperlink" Target="https://login.consultant.ru/link/?req=doc&amp;base=LAW&amp;n=486289&amp;dst=101892" TargetMode = "External"/>
	<Relationship Id="rId153" Type="http://schemas.openxmlformats.org/officeDocument/2006/relationships/image" Target="media/image33.png"/>
	<Relationship Id="rId154" Type="http://schemas.openxmlformats.org/officeDocument/2006/relationships/image" Target="media/image34.png"/>
	<Relationship Id="rId155" Type="http://schemas.openxmlformats.org/officeDocument/2006/relationships/hyperlink" Target="https://login.consultant.ru/link/?req=doc&amp;base=LAW&amp;n=486289" TargetMode = "External"/>
	<Relationship Id="rId156" Type="http://schemas.openxmlformats.org/officeDocument/2006/relationships/hyperlink" Target="https://login.consultant.ru/link/?req=doc&amp;base=LAW&amp;n=486289" TargetMode = "External"/>
	<Relationship Id="rId157" Type="http://schemas.openxmlformats.org/officeDocument/2006/relationships/hyperlink" Target="https://login.consultant.ru/link/?req=doc&amp;base=LAW&amp;n=486289&amp;dst=100569" TargetMode = "External"/>
	<Relationship Id="rId158" Type="http://schemas.openxmlformats.org/officeDocument/2006/relationships/hyperlink" Target="https://login.consultant.ru/link/?req=doc&amp;base=LAW&amp;n=486289&amp;dst=100443" TargetMode = "External"/>
	<Relationship Id="rId159" Type="http://schemas.openxmlformats.org/officeDocument/2006/relationships/hyperlink" Target="https://login.consultant.ru/link/?req=doc&amp;base=LAW&amp;n=486289&amp;dst=104049" TargetMode = "External"/>
	<Relationship Id="rId160" Type="http://schemas.openxmlformats.org/officeDocument/2006/relationships/hyperlink" Target="https://login.consultant.ru/link/?req=doc&amp;base=LAW&amp;n=486289&amp;dst=100467" TargetMode = "External"/>
	<Relationship Id="rId161" Type="http://schemas.openxmlformats.org/officeDocument/2006/relationships/hyperlink" Target="https://login.consultant.ru/link/?req=doc&amp;base=LAW&amp;n=486289&amp;dst=105785" TargetMode = "External"/>
	<Relationship Id="rId162" Type="http://schemas.openxmlformats.org/officeDocument/2006/relationships/hyperlink" Target="https://login.consultant.ru/link/?req=doc&amp;base=LAW&amp;n=482899" TargetMode = "External"/>
	<Relationship Id="rId163" Type="http://schemas.openxmlformats.org/officeDocument/2006/relationships/image" Target="media/image35.png"/>
	<Relationship Id="rId164" Type="http://schemas.openxmlformats.org/officeDocument/2006/relationships/image" Target="media/image36.png"/>
	<Relationship Id="rId165" Type="http://schemas.openxmlformats.org/officeDocument/2006/relationships/hyperlink" Target="https://login.consultant.ru/link/?req=doc&amp;base=LAW&amp;n=486289" TargetMode = "External"/>
	<Relationship Id="rId166" Type="http://schemas.openxmlformats.org/officeDocument/2006/relationships/hyperlink" Target="https://login.consultant.ru/link/?req=doc&amp;base=LAW&amp;n=486289" TargetMode = "External"/>
	<Relationship Id="rId167" Type="http://schemas.openxmlformats.org/officeDocument/2006/relationships/hyperlink" Target="https://login.consultant.ru/link/?req=doc&amp;base=LAW&amp;n=486289&amp;dst=101489" TargetMode = "External"/>
	<Relationship Id="rId168" Type="http://schemas.openxmlformats.org/officeDocument/2006/relationships/hyperlink" Target="https://login.consultant.ru/link/?req=doc&amp;base=LAW&amp;n=486289&amp;dst=101576" TargetMode = "External"/>
	<Relationship Id="rId169" Type="http://schemas.openxmlformats.org/officeDocument/2006/relationships/hyperlink" Target="https://login.consultant.ru/link/?req=doc&amp;base=LAW&amp;n=486289&amp;dst=104263" TargetMode = "External"/>
	<Relationship Id="rId170" Type="http://schemas.openxmlformats.org/officeDocument/2006/relationships/hyperlink" Target="https://login.consultant.ru/link/?req=doc&amp;base=LAW&amp;n=486289&amp;dst=105877" TargetMode = "External"/>
	<Relationship Id="rId171" Type="http://schemas.openxmlformats.org/officeDocument/2006/relationships/hyperlink" Target="https://login.consultant.ru/link/?req=doc&amp;base=LAW&amp;n=486289&amp;dst=100569" TargetMode = "External"/>
	<Relationship Id="rId172" Type="http://schemas.openxmlformats.org/officeDocument/2006/relationships/hyperlink" Target="https://login.consultant.ru/link/?req=doc&amp;base=LAW&amp;n=466853&amp;dst=18559" TargetMode = "External"/>
	<Relationship Id="rId173" Type="http://schemas.openxmlformats.org/officeDocument/2006/relationships/image" Target="media/image37.png"/>
	<Relationship Id="rId174" Type="http://schemas.openxmlformats.org/officeDocument/2006/relationships/image" Target="media/image38.png"/>
	<Relationship Id="rId175" Type="http://schemas.openxmlformats.org/officeDocument/2006/relationships/hyperlink" Target="https://login.consultant.ru/link/?req=doc&amp;base=LAW&amp;n=466853&amp;dst=15865" TargetMode = "External"/>
	<Relationship Id="rId176" Type="http://schemas.openxmlformats.org/officeDocument/2006/relationships/image" Target="media/image39.png"/>
	<Relationship Id="rId177" Type="http://schemas.openxmlformats.org/officeDocument/2006/relationships/image" Target="media/image40.png"/>
	<Relationship Id="rId178" Type="http://schemas.openxmlformats.org/officeDocument/2006/relationships/hyperlink" Target="https://login.consultant.ru/link/?req=doc&amp;base=LAW&amp;n=466853&amp;dst=24535" TargetMode = "External"/>
	<Relationship Id="rId179" Type="http://schemas.openxmlformats.org/officeDocument/2006/relationships/image" Target="media/image41.png"/>
	<Relationship Id="rId180" Type="http://schemas.openxmlformats.org/officeDocument/2006/relationships/image" Target="media/image42.png"/>
	<Relationship Id="rId181" Type="http://schemas.openxmlformats.org/officeDocument/2006/relationships/hyperlink" Target="https://login.consultant.ru/link/?req=doc&amp;base=LAW&amp;n=466853&amp;dst=24536" TargetMode = "External"/>
	<Relationship Id="rId182" Type="http://schemas.openxmlformats.org/officeDocument/2006/relationships/hyperlink" Target="https://login.consultant.ru/link/?req=doc&amp;base=LAW&amp;n=466853&amp;dst=24539" TargetMode = "External"/>
	<Relationship Id="rId183" Type="http://schemas.openxmlformats.org/officeDocument/2006/relationships/image" Target="media/image43.png"/>
	<Relationship Id="rId184" Type="http://schemas.openxmlformats.org/officeDocument/2006/relationships/image" Target="media/image44.png"/>
	<Relationship Id="rId185" Type="http://schemas.openxmlformats.org/officeDocument/2006/relationships/hyperlink" Target="https://login.consultant.ru/link/?req=doc&amp;base=LAW&amp;n=466853&amp;dst=21731" TargetMode = "External"/>
	<Relationship Id="rId186" Type="http://schemas.openxmlformats.org/officeDocument/2006/relationships/image" Target="media/image45.png"/>
	<Relationship Id="rId187" Type="http://schemas.openxmlformats.org/officeDocument/2006/relationships/image" Target="media/image46.png"/>
	<Relationship Id="rId188" Type="http://schemas.openxmlformats.org/officeDocument/2006/relationships/hyperlink" Target="https://login.consultant.ru/link/?req=doc&amp;base=LAW&amp;n=485338&amp;dst=100162" TargetMode = "External"/>
	<Relationship Id="rId189" Type="http://schemas.openxmlformats.org/officeDocument/2006/relationships/hyperlink" Target="https://login.consultant.ru/link/?req=doc&amp;base=LAW&amp;n=409169" TargetMode = "External"/>
	<Relationship Id="rId190" Type="http://schemas.openxmlformats.org/officeDocument/2006/relationships/hyperlink" Target="https://login.consultant.ru/link/?req=doc&amp;base=LAW&amp;n=411465" TargetMode = "External"/>
	<Relationship Id="rId191" Type="http://schemas.openxmlformats.org/officeDocument/2006/relationships/hyperlink" Target="https://login.consultant.ru/link/?req=doc&amp;base=LAW&amp;n=411463" TargetMode = "External"/>
	<Relationship Id="rId192" Type="http://schemas.openxmlformats.org/officeDocument/2006/relationships/hyperlink" Target="https://login.consultant.ru/link/?req=doc&amp;base=LAW&amp;n=413692" TargetMode = "External"/>
	<Relationship Id="rId193" Type="http://schemas.openxmlformats.org/officeDocument/2006/relationships/hyperlink" Target="https://login.consultant.ru/link/?req=doc&amp;base=LAW&amp;n=411979" TargetMode = "External"/>
	<Relationship Id="rId194" Type="http://schemas.openxmlformats.org/officeDocument/2006/relationships/hyperlink" Target="https://login.consultant.ru/link/?req=doc&amp;base=LAW&amp;n=411980" TargetMode = "External"/>
	<Relationship Id="rId195" Type="http://schemas.openxmlformats.org/officeDocument/2006/relationships/hyperlink" Target="https://login.consultant.ru/link/?req=doc&amp;base=LAW&amp;n=411982" TargetMode = "External"/>
	<Relationship Id="rId196" Type="http://schemas.openxmlformats.org/officeDocument/2006/relationships/hyperlink" Target="https://login.consultant.ru/link/?req=doc&amp;base=LAW&amp;n=430768" TargetMode = "External"/>
	<Relationship Id="rId197" Type="http://schemas.openxmlformats.org/officeDocument/2006/relationships/hyperlink" Target="https://login.consultant.ru/link/?req=doc&amp;base=LAW&amp;n=411978" TargetMode = "External"/>
	<Relationship Id="rId198" Type="http://schemas.openxmlformats.org/officeDocument/2006/relationships/hyperlink" Target="https://login.consultant.ru/link/?req=doc&amp;base=LAW&amp;n=411977" TargetMode = "External"/>
	<Relationship Id="rId199" Type="http://schemas.openxmlformats.org/officeDocument/2006/relationships/hyperlink" Target="https://login.consultant.ru/link/?req=doc&amp;base=LAW&amp;n=414788" TargetMode = "External"/>
	<Relationship Id="rId200" Type="http://schemas.openxmlformats.org/officeDocument/2006/relationships/hyperlink" Target="https://login.consultant.ru/link/?req=doc&amp;base=LAW&amp;n=414809" TargetMode = "External"/>
	<Relationship Id="rId201" Type="http://schemas.openxmlformats.org/officeDocument/2006/relationships/hyperlink" Target="https://login.consultant.ru/link/?req=doc&amp;base=LAW&amp;n=415094" TargetMode = "External"/>
	<Relationship Id="rId202" Type="http://schemas.openxmlformats.org/officeDocument/2006/relationships/hyperlink" Target="https://login.consultant.ru/link/?req=doc&amp;base=LAW&amp;n=485338&amp;dst=100162" TargetMode = "External"/>
	<Relationship Id="rId203" Type="http://schemas.openxmlformats.org/officeDocument/2006/relationships/hyperlink" Target="https://login.consultant.ru/link/?req=doc&amp;base=LAW&amp;n=415978" TargetMode = "External"/>
	<Relationship Id="rId204" Type="http://schemas.openxmlformats.org/officeDocument/2006/relationships/hyperlink" Target="https://login.consultant.ru/link/?req=doc&amp;base=LAW&amp;n=419289" TargetMode = "External"/>
	<Relationship Id="rId205" Type="http://schemas.openxmlformats.org/officeDocument/2006/relationships/hyperlink" Target="https://login.consultant.ru/link/?req=doc&amp;base=LAW&amp;n=419290" TargetMode = "External"/>
	<Relationship Id="rId206" Type="http://schemas.openxmlformats.org/officeDocument/2006/relationships/hyperlink" Target="https://login.consultant.ru/link/?req=doc&amp;base=LAW&amp;n=419921" TargetMode = "External"/>
	<Relationship Id="rId207" Type="http://schemas.openxmlformats.org/officeDocument/2006/relationships/hyperlink" Target="https://login.consultant.ru/link/?req=doc&amp;base=LAW&amp;n=419922" TargetMode = "External"/>
	<Relationship Id="rId208" Type="http://schemas.openxmlformats.org/officeDocument/2006/relationships/hyperlink" Target="https://login.consultant.ru/link/?req=doc&amp;base=LAW&amp;n=419924" TargetMode = "External"/>
	<Relationship Id="rId209" Type="http://schemas.openxmlformats.org/officeDocument/2006/relationships/hyperlink" Target="https://login.consultant.ru/link/?req=doc&amp;base=LAW&amp;n=419925" TargetMode = "External"/>
	<Relationship Id="rId210" Type="http://schemas.openxmlformats.org/officeDocument/2006/relationships/hyperlink" Target="https://login.consultant.ru/link/?req=doc&amp;base=LAW&amp;n=423741" TargetMode = "External"/>
	<Relationship Id="rId211" Type="http://schemas.openxmlformats.org/officeDocument/2006/relationships/hyperlink" Target="https://login.consultant.ru/link/?req=doc&amp;base=LAW&amp;n=427600" TargetMode = "External"/>
	<Relationship Id="rId212" Type="http://schemas.openxmlformats.org/officeDocument/2006/relationships/hyperlink" Target="https://login.consultant.ru/link/?req=doc&amp;base=LAW&amp;n=427599" TargetMode = "External"/>
	<Relationship Id="rId213" Type="http://schemas.openxmlformats.org/officeDocument/2006/relationships/hyperlink" Target="https://login.consultant.ru/link/?req=doc&amp;base=LAW&amp;n=427447" TargetMode = "External"/>
	<Relationship Id="rId214" Type="http://schemas.openxmlformats.org/officeDocument/2006/relationships/hyperlink" Target="https://login.consultant.ru/link/?req=doc&amp;base=LAW&amp;n=428095" TargetMode = "External"/>
	<Relationship Id="rId215" Type="http://schemas.openxmlformats.org/officeDocument/2006/relationships/hyperlink" Target="https://login.consultant.ru/link/?req=doc&amp;base=LAW&amp;n=430717" TargetMode = "External"/>
	<Relationship Id="rId216" Type="http://schemas.openxmlformats.org/officeDocument/2006/relationships/hyperlink" Target="https://login.consultant.ru/link/?req=doc&amp;base=LAW&amp;n=435056" TargetMode = "External"/>
	<Relationship Id="rId217" Type="http://schemas.openxmlformats.org/officeDocument/2006/relationships/hyperlink" Target="https://login.consultant.ru/link/?req=doc&amp;base=LAW&amp;n=438429" TargetMode = "External"/>
	<Relationship Id="rId218" Type="http://schemas.openxmlformats.org/officeDocument/2006/relationships/hyperlink" Target="https://login.consultant.ru/link/?req=doc&amp;base=LAW&amp;n=439044" TargetMode = "External"/>
	<Relationship Id="rId219" Type="http://schemas.openxmlformats.org/officeDocument/2006/relationships/hyperlink" Target="https://login.consultant.ru/link/?req=doc&amp;base=LAW&amp;n=441853" TargetMode = "External"/>
	<Relationship Id="rId220" Type="http://schemas.openxmlformats.org/officeDocument/2006/relationships/hyperlink" Target="https://login.consultant.ru/link/?req=doc&amp;base=LAW&amp;n=441854" TargetMode = "External"/>
	<Relationship Id="rId221" Type="http://schemas.openxmlformats.org/officeDocument/2006/relationships/hyperlink" Target="https://login.consultant.ru/link/?req=doc&amp;base=LAW&amp;n=441855" TargetMode = "External"/>
	<Relationship Id="rId222" Type="http://schemas.openxmlformats.org/officeDocument/2006/relationships/hyperlink" Target="https://login.consultant.ru/link/?req=doc&amp;base=LAW&amp;n=444471" TargetMode = "External"/>
	<Relationship Id="rId223" Type="http://schemas.openxmlformats.org/officeDocument/2006/relationships/hyperlink" Target="https://login.consultant.ru/link/?req=doc&amp;base=LAW&amp;n=452584" TargetMode = "External"/>
	<Relationship Id="rId224" Type="http://schemas.openxmlformats.org/officeDocument/2006/relationships/hyperlink" Target="https://login.consultant.ru/link/?req=doc&amp;base=LAW&amp;n=406812" TargetMode = "External"/>
	<Relationship Id="rId225" Type="http://schemas.openxmlformats.org/officeDocument/2006/relationships/hyperlink" Target="https://login.consultant.ru/link/?req=doc&amp;base=LAW&amp;n=409785" TargetMode = "External"/>
	<Relationship Id="rId226" Type="http://schemas.openxmlformats.org/officeDocument/2006/relationships/hyperlink" Target="https://login.consultant.ru/link/?req=doc&amp;base=LAW&amp;n=411836" TargetMode = "External"/>
	<Relationship Id="rId227" Type="http://schemas.openxmlformats.org/officeDocument/2006/relationships/hyperlink" Target="https://login.consultant.ru/link/?req=doc&amp;base=LAW&amp;n=411835" TargetMode = "External"/>
	<Relationship Id="rId228" Type="http://schemas.openxmlformats.org/officeDocument/2006/relationships/hyperlink" Target="https://login.consultant.ru/link/?req=doc&amp;base=LAW&amp;n=412278" TargetMode = "External"/>
	<Relationship Id="rId229" Type="http://schemas.openxmlformats.org/officeDocument/2006/relationships/hyperlink" Target="https://login.consultant.ru/link/?req=doc&amp;base=LAW&amp;n=412279" TargetMode = "External"/>
	<Relationship Id="rId230" Type="http://schemas.openxmlformats.org/officeDocument/2006/relationships/hyperlink" Target="https://login.consultant.ru/link/?req=doc&amp;base=LAW&amp;n=413317" TargetMode = "External"/>
	<Relationship Id="rId231" Type="http://schemas.openxmlformats.org/officeDocument/2006/relationships/hyperlink" Target="https://login.consultant.ru/link/?req=doc&amp;base=LAW&amp;n=414808" TargetMode = "External"/>
	<Relationship Id="rId232" Type="http://schemas.openxmlformats.org/officeDocument/2006/relationships/hyperlink" Target="https://login.consultant.ru/link/?req=doc&amp;base=LAW&amp;n=415980" TargetMode = "External"/>
	<Relationship Id="rId233" Type="http://schemas.openxmlformats.org/officeDocument/2006/relationships/hyperlink" Target="https://login.consultant.ru/link/?req=doc&amp;base=LAW&amp;n=416999" TargetMode = "External"/>
	<Relationship Id="rId234" Type="http://schemas.openxmlformats.org/officeDocument/2006/relationships/hyperlink" Target="https://login.consultant.ru/link/?req=doc&amp;base=LAW&amp;n=485338&amp;dst=100162" TargetMode = "External"/>
	<Relationship Id="rId235" Type="http://schemas.openxmlformats.org/officeDocument/2006/relationships/hyperlink" Target="https://login.consultant.ru/link/?req=doc&amp;base=LAW&amp;n=417002" TargetMode = "External"/>
	<Relationship Id="rId236" Type="http://schemas.openxmlformats.org/officeDocument/2006/relationships/hyperlink" Target="https://login.consultant.ru/link/?req=doc&amp;base=LAW&amp;n=485338&amp;dst=100162" TargetMode = "External"/>
	<Relationship Id="rId237" Type="http://schemas.openxmlformats.org/officeDocument/2006/relationships/hyperlink" Target="https://login.consultant.ru/link/?req=doc&amp;base=LAW&amp;n=424746" TargetMode = "External"/>
	<Relationship Id="rId238" Type="http://schemas.openxmlformats.org/officeDocument/2006/relationships/hyperlink" Target="https://login.consultant.ru/link/?req=doc&amp;base=LAW&amp;n=424747" TargetMode = "External"/>
	<Relationship Id="rId239" Type="http://schemas.openxmlformats.org/officeDocument/2006/relationships/hyperlink" Target="https://login.consultant.ru/link/?req=doc&amp;base=LAW&amp;n=424748" TargetMode = "External"/>
	<Relationship Id="rId240" Type="http://schemas.openxmlformats.org/officeDocument/2006/relationships/hyperlink" Target="https://login.consultant.ru/link/?req=doc&amp;base=LAW&amp;n=425409" TargetMode = "External"/>
	<Relationship Id="rId241" Type="http://schemas.openxmlformats.org/officeDocument/2006/relationships/hyperlink" Target="https://login.consultant.ru/link/?req=doc&amp;base=LAW&amp;n=426906" TargetMode = "External"/>
	<Relationship Id="rId242" Type="http://schemas.openxmlformats.org/officeDocument/2006/relationships/hyperlink" Target="https://login.consultant.ru/link/?req=doc&amp;base=LAW&amp;n=427911" TargetMode = "External"/>
	<Relationship Id="rId243" Type="http://schemas.openxmlformats.org/officeDocument/2006/relationships/hyperlink" Target="https://login.consultant.ru/link/?req=doc&amp;base=LAW&amp;n=430735" TargetMode = "External"/>
	<Relationship Id="rId244" Type="http://schemas.openxmlformats.org/officeDocument/2006/relationships/hyperlink" Target="https://login.consultant.ru/link/?req=doc&amp;base=LAW&amp;n=437925" TargetMode = "External"/>
	<Relationship Id="rId245" Type="http://schemas.openxmlformats.org/officeDocument/2006/relationships/hyperlink" Target="https://login.consultant.ru/link/?req=doc&amp;base=LAW&amp;n=438540" TargetMode = "External"/>
	<Relationship Id="rId246" Type="http://schemas.openxmlformats.org/officeDocument/2006/relationships/hyperlink" Target="https://login.consultant.ru/link/?req=doc&amp;base=LAW&amp;n=438817" TargetMode = "External"/>
	<Relationship Id="rId247" Type="http://schemas.openxmlformats.org/officeDocument/2006/relationships/hyperlink" Target="https://login.consultant.ru/link/?req=doc&amp;base=LAW&amp;n=439415" TargetMode = "External"/>
	<Relationship Id="rId248" Type="http://schemas.openxmlformats.org/officeDocument/2006/relationships/hyperlink" Target="https://login.consultant.ru/link/?req=doc&amp;base=LAW&amp;n=444634" TargetMode = "External"/>
	<Relationship Id="rId249" Type="http://schemas.openxmlformats.org/officeDocument/2006/relationships/hyperlink" Target="https://login.consultant.ru/link/?req=doc&amp;base=LAW&amp;n=485338&amp;dst=100162" TargetMode = "External"/>
	<Relationship Id="rId250" Type="http://schemas.openxmlformats.org/officeDocument/2006/relationships/hyperlink" Target="https://login.consultant.ru/link/?req=doc&amp;base=LAW&amp;n=413326" TargetMode = "External"/>
	<Relationship Id="rId251" Type="http://schemas.openxmlformats.org/officeDocument/2006/relationships/hyperlink" Target="https://login.consultant.ru/link/?req=doc&amp;base=LAW&amp;n=484793" TargetMode = "External"/>
	<Relationship Id="rId252" Type="http://schemas.openxmlformats.org/officeDocument/2006/relationships/hyperlink" Target="https://login.consultant.ru/link/?req=doc&amp;base=LAW&amp;n=423336" TargetMode = "External"/>
	<Relationship Id="rId253" Type="http://schemas.openxmlformats.org/officeDocument/2006/relationships/hyperlink" Target="https://login.consultant.ru/link/?req=doc&amp;base=LAW&amp;n=430545" TargetMode = "External"/>
	<Relationship Id="rId254" Type="http://schemas.openxmlformats.org/officeDocument/2006/relationships/hyperlink" Target="https://login.consultant.ru/link/?req=doc&amp;base=LAW&amp;n=430830" TargetMode = "External"/>
	<Relationship Id="rId255" Type="http://schemas.openxmlformats.org/officeDocument/2006/relationships/hyperlink" Target="https://login.consultant.ru/link/?req=doc&amp;base=LAW&amp;n=431121" TargetMode = "External"/>
	<Relationship Id="rId256" Type="http://schemas.openxmlformats.org/officeDocument/2006/relationships/hyperlink" Target="https://login.consultant.ru/link/?req=doc&amp;base=LAW&amp;n=461065" TargetMode = "External"/>
	<Relationship Id="rId257" Type="http://schemas.openxmlformats.org/officeDocument/2006/relationships/hyperlink" Target="https://login.consultant.ru/link/?req=doc&amp;base=LAW&amp;n=435320" TargetMode = "External"/>
	<Relationship Id="rId258" Type="http://schemas.openxmlformats.org/officeDocument/2006/relationships/hyperlink" Target="https://login.consultant.ru/link/?req=doc&amp;base=LAW&amp;n=436152" TargetMode = "External"/>
	<Relationship Id="rId259" Type="http://schemas.openxmlformats.org/officeDocument/2006/relationships/hyperlink" Target="https://login.consultant.ru/link/?req=doc&amp;base=LAW&amp;n=467955" TargetMode = "External"/>
	<Relationship Id="rId260" Type="http://schemas.openxmlformats.org/officeDocument/2006/relationships/hyperlink" Target="https://login.consultant.ru/link/?req=doc&amp;base=LAW&amp;n=448040" TargetMode = "External"/>
	<Relationship Id="rId261" Type="http://schemas.openxmlformats.org/officeDocument/2006/relationships/hyperlink" Target="https://login.consultant.ru/link/?req=doc&amp;base=LAW&amp;n=449821" TargetMode = "External"/>
	<Relationship Id="rId262" Type="http://schemas.openxmlformats.org/officeDocument/2006/relationships/hyperlink" Target="https://login.consultant.ru/link/?req=doc&amp;base=LAW&amp;n=450491" TargetMode = "External"/>
	<Relationship Id="rId263" Type="http://schemas.openxmlformats.org/officeDocument/2006/relationships/hyperlink" Target="https://login.consultant.ru/link/?req=doc&amp;base=LAW&amp;n=456425" TargetMode = "External"/>
	<Relationship Id="rId264" Type="http://schemas.openxmlformats.org/officeDocument/2006/relationships/hyperlink" Target="https://login.consultant.ru/link/?req=doc&amp;base=LAW&amp;n=464181" TargetMode = "External"/>
	<Relationship Id="rId265" Type="http://schemas.openxmlformats.org/officeDocument/2006/relationships/hyperlink" Target="https://login.consultant.ru/link/?req=doc&amp;base=LAW&amp;n=464181" TargetMode = "External"/>
	<Relationship Id="rId266" Type="http://schemas.openxmlformats.org/officeDocument/2006/relationships/hyperlink" Target="https://login.consultant.ru/link/?req=doc&amp;base=LAW&amp;n=464181"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4024.00.31</Application>
  <Company>КонсультантПлюс Версия 4024.00.31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направления бюджетной, налоговой и таможенно-тарифной политики на 2024 год и на плановый период 2025 и 2026 годов"
(утв. Минфином России)</dc:title>
  <dcterms:created xsi:type="dcterms:W3CDTF">2024-10-09T15:27:33Z</dcterms:created>
</cp:coreProperties>
</file>